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jc w:val="both"/>
        <w:rPr>
          <w:sz w:val="36"/>
          <w:szCs w:val="36"/>
        </w:rPr>
      </w:pPr>
      <w:r>
        <w:rPr>
          <w:rFonts w:ascii="Arial" w:hAnsi="Arial" w:cs="Arial"/>
          <w:b/>
          <w:sz w:val="36"/>
          <w:szCs w:val="36"/>
        </w:rPr>
        <w:t>监督索引号53342300376201000</w:t>
      </w:r>
    </w:p>
    <w:p>
      <w:pPr>
        <w:pStyle w:val="2"/>
        <w:keepNext w:val="0"/>
        <w:keepLines w:val="0"/>
        <w:widowControl/>
        <w:suppressLineNumbers w:val="0"/>
        <w:spacing w:before="0" w:beforeAutospacing="0" w:after="0" w:afterAutospacing="0"/>
        <w:jc w:val="center"/>
        <w:rPr>
          <w:sz w:val="36"/>
          <w:szCs w:val="36"/>
        </w:rPr>
      </w:pPr>
      <w:r>
        <w:rPr>
          <w:rFonts w:ascii="黑体" w:hAnsi="宋体" w:eastAsia="黑体" w:cs="黑体"/>
          <w:sz w:val="36"/>
          <w:szCs w:val="36"/>
        </w:rPr>
        <w:t>维西县残联</w:t>
      </w:r>
      <w:r>
        <w:rPr>
          <w:rFonts w:hint="eastAsia" w:ascii="黑体" w:hAnsi="宋体" w:eastAsia="黑体" w:cs="黑体"/>
          <w:sz w:val="36"/>
          <w:szCs w:val="36"/>
        </w:rPr>
        <w:t>2018年度部门决算</w:t>
      </w:r>
    </w:p>
    <w:p>
      <w:pPr>
        <w:pStyle w:val="2"/>
        <w:keepNext w:val="0"/>
        <w:keepLines w:val="0"/>
        <w:widowControl/>
        <w:suppressLineNumbers w:val="0"/>
        <w:spacing w:before="0" w:beforeAutospacing="0" w:after="0" w:afterAutospacing="0"/>
        <w:rPr>
          <w:sz w:val="30"/>
          <w:szCs w:val="30"/>
        </w:rPr>
      </w:pPr>
      <w:r>
        <w:rPr>
          <w:rFonts w:hint="eastAsia" w:ascii="黑体" w:hAnsi="宋体" w:eastAsia="黑体" w:cs="黑体"/>
          <w:sz w:val="30"/>
          <w:szCs w:val="30"/>
        </w:rPr>
        <w:t>第一部分 维西县残联概况</w:t>
      </w:r>
    </w:p>
    <w:p>
      <w:pPr>
        <w:pStyle w:val="2"/>
        <w:keepNext w:val="0"/>
        <w:keepLines w:val="0"/>
        <w:widowControl/>
        <w:suppressLineNumbers w:val="0"/>
        <w:spacing w:before="0" w:beforeAutospacing="0" w:after="0" w:afterAutospacing="0" w:line="300" w:lineRule="atLeast"/>
      </w:pPr>
      <w:r>
        <w:rPr>
          <w:rFonts w:ascii="楷体" w:hAnsi="楷体" w:eastAsia="楷体" w:cs="楷体"/>
          <w:sz w:val="30"/>
          <w:szCs w:val="30"/>
        </w:rPr>
        <w:t>一、主要职能</w:t>
      </w:r>
    </w:p>
    <w:p>
      <w:pPr>
        <w:pStyle w:val="2"/>
        <w:keepNext w:val="0"/>
        <w:keepLines w:val="0"/>
        <w:widowControl/>
        <w:suppressLineNumbers w:val="0"/>
        <w:spacing w:before="0" w:beforeAutospacing="0" w:after="0" w:afterAutospacing="0" w:line="300" w:lineRule="atLeast"/>
      </w:pPr>
      <w:r>
        <w:rPr>
          <w:rFonts w:hint="eastAsia" w:ascii="楷体" w:hAnsi="楷体" w:eastAsia="楷体" w:cs="楷体"/>
          <w:sz w:val="30"/>
          <w:szCs w:val="30"/>
        </w:rPr>
        <w:t>二、部门基本情况</w:t>
      </w:r>
    </w:p>
    <w:p>
      <w:pPr>
        <w:pStyle w:val="2"/>
        <w:keepNext w:val="0"/>
        <w:keepLines w:val="0"/>
        <w:widowControl/>
        <w:suppressLineNumbers w:val="0"/>
        <w:spacing w:before="0" w:beforeAutospacing="0" w:after="0" w:afterAutospacing="0"/>
        <w:rPr>
          <w:sz w:val="30"/>
          <w:szCs w:val="30"/>
        </w:rPr>
      </w:pPr>
      <w:r>
        <w:rPr>
          <w:rFonts w:hint="eastAsia" w:ascii="黑体" w:hAnsi="宋体" w:eastAsia="黑体" w:cs="黑体"/>
          <w:sz w:val="30"/>
          <w:szCs w:val="30"/>
        </w:rPr>
        <w:t>第二部分  2018年度部门决算表</w:t>
      </w:r>
    </w:p>
    <w:p>
      <w:pPr>
        <w:pStyle w:val="2"/>
        <w:keepNext w:val="0"/>
        <w:keepLines w:val="0"/>
        <w:widowControl/>
        <w:suppressLineNumbers w:val="0"/>
        <w:spacing w:before="0" w:beforeAutospacing="0" w:after="0" w:afterAutospacing="0"/>
        <w:rPr>
          <w:sz w:val="30"/>
          <w:szCs w:val="30"/>
        </w:rPr>
      </w:pPr>
      <w:r>
        <w:rPr>
          <w:rFonts w:hint="eastAsia" w:ascii="楷体" w:hAnsi="楷体" w:eastAsia="楷体" w:cs="楷体"/>
          <w:sz w:val="30"/>
          <w:szCs w:val="30"/>
        </w:rPr>
        <w:t>一、收入支出决算总表</w:t>
      </w:r>
    </w:p>
    <w:p>
      <w:pPr>
        <w:pStyle w:val="2"/>
        <w:keepNext w:val="0"/>
        <w:keepLines w:val="0"/>
        <w:widowControl/>
        <w:suppressLineNumbers w:val="0"/>
        <w:spacing w:before="0" w:beforeAutospacing="0" w:after="0" w:afterAutospacing="0"/>
        <w:rPr>
          <w:sz w:val="30"/>
          <w:szCs w:val="30"/>
        </w:rPr>
      </w:pPr>
      <w:r>
        <w:rPr>
          <w:rFonts w:hint="eastAsia" w:ascii="楷体" w:hAnsi="楷体" w:eastAsia="楷体" w:cs="楷体"/>
          <w:sz w:val="30"/>
          <w:szCs w:val="30"/>
        </w:rPr>
        <w:t>二、收入决算表</w:t>
      </w:r>
    </w:p>
    <w:p>
      <w:pPr>
        <w:pStyle w:val="2"/>
        <w:keepNext w:val="0"/>
        <w:keepLines w:val="0"/>
        <w:widowControl/>
        <w:suppressLineNumbers w:val="0"/>
        <w:spacing w:before="0" w:beforeAutospacing="0" w:after="0" w:afterAutospacing="0"/>
        <w:rPr>
          <w:sz w:val="30"/>
          <w:szCs w:val="30"/>
        </w:rPr>
      </w:pPr>
      <w:r>
        <w:rPr>
          <w:rFonts w:hint="eastAsia" w:ascii="楷体" w:hAnsi="楷体" w:eastAsia="楷体" w:cs="楷体"/>
          <w:sz w:val="30"/>
          <w:szCs w:val="30"/>
        </w:rPr>
        <w:t>三、支出决算表</w:t>
      </w:r>
    </w:p>
    <w:p>
      <w:pPr>
        <w:pStyle w:val="2"/>
        <w:keepNext w:val="0"/>
        <w:keepLines w:val="0"/>
        <w:widowControl/>
        <w:suppressLineNumbers w:val="0"/>
        <w:spacing w:before="0" w:beforeAutospacing="0" w:after="0" w:afterAutospacing="0"/>
        <w:rPr>
          <w:sz w:val="30"/>
          <w:szCs w:val="30"/>
        </w:rPr>
      </w:pPr>
      <w:r>
        <w:rPr>
          <w:rFonts w:hint="eastAsia" w:ascii="楷体" w:hAnsi="楷体" w:eastAsia="楷体" w:cs="楷体"/>
          <w:sz w:val="30"/>
          <w:szCs w:val="30"/>
        </w:rPr>
        <w:t>四、财政拨款收入支出决算总表</w:t>
      </w:r>
    </w:p>
    <w:p>
      <w:pPr>
        <w:pStyle w:val="2"/>
        <w:keepNext w:val="0"/>
        <w:keepLines w:val="0"/>
        <w:widowControl/>
        <w:suppressLineNumbers w:val="0"/>
        <w:spacing w:before="0" w:beforeAutospacing="0" w:after="0" w:afterAutospacing="0"/>
        <w:rPr>
          <w:sz w:val="30"/>
          <w:szCs w:val="30"/>
        </w:rPr>
      </w:pPr>
      <w:r>
        <w:rPr>
          <w:rFonts w:hint="eastAsia" w:ascii="楷体" w:hAnsi="楷体" w:eastAsia="楷体" w:cs="楷体"/>
          <w:sz w:val="30"/>
          <w:szCs w:val="30"/>
        </w:rPr>
        <w:t>五、一般公共预算财政拨款收入支出决算表</w:t>
      </w:r>
    </w:p>
    <w:p>
      <w:pPr>
        <w:pStyle w:val="2"/>
        <w:keepNext w:val="0"/>
        <w:keepLines w:val="0"/>
        <w:widowControl/>
        <w:suppressLineNumbers w:val="0"/>
        <w:spacing w:before="0" w:beforeAutospacing="0" w:after="0" w:afterAutospacing="0"/>
        <w:rPr>
          <w:sz w:val="30"/>
          <w:szCs w:val="30"/>
        </w:rPr>
      </w:pPr>
      <w:r>
        <w:rPr>
          <w:rFonts w:hint="eastAsia" w:ascii="楷体" w:hAnsi="楷体" w:eastAsia="楷体" w:cs="楷体"/>
          <w:sz w:val="30"/>
          <w:szCs w:val="30"/>
        </w:rPr>
        <w:t>六、一般公共预算财政拨款基本支出决算表</w:t>
      </w:r>
    </w:p>
    <w:p>
      <w:pPr>
        <w:pStyle w:val="2"/>
        <w:keepNext w:val="0"/>
        <w:keepLines w:val="0"/>
        <w:widowControl/>
        <w:suppressLineNumbers w:val="0"/>
        <w:spacing w:before="0" w:beforeAutospacing="0" w:after="0" w:afterAutospacing="0"/>
        <w:rPr>
          <w:sz w:val="30"/>
          <w:szCs w:val="30"/>
        </w:rPr>
      </w:pPr>
      <w:r>
        <w:rPr>
          <w:rFonts w:hint="eastAsia" w:ascii="楷体" w:hAnsi="楷体" w:eastAsia="楷体" w:cs="楷体"/>
          <w:sz w:val="30"/>
          <w:szCs w:val="30"/>
        </w:rPr>
        <w:t>七、政府性基金预算财政拨款收入支出决算表</w:t>
      </w:r>
    </w:p>
    <w:p>
      <w:pPr>
        <w:pStyle w:val="2"/>
        <w:keepNext w:val="0"/>
        <w:keepLines w:val="0"/>
        <w:widowControl/>
        <w:suppressLineNumbers w:val="0"/>
        <w:spacing w:before="0" w:beforeAutospacing="0" w:after="0" w:afterAutospacing="0"/>
        <w:rPr>
          <w:sz w:val="30"/>
          <w:szCs w:val="30"/>
        </w:rPr>
      </w:pPr>
      <w:r>
        <w:rPr>
          <w:rFonts w:hint="eastAsia" w:ascii="楷体" w:hAnsi="楷体" w:eastAsia="楷体" w:cs="楷体"/>
          <w:sz w:val="30"/>
          <w:szCs w:val="30"/>
        </w:rPr>
        <w:t>八、财政专户管理资金收入支出决算表</w:t>
      </w:r>
    </w:p>
    <w:p>
      <w:pPr>
        <w:pStyle w:val="2"/>
        <w:keepNext w:val="0"/>
        <w:keepLines w:val="0"/>
        <w:widowControl/>
        <w:suppressLineNumbers w:val="0"/>
        <w:spacing w:before="0" w:beforeAutospacing="0" w:after="0" w:afterAutospacing="0"/>
        <w:rPr>
          <w:sz w:val="30"/>
          <w:szCs w:val="30"/>
        </w:rPr>
      </w:pPr>
      <w:r>
        <w:rPr>
          <w:rFonts w:hint="eastAsia" w:ascii="楷体" w:hAnsi="楷体" w:eastAsia="楷体" w:cs="楷体"/>
          <w:sz w:val="30"/>
          <w:szCs w:val="30"/>
        </w:rPr>
        <w:t>九、“三公”经费、行政参公单位机关运行经费情况表</w:t>
      </w:r>
    </w:p>
    <w:p>
      <w:pPr>
        <w:pStyle w:val="2"/>
        <w:keepNext w:val="0"/>
        <w:keepLines w:val="0"/>
        <w:widowControl/>
        <w:suppressLineNumbers w:val="0"/>
        <w:spacing w:before="0" w:beforeAutospacing="0" w:after="0" w:afterAutospacing="0"/>
        <w:rPr>
          <w:sz w:val="30"/>
          <w:szCs w:val="30"/>
        </w:rPr>
      </w:pPr>
      <w:r>
        <w:rPr>
          <w:rFonts w:hint="eastAsia" w:ascii="黑体" w:hAnsi="宋体" w:eastAsia="黑体" w:cs="黑体"/>
          <w:sz w:val="30"/>
          <w:szCs w:val="30"/>
        </w:rPr>
        <w:t>第三部门  2018年度部门决算情况说明</w:t>
      </w:r>
    </w:p>
    <w:p>
      <w:pPr>
        <w:pStyle w:val="2"/>
        <w:keepNext w:val="0"/>
        <w:keepLines w:val="0"/>
        <w:widowControl/>
        <w:suppressLineNumbers w:val="0"/>
        <w:spacing w:before="0" w:beforeAutospacing="0" w:after="0" w:afterAutospacing="0"/>
        <w:rPr>
          <w:sz w:val="30"/>
          <w:szCs w:val="30"/>
        </w:rPr>
      </w:pPr>
      <w:r>
        <w:rPr>
          <w:rFonts w:hint="eastAsia" w:ascii="楷体" w:hAnsi="楷体" w:eastAsia="楷体" w:cs="楷体"/>
          <w:sz w:val="30"/>
          <w:szCs w:val="30"/>
        </w:rPr>
        <w:t>一、收入决算情况说明</w:t>
      </w:r>
    </w:p>
    <w:p>
      <w:pPr>
        <w:pStyle w:val="2"/>
        <w:keepNext w:val="0"/>
        <w:keepLines w:val="0"/>
        <w:widowControl/>
        <w:suppressLineNumbers w:val="0"/>
        <w:spacing w:before="0" w:beforeAutospacing="0" w:after="0" w:afterAutospacing="0"/>
        <w:rPr>
          <w:sz w:val="30"/>
          <w:szCs w:val="30"/>
        </w:rPr>
      </w:pPr>
      <w:r>
        <w:rPr>
          <w:rFonts w:hint="eastAsia" w:ascii="楷体" w:hAnsi="楷体" w:eastAsia="楷体" w:cs="楷体"/>
          <w:sz w:val="30"/>
          <w:szCs w:val="30"/>
        </w:rPr>
        <w:t>二、支出决算情况说明</w:t>
      </w:r>
    </w:p>
    <w:p>
      <w:pPr>
        <w:pStyle w:val="2"/>
        <w:keepNext w:val="0"/>
        <w:keepLines w:val="0"/>
        <w:widowControl/>
        <w:suppressLineNumbers w:val="0"/>
        <w:spacing w:before="0" w:beforeAutospacing="0" w:after="0" w:afterAutospacing="0"/>
        <w:rPr>
          <w:sz w:val="30"/>
          <w:szCs w:val="30"/>
        </w:rPr>
      </w:pPr>
      <w:r>
        <w:rPr>
          <w:rFonts w:hint="eastAsia" w:ascii="楷体" w:hAnsi="楷体" w:eastAsia="楷体" w:cs="楷体"/>
          <w:sz w:val="30"/>
          <w:szCs w:val="30"/>
        </w:rPr>
        <w:t>三、一般公共预算财政拨款支出决算情况说明</w:t>
      </w:r>
    </w:p>
    <w:p>
      <w:pPr>
        <w:pStyle w:val="2"/>
        <w:keepNext w:val="0"/>
        <w:keepLines w:val="0"/>
        <w:widowControl/>
        <w:suppressLineNumbers w:val="0"/>
        <w:spacing w:before="100" w:beforeAutospacing="0" w:after="100" w:afterAutospacing="0" w:line="360" w:lineRule="auto"/>
        <w:rPr>
          <w:sz w:val="30"/>
          <w:szCs w:val="30"/>
        </w:rPr>
      </w:pPr>
      <w:r>
        <w:rPr>
          <w:rFonts w:hint="eastAsia" w:ascii="楷体" w:hAnsi="楷体" w:eastAsia="楷体" w:cs="楷体"/>
          <w:sz w:val="30"/>
          <w:szCs w:val="30"/>
        </w:rPr>
        <w:t>四、一般公共预算财政拨款“三公”经费支出决算情况说明</w:t>
      </w:r>
    </w:p>
    <w:p>
      <w:pPr>
        <w:pStyle w:val="2"/>
        <w:keepNext w:val="0"/>
        <w:keepLines w:val="0"/>
        <w:widowControl/>
        <w:suppressLineNumbers w:val="0"/>
        <w:spacing w:before="100" w:beforeAutospacing="0" w:after="100" w:afterAutospacing="0" w:line="360" w:lineRule="auto"/>
        <w:rPr>
          <w:sz w:val="30"/>
          <w:szCs w:val="30"/>
        </w:rPr>
      </w:pPr>
      <w:r>
        <w:rPr>
          <w:rFonts w:hint="eastAsia" w:ascii="楷体" w:hAnsi="楷体" w:eastAsia="楷体" w:cs="楷体"/>
          <w:sz w:val="30"/>
          <w:szCs w:val="30"/>
        </w:rPr>
        <w:t>五、其他重要事项及相关口径情况说明</w:t>
      </w:r>
    </w:p>
    <w:p>
      <w:pPr>
        <w:pStyle w:val="2"/>
        <w:keepNext w:val="0"/>
        <w:keepLines w:val="0"/>
        <w:widowControl/>
        <w:suppressLineNumbers w:val="0"/>
        <w:spacing w:before="100" w:beforeAutospacing="0" w:after="100" w:afterAutospacing="0" w:line="360" w:lineRule="auto"/>
        <w:rPr>
          <w:sz w:val="30"/>
          <w:szCs w:val="30"/>
        </w:rPr>
      </w:pPr>
      <w:r>
        <w:rPr>
          <w:rFonts w:hint="eastAsia" w:ascii="黑体" w:hAnsi="宋体" w:eastAsia="黑体" w:cs="黑体"/>
          <w:sz w:val="30"/>
          <w:szCs w:val="30"/>
        </w:rPr>
        <w:t>第四部分  名词解释</w:t>
      </w:r>
    </w:p>
    <w:p>
      <w:pPr>
        <w:pStyle w:val="2"/>
        <w:keepNext w:val="0"/>
        <w:keepLines w:val="0"/>
        <w:widowControl/>
        <w:suppressLineNumbers w:val="0"/>
        <w:spacing w:before="0" w:beforeAutospacing="0" w:after="0" w:afterAutospacing="0"/>
        <w:jc w:val="center"/>
        <w:rPr>
          <w:sz w:val="32"/>
          <w:szCs w:val="32"/>
        </w:rPr>
      </w:pPr>
      <w:r>
        <w:rPr>
          <w:rFonts w:hint="eastAsia" w:ascii="黑体" w:hAnsi="宋体" w:eastAsia="黑体" w:cs="黑体"/>
          <w:sz w:val="32"/>
          <w:szCs w:val="32"/>
        </w:rPr>
        <w:t>第一部分 维西县残联概况</w:t>
      </w:r>
    </w:p>
    <w:p>
      <w:pPr>
        <w:pStyle w:val="2"/>
        <w:keepNext w:val="0"/>
        <w:keepLines w:val="0"/>
        <w:widowControl/>
        <w:suppressLineNumbers w:val="0"/>
        <w:spacing w:before="0" w:beforeAutospacing="0" w:after="0" w:afterAutospacing="0" w:line="600" w:lineRule="atLeast"/>
        <w:ind w:left="0" w:firstLine="600"/>
        <w:jc w:val="both"/>
      </w:pPr>
      <w:r>
        <w:rPr>
          <w:rFonts w:hint="eastAsia" w:ascii="宋体" w:hAnsi="宋体" w:eastAsia="宋体" w:cs="宋体"/>
          <w:b/>
          <w:sz w:val="30"/>
          <w:szCs w:val="30"/>
        </w:rPr>
        <w:t>一、主要职能</w:t>
      </w:r>
    </w:p>
    <w:p>
      <w:pPr>
        <w:pStyle w:val="2"/>
        <w:keepNext w:val="0"/>
        <w:keepLines w:val="0"/>
        <w:widowControl/>
        <w:suppressLineNumbers w:val="0"/>
        <w:spacing w:before="0" w:beforeAutospacing="0" w:after="0" w:afterAutospacing="0" w:line="520" w:lineRule="atLeast"/>
        <w:ind w:left="0" w:firstLine="640"/>
        <w:jc w:val="both"/>
      </w:pPr>
      <w:r>
        <w:rPr>
          <w:rFonts w:hint="eastAsia" w:ascii="楷体" w:hAnsi="楷体" w:eastAsia="楷体" w:cs="楷体"/>
          <w:sz w:val="30"/>
          <w:szCs w:val="30"/>
        </w:rPr>
        <w:t>维西傈僳族自治县残疾人联合是中国残疾人联合会的地方组织，是由维西县政府直接领导，业务上接受州残联和维西县政府有关部门对口指导。其主要工作职责是：</w:t>
      </w:r>
    </w:p>
    <w:p>
      <w:pPr>
        <w:pStyle w:val="2"/>
        <w:keepNext w:val="0"/>
        <w:keepLines w:val="0"/>
        <w:widowControl/>
        <w:suppressLineNumbers w:val="0"/>
        <w:spacing w:before="0" w:beforeAutospacing="0" w:after="0" w:afterAutospacing="0" w:line="520" w:lineRule="atLeast"/>
        <w:ind w:left="0" w:firstLine="600"/>
        <w:jc w:val="both"/>
      </w:pPr>
      <w:r>
        <w:rPr>
          <w:rFonts w:hint="eastAsia" w:ascii="楷体" w:hAnsi="楷体" w:eastAsia="楷体" w:cs="楷体"/>
          <w:sz w:val="30"/>
          <w:szCs w:val="30"/>
        </w:rPr>
        <w:t>1、听取残疾人意见，反映残疾人需求，维护残疾人权益，为残疾人服务。</w:t>
      </w:r>
    </w:p>
    <w:p>
      <w:pPr>
        <w:pStyle w:val="2"/>
        <w:keepNext w:val="0"/>
        <w:keepLines w:val="0"/>
        <w:widowControl/>
        <w:suppressLineNumbers w:val="0"/>
        <w:spacing w:before="0" w:beforeAutospacing="0" w:after="0" w:afterAutospacing="0" w:line="520" w:lineRule="atLeast"/>
        <w:ind w:left="0" w:firstLine="600"/>
        <w:jc w:val="both"/>
      </w:pPr>
      <w:r>
        <w:rPr>
          <w:rFonts w:hint="eastAsia" w:ascii="楷体" w:hAnsi="楷体" w:eastAsia="楷体" w:cs="楷体"/>
          <w:sz w:val="30"/>
          <w:szCs w:val="30"/>
        </w:rPr>
        <w:t>2、团结、教育残疾人遵守法律，履行应尽的义务，发扬乐观进取精神，自尊、自信、自立、自强，为社会主义建设贡献力量。</w:t>
      </w:r>
    </w:p>
    <w:p>
      <w:pPr>
        <w:pStyle w:val="2"/>
        <w:keepNext w:val="0"/>
        <w:keepLines w:val="0"/>
        <w:widowControl/>
        <w:suppressLineNumbers w:val="0"/>
        <w:spacing w:before="0" w:beforeAutospacing="0" w:after="0" w:afterAutospacing="0" w:line="520" w:lineRule="atLeast"/>
        <w:ind w:left="0" w:firstLine="600"/>
        <w:jc w:val="both"/>
      </w:pPr>
      <w:r>
        <w:rPr>
          <w:rFonts w:hint="eastAsia" w:ascii="楷体" w:hAnsi="楷体" w:eastAsia="楷体" w:cs="楷体"/>
          <w:sz w:val="30"/>
          <w:szCs w:val="30"/>
        </w:rPr>
        <w:t>3、弘扬人道主义，宣传残疾人事业，沟通政府、社会与残疾人之间的联系，动员社会理解、尊重、关心、帮助残疾人。</w:t>
      </w:r>
    </w:p>
    <w:p>
      <w:pPr>
        <w:pStyle w:val="2"/>
        <w:keepNext w:val="0"/>
        <w:keepLines w:val="0"/>
        <w:widowControl/>
        <w:suppressLineNumbers w:val="0"/>
        <w:spacing w:before="0" w:beforeAutospacing="0" w:after="0" w:afterAutospacing="0" w:line="520" w:lineRule="atLeast"/>
        <w:ind w:left="0" w:firstLine="600"/>
        <w:jc w:val="both"/>
      </w:pPr>
      <w:r>
        <w:rPr>
          <w:rFonts w:hint="eastAsia" w:ascii="楷体" w:hAnsi="楷体" w:eastAsia="楷体" w:cs="楷体"/>
          <w:sz w:val="30"/>
          <w:szCs w:val="30"/>
        </w:rPr>
        <w:t>4、开展残疾人康复、扶贫、教育、劳动就业、文化、体育、科研、用品用具供应、福利、社会服务、无障碍设施和残疾预防工作，创造良好的环境和条件，扶助残疾人平等地参与社会生活。</w:t>
      </w:r>
    </w:p>
    <w:p>
      <w:pPr>
        <w:pStyle w:val="2"/>
        <w:keepNext w:val="0"/>
        <w:keepLines w:val="0"/>
        <w:widowControl/>
        <w:suppressLineNumbers w:val="0"/>
        <w:spacing w:before="0" w:beforeAutospacing="0" w:after="0" w:afterAutospacing="0" w:line="520" w:lineRule="atLeast"/>
        <w:ind w:left="0" w:firstLine="600"/>
        <w:jc w:val="both"/>
      </w:pPr>
      <w:r>
        <w:rPr>
          <w:rFonts w:hint="eastAsia" w:ascii="楷体" w:hAnsi="楷体" w:eastAsia="楷体" w:cs="楷体"/>
          <w:sz w:val="30"/>
          <w:szCs w:val="30"/>
        </w:rPr>
        <w:t>5、贯彻执行《中华人民共和国残疾人保障法》协助政府研究、制定和实施残疾人事业的发展、规划和计划。起草有关保障残疾人权益的法规草案，调查掌握残疾人状况，向政府提出决策建议，对有关业务领域进行指导和管理。</w:t>
      </w:r>
    </w:p>
    <w:p>
      <w:pPr>
        <w:pStyle w:val="2"/>
        <w:keepNext w:val="0"/>
        <w:keepLines w:val="0"/>
        <w:widowControl/>
        <w:suppressLineNumbers w:val="0"/>
        <w:spacing w:before="0" w:beforeAutospacing="0" w:after="0" w:afterAutospacing="0" w:line="520" w:lineRule="atLeast"/>
        <w:ind w:left="0" w:firstLine="300"/>
        <w:jc w:val="both"/>
      </w:pPr>
      <w:r>
        <w:rPr>
          <w:rFonts w:hint="eastAsia" w:ascii="楷体" w:hAnsi="楷体" w:eastAsia="楷体" w:cs="楷体"/>
          <w:sz w:val="30"/>
          <w:szCs w:val="30"/>
        </w:rPr>
        <w:t>6、承担县政府残疾人工作协调常委会的日常工作，做好综合、组织、协调和服务工作。</w:t>
      </w:r>
    </w:p>
    <w:p>
      <w:pPr>
        <w:pStyle w:val="2"/>
        <w:keepNext w:val="0"/>
        <w:keepLines w:val="0"/>
        <w:widowControl/>
        <w:suppressLineNumbers w:val="0"/>
        <w:spacing w:before="0" w:beforeAutospacing="0" w:after="0" w:afterAutospacing="0" w:line="520" w:lineRule="atLeast"/>
        <w:ind w:left="0" w:firstLine="300"/>
        <w:jc w:val="both"/>
      </w:pPr>
      <w:r>
        <w:rPr>
          <w:rFonts w:hint="eastAsia" w:ascii="楷体" w:hAnsi="楷体" w:eastAsia="楷体" w:cs="楷体"/>
          <w:sz w:val="30"/>
          <w:szCs w:val="30"/>
        </w:rPr>
        <w:t>7、统筹开展为残疾人事业募捐活动。</w:t>
      </w:r>
    </w:p>
    <w:p>
      <w:pPr>
        <w:pStyle w:val="2"/>
        <w:keepNext w:val="0"/>
        <w:keepLines w:val="0"/>
        <w:widowControl/>
        <w:suppressLineNumbers w:val="0"/>
        <w:spacing w:before="0" w:beforeAutospacing="0" w:after="0" w:afterAutospacing="0" w:line="520" w:lineRule="atLeast"/>
        <w:ind w:left="0" w:firstLine="300"/>
        <w:jc w:val="both"/>
      </w:pPr>
      <w:r>
        <w:rPr>
          <w:rFonts w:hint="eastAsia" w:ascii="楷体" w:hAnsi="楷体" w:eastAsia="楷体" w:cs="楷体"/>
          <w:sz w:val="30"/>
          <w:szCs w:val="30"/>
        </w:rPr>
        <w:t>8、协助县委考察残联领导班子和做好残联干部的管理工作，对乡一级残联（协会）领导干部和残联组织负责人进行培训。</w:t>
      </w:r>
    </w:p>
    <w:p>
      <w:pPr>
        <w:pStyle w:val="2"/>
        <w:keepNext w:val="0"/>
        <w:keepLines w:val="0"/>
        <w:widowControl/>
        <w:suppressLineNumbers w:val="0"/>
        <w:spacing w:before="0" w:beforeAutospacing="0" w:after="0" w:afterAutospacing="0" w:line="520" w:lineRule="atLeast"/>
        <w:ind w:left="0" w:firstLine="300"/>
        <w:jc w:val="both"/>
      </w:pPr>
      <w:r>
        <w:rPr>
          <w:rFonts w:hint="eastAsia" w:ascii="楷体" w:hAnsi="楷体" w:eastAsia="楷体" w:cs="楷体"/>
          <w:sz w:val="30"/>
          <w:szCs w:val="30"/>
        </w:rPr>
        <w:t>9、承担政府交办的其他各项工作。</w:t>
      </w:r>
    </w:p>
    <w:p>
      <w:pPr>
        <w:pStyle w:val="2"/>
        <w:keepNext w:val="0"/>
        <w:keepLines w:val="0"/>
        <w:widowControl/>
        <w:suppressLineNumbers w:val="0"/>
        <w:spacing w:before="0" w:beforeAutospacing="0" w:after="0" w:afterAutospacing="0" w:line="520" w:lineRule="atLeast"/>
        <w:ind w:left="0" w:firstLine="300"/>
        <w:jc w:val="both"/>
      </w:pPr>
      <w:r>
        <w:rPr>
          <w:rFonts w:hint="eastAsia" w:ascii="楷体" w:hAnsi="楷体" w:eastAsia="楷体" w:cs="楷体"/>
          <w:sz w:val="30"/>
          <w:szCs w:val="30"/>
        </w:rPr>
        <w:t>10、指导和管理各类残疾人社团组织。</w:t>
      </w:r>
    </w:p>
    <w:p>
      <w:pPr>
        <w:pStyle w:val="2"/>
        <w:keepNext w:val="0"/>
        <w:keepLines w:val="0"/>
        <w:widowControl/>
        <w:suppressLineNumbers w:val="0"/>
        <w:spacing w:before="0" w:beforeAutospacing="0" w:after="0" w:afterAutospacing="0" w:line="520" w:lineRule="atLeast"/>
        <w:ind w:left="0" w:firstLine="300"/>
        <w:jc w:val="both"/>
      </w:pPr>
      <w:r>
        <w:rPr>
          <w:rFonts w:hint="eastAsia" w:ascii="楷体" w:hAnsi="楷体" w:eastAsia="楷体" w:cs="楷体"/>
          <w:sz w:val="30"/>
          <w:szCs w:val="30"/>
        </w:rPr>
        <w:t>11、承担残疾人专项扶贫工作。</w:t>
      </w:r>
    </w:p>
    <w:p>
      <w:pPr>
        <w:pStyle w:val="2"/>
        <w:keepNext w:val="0"/>
        <w:keepLines w:val="0"/>
        <w:widowControl/>
        <w:suppressLineNumbers w:val="0"/>
        <w:spacing w:before="0" w:beforeAutospacing="0" w:after="0" w:afterAutospacing="0" w:line="600" w:lineRule="atLeast"/>
        <w:ind w:left="0" w:firstLine="300"/>
        <w:jc w:val="both"/>
      </w:pPr>
      <w:r>
        <w:rPr>
          <w:rFonts w:hint="eastAsia" w:ascii="楷体" w:hAnsi="楷体" w:eastAsia="楷体" w:cs="楷体"/>
          <w:sz w:val="30"/>
          <w:szCs w:val="30"/>
        </w:rPr>
        <w:t>12、组织实施残疾人集中或分散按比例安置劳动就业及开展好残疾人就业保障金的征收工作，指导监督和宏观管理残联系统的残疾人福利企业，会同有关部门制定并监督实施残疾人社会福利生产的扶持保护政策。</w:t>
      </w:r>
    </w:p>
    <w:p>
      <w:pPr>
        <w:pStyle w:val="2"/>
        <w:keepNext w:val="0"/>
        <w:keepLines w:val="0"/>
        <w:widowControl/>
        <w:suppressLineNumbers w:val="0"/>
        <w:spacing w:before="0" w:beforeAutospacing="0" w:after="0" w:afterAutospacing="0" w:line="600" w:lineRule="atLeast"/>
        <w:ind w:left="0" w:firstLine="600"/>
        <w:jc w:val="both"/>
      </w:pPr>
      <w:r>
        <w:rPr>
          <w:rFonts w:hint="eastAsia" w:ascii="楷体" w:hAnsi="楷体" w:eastAsia="楷体" w:cs="楷体"/>
          <w:sz w:val="30"/>
          <w:szCs w:val="30"/>
        </w:rPr>
        <w:t> </w:t>
      </w:r>
    </w:p>
    <w:p>
      <w:pPr>
        <w:pStyle w:val="2"/>
        <w:keepNext w:val="0"/>
        <w:keepLines w:val="0"/>
        <w:widowControl/>
        <w:suppressLineNumbers w:val="0"/>
        <w:spacing w:before="93" w:beforeAutospacing="0" w:after="0" w:afterAutospacing="0" w:line="600" w:lineRule="atLeast"/>
        <w:ind w:left="0" w:firstLine="630"/>
        <w:jc w:val="both"/>
      </w:pPr>
      <w:r>
        <w:rPr>
          <w:rFonts w:hint="eastAsia" w:ascii="楷体" w:hAnsi="楷体" w:eastAsia="楷体" w:cs="楷体"/>
          <w:sz w:val="30"/>
          <w:szCs w:val="30"/>
        </w:rPr>
        <w:t>（二）2018年度重点工作任务介绍</w:t>
      </w:r>
    </w:p>
    <w:p>
      <w:pPr>
        <w:pStyle w:val="2"/>
        <w:keepNext w:val="0"/>
        <w:keepLines w:val="0"/>
        <w:widowControl/>
        <w:suppressLineNumbers w:val="0"/>
        <w:spacing w:before="93" w:beforeAutospacing="0" w:after="0" w:afterAutospacing="0" w:line="600" w:lineRule="atLeast"/>
        <w:ind w:left="0" w:firstLine="630"/>
        <w:jc w:val="both"/>
      </w:pPr>
      <w:r>
        <w:rPr>
          <w:rFonts w:ascii="仿宋_GB2312" w:eastAsia="仿宋_GB2312" w:cs="仿宋_GB2312"/>
          <w:sz w:val="30"/>
          <w:szCs w:val="30"/>
        </w:rPr>
        <w:t>2</w:t>
      </w:r>
      <w:r>
        <w:rPr>
          <w:rFonts w:hint="default" w:ascii="仿宋_GB2312" w:eastAsia="仿宋_GB2312" w:cs="仿宋_GB2312"/>
          <w:sz w:val="30"/>
          <w:szCs w:val="30"/>
        </w:rPr>
        <w:t>018年度重点工作任务介绍。</w:t>
      </w:r>
    </w:p>
    <w:p>
      <w:pPr>
        <w:pStyle w:val="2"/>
        <w:keepNext w:val="0"/>
        <w:keepLines w:val="0"/>
        <w:widowControl/>
        <w:suppressLineNumbers w:val="0"/>
        <w:spacing w:before="0" w:beforeAutospacing="0" w:after="0" w:afterAutospacing="0" w:line="600" w:lineRule="atLeast"/>
        <w:ind w:left="0" w:firstLine="600"/>
        <w:jc w:val="both"/>
      </w:pPr>
      <w:r>
        <w:rPr>
          <w:rFonts w:hint="eastAsia" w:ascii="黑体" w:hAnsi="宋体" w:eastAsia="黑体" w:cs="黑体"/>
          <w:sz w:val="30"/>
          <w:szCs w:val="30"/>
        </w:rPr>
        <w:t>二、部门基本情况</w:t>
      </w:r>
    </w:p>
    <w:p>
      <w:pPr>
        <w:pStyle w:val="2"/>
        <w:keepNext w:val="0"/>
        <w:keepLines w:val="0"/>
        <w:widowControl/>
        <w:suppressLineNumbers w:val="0"/>
        <w:spacing w:before="0" w:beforeAutospacing="0" w:after="0" w:afterAutospacing="0" w:line="600" w:lineRule="atLeast"/>
        <w:ind w:left="0" w:firstLine="600"/>
        <w:jc w:val="both"/>
      </w:pPr>
      <w:r>
        <w:rPr>
          <w:rFonts w:hint="eastAsia" w:ascii="楷体" w:hAnsi="楷体" w:eastAsia="楷体" w:cs="楷体"/>
          <w:sz w:val="30"/>
          <w:szCs w:val="30"/>
        </w:rPr>
        <w:t>（一）部门决算单位构成</w:t>
      </w:r>
    </w:p>
    <w:p>
      <w:pPr>
        <w:pStyle w:val="2"/>
        <w:keepNext w:val="0"/>
        <w:keepLines w:val="0"/>
        <w:widowControl/>
        <w:suppressLineNumbers w:val="0"/>
        <w:spacing w:before="0" w:beforeAutospacing="0" w:after="0" w:afterAutospacing="0" w:line="600" w:lineRule="atLeast"/>
        <w:ind w:left="0" w:firstLine="600"/>
        <w:jc w:val="both"/>
      </w:pPr>
      <w:r>
        <w:rPr>
          <w:rFonts w:hint="default" w:ascii="仿宋_GB2312" w:eastAsia="仿宋_GB2312" w:cs="仿宋_GB2312"/>
          <w:sz w:val="30"/>
          <w:szCs w:val="30"/>
        </w:rPr>
        <w:t>纳入维西县残联2018年度部门决算编报的单位共1个。其中：行政单位1个，参照公务员法管理的事业单位0个，其他事业单位0个。</w:t>
      </w:r>
    </w:p>
    <w:p>
      <w:pPr>
        <w:pStyle w:val="2"/>
        <w:keepNext w:val="0"/>
        <w:keepLines w:val="0"/>
        <w:widowControl/>
        <w:suppressLineNumbers w:val="0"/>
        <w:spacing w:before="0" w:beforeAutospacing="0" w:after="0" w:afterAutospacing="0" w:line="600" w:lineRule="atLeast"/>
        <w:ind w:left="0" w:firstLine="600"/>
        <w:jc w:val="both"/>
      </w:pPr>
      <w:r>
        <w:rPr>
          <w:rFonts w:hint="default" w:ascii="仿宋_GB2312" w:eastAsia="仿宋_GB2312" w:cs="仿宋_GB2312"/>
          <w:sz w:val="30"/>
          <w:szCs w:val="30"/>
        </w:rPr>
        <w:t> </w:t>
      </w:r>
    </w:p>
    <w:p>
      <w:pPr>
        <w:pStyle w:val="2"/>
        <w:keepNext w:val="0"/>
        <w:keepLines w:val="0"/>
        <w:widowControl/>
        <w:suppressLineNumbers w:val="0"/>
        <w:spacing w:before="0" w:beforeAutospacing="0" w:after="0" w:afterAutospacing="0"/>
        <w:ind w:left="0" w:firstLine="600"/>
        <w:jc w:val="both"/>
        <w:rPr>
          <w:sz w:val="30"/>
          <w:szCs w:val="30"/>
        </w:rPr>
      </w:pPr>
      <w:r>
        <w:rPr>
          <w:rFonts w:hint="eastAsia" w:ascii="楷体" w:hAnsi="楷体" w:eastAsia="楷体" w:cs="楷体"/>
          <w:sz w:val="30"/>
          <w:szCs w:val="30"/>
        </w:rPr>
        <w:t xml:space="preserve">（二）部门人员和车辆的编制及实有情况 </w:t>
      </w:r>
    </w:p>
    <w:p>
      <w:pPr>
        <w:pStyle w:val="2"/>
        <w:keepNext w:val="0"/>
        <w:keepLines w:val="0"/>
        <w:widowControl/>
        <w:suppressLineNumbers w:val="0"/>
        <w:spacing w:before="0" w:beforeAutospacing="0" w:after="0" w:afterAutospacing="0" w:line="600" w:lineRule="atLeast"/>
        <w:ind w:left="0" w:firstLine="600"/>
        <w:jc w:val="both"/>
      </w:pPr>
      <w:r>
        <w:rPr>
          <w:rFonts w:hint="default" w:ascii="仿宋_GB2312" w:eastAsia="仿宋_GB2312" w:cs="仿宋_GB2312"/>
          <w:sz w:val="30"/>
          <w:szCs w:val="30"/>
        </w:rPr>
        <w:t>维西县残联2018年末实有人员编制9人。其中：行政编制7人（含行政工勤编制2人），事业编制0人（含参公管理事业编制0人）；在职在编实有行政人员12人（含行政工勤人员2人），事业人员0人（含参公管理事业人员0人）。</w:t>
      </w:r>
    </w:p>
    <w:p>
      <w:pPr>
        <w:pStyle w:val="2"/>
        <w:keepNext w:val="0"/>
        <w:keepLines w:val="0"/>
        <w:widowControl/>
        <w:suppressLineNumbers w:val="0"/>
        <w:spacing w:before="0" w:beforeAutospacing="0" w:after="0" w:afterAutospacing="0" w:line="600" w:lineRule="atLeast"/>
        <w:ind w:left="0" w:firstLine="600"/>
        <w:jc w:val="both"/>
      </w:pPr>
      <w:r>
        <w:rPr>
          <w:rFonts w:hint="default" w:ascii="仿宋_GB2312" w:eastAsia="仿宋_GB2312" w:cs="仿宋_GB2312"/>
          <w:sz w:val="30"/>
          <w:szCs w:val="30"/>
        </w:rPr>
        <w:t>离退休人员4人。其中：离休0人，退休4人。</w:t>
      </w:r>
    </w:p>
    <w:p>
      <w:pPr>
        <w:pStyle w:val="2"/>
        <w:keepNext w:val="0"/>
        <w:keepLines w:val="0"/>
        <w:widowControl/>
        <w:suppressLineNumbers w:val="0"/>
        <w:spacing w:before="0" w:beforeAutospacing="0" w:after="0" w:afterAutospacing="0" w:line="600" w:lineRule="atLeast"/>
        <w:ind w:left="0" w:firstLine="600"/>
        <w:jc w:val="both"/>
      </w:pPr>
      <w:r>
        <w:rPr>
          <w:rFonts w:hint="default" w:ascii="仿宋_GB2312" w:eastAsia="仿宋_GB2312" w:cs="仿宋_GB2312"/>
          <w:sz w:val="30"/>
          <w:szCs w:val="30"/>
        </w:rPr>
        <w:t>实有车辆编制1辆，在编实有车辆1辆。</w:t>
      </w:r>
    </w:p>
    <w:p>
      <w:pPr>
        <w:pStyle w:val="2"/>
        <w:keepNext w:val="0"/>
        <w:keepLines w:val="0"/>
        <w:widowControl/>
        <w:suppressLineNumbers w:val="0"/>
        <w:spacing w:before="0" w:beforeAutospacing="0" w:after="0" w:afterAutospacing="0"/>
        <w:jc w:val="center"/>
        <w:rPr>
          <w:sz w:val="32"/>
          <w:szCs w:val="32"/>
        </w:rPr>
      </w:pPr>
      <w:r>
        <w:rPr>
          <w:rFonts w:hint="eastAsia" w:ascii="黑体" w:hAnsi="宋体" w:eastAsia="黑体" w:cs="黑体"/>
          <w:sz w:val="32"/>
          <w:szCs w:val="32"/>
        </w:rPr>
        <w:t>第二部分  2018年度部门决算表</w:t>
      </w:r>
    </w:p>
    <w:p>
      <w:pPr>
        <w:pStyle w:val="2"/>
        <w:keepNext w:val="0"/>
        <w:keepLines w:val="0"/>
        <w:widowControl/>
        <w:suppressLineNumbers w:val="0"/>
        <w:spacing w:before="0" w:beforeAutospacing="0" w:after="0" w:afterAutospacing="0" w:line="600" w:lineRule="atLeast"/>
        <w:ind w:left="0" w:firstLine="600"/>
        <w:jc w:val="center"/>
      </w:pPr>
      <w:r>
        <w:rPr>
          <w:rFonts w:hint="default" w:ascii="仿宋_GB2312" w:eastAsia="仿宋_GB2312" w:cs="仿宋_GB2312"/>
          <w:sz w:val="30"/>
          <w:szCs w:val="30"/>
        </w:rPr>
        <w:t>（详见附件）</w:t>
      </w:r>
    </w:p>
    <w:p>
      <w:pPr>
        <w:pStyle w:val="2"/>
        <w:keepNext w:val="0"/>
        <w:keepLines w:val="0"/>
        <w:widowControl/>
        <w:suppressLineNumbers w:val="0"/>
        <w:spacing w:before="0" w:beforeAutospacing="0" w:after="0" w:afterAutospacing="0" w:line="600" w:lineRule="atLeast"/>
        <w:ind w:left="0" w:firstLine="600"/>
        <w:jc w:val="center"/>
      </w:pPr>
      <w:r>
        <w:rPr>
          <w:rFonts w:hint="default" w:ascii="仿宋_GB2312" w:eastAsia="仿宋_GB2312" w:cs="仿宋_GB2312"/>
          <w:sz w:val="30"/>
          <w:szCs w:val="30"/>
        </w:rPr>
        <w:t> </w:t>
      </w:r>
    </w:p>
    <w:p>
      <w:pPr>
        <w:pStyle w:val="2"/>
        <w:keepNext w:val="0"/>
        <w:keepLines w:val="0"/>
        <w:widowControl/>
        <w:suppressLineNumbers w:val="0"/>
        <w:spacing w:before="0" w:beforeAutospacing="0" w:after="0" w:afterAutospacing="0"/>
        <w:jc w:val="center"/>
        <w:rPr>
          <w:sz w:val="32"/>
          <w:szCs w:val="32"/>
        </w:rPr>
      </w:pPr>
      <w:r>
        <w:rPr>
          <w:rFonts w:hint="eastAsia" w:ascii="黑体" w:hAnsi="宋体" w:eastAsia="黑体" w:cs="黑体"/>
          <w:sz w:val="32"/>
          <w:szCs w:val="32"/>
        </w:rPr>
        <w:t>第三部门  2018年度部门决算情况说明</w:t>
      </w:r>
    </w:p>
    <w:p>
      <w:pPr>
        <w:pStyle w:val="2"/>
        <w:keepNext w:val="0"/>
        <w:keepLines w:val="0"/>
        <w:widowControl/>
        <w:suppressLineNumbers w:val="0"/>
        <w:spacing w:before="0" w:beforeAutospacing="0" w:after="0" w:afterAutospacing="0"/>
        <w:ind w:left="0" w:firstLine="600"/>
        <w:rPr>
          <w:sz w:val="30"/>
          <w:szCs w:val="30"/>
        </w:rPr>
      </w:pPr>
      <w:r>
        <w:rPr>
          <w:rFonts w:hint="eastAsia" w:ascii="黑体" w:hAnsi="宋体" w:eastAsia="黑体" w:cs="黑体"/>
          <w:sz w:val="30"/>
          <w:szCs w:val="30"/>
        </w:rPr>
        <w:t>一、收入决算情况说明</w:t>
      </w:r>
    </w:p>
    <w:p>
      <w:pPr>
        <w:pStyle w:val="2"/>
        <w:keepNext w:val="0"/>
        <w:keepLines w:val="0"/>
        <w:widowControl/>
        <w:suppressLineNumbers w:val="0"/>
        <w:spacing w:before="100" w:beforeAutospacing="0" w:after="100" w:afterAutospacing="0" w:line="600" w:lineRule="atLeast"/>
        <w:ind w:left="0" w:firstLine="538"/>
      </w:pPr>
      <w:r>
        <w:rPr>
          <w:rFonts w:hint="default" w:ascii="仿宋_GB2312" w:eastAsia="仿宋_GB2312" w:cs="仿宋_GB2312"/>
          <w:sz w:val="30"/>
          <w:szCs w:val="30"/>
        </w:rPr>
        <w:t>维西县残联2018年度收入合计691.35万元。其中：财政拨款收入611.35万元，占总收入的88%；上级补助收入0万元，占总收入的0%；事业收入0万元，占总收入的0%；经营收入0万元，占总收入的0%；附属单位缴款收入0万元，占总收入的0%；其他收入80万元，占总收入的12%。</w:t>
      </w:r>
    </w:p>
    <w:p>
      <w:pPr>
        <w:pStyle w:val="2"/>
        <w:keepNext w:val="0"/>
        <w:keepLines w:val="0"/>
        <w:widowControl/>
        <w:suppressLineNumbers w:val="0"/>
        <w:spacing w:before="0" w:beforeAutospacing="0" w:after="0" w:afterAutospacing="0"/>
        <w:ind w:left="0" w:firstLine="600"/>
        <w:rPr>
          <w:sz w:val="30"/>
          <w:szCs w:val="30"/>
        </w:rPr>
      </w:pPr>
      <w:r>
        <w:rPr>
          <w:rFonts w:hint="eastAsia" w:ascii="黑体" w:hAnsi="宋体" w:eastAsia="黑体" w:cs="黑体"/>
          <w:sz w:val="30"/>
          <w:szCs w:val="30"/>
        </w:rPr>
        <w:t>二、支出决算情况说明</w:t>
      </w:r>
    </w:p>
    <w:p>
      <w:pPr>
        <w:pStyle w:val="2"/>
        <w:keepNext w:val="0"/>
        <w:keepLines w:val="0"/>
        <w:widowControl/>
        <w:suppressLineNumbers w:val="0"/>
        <w:spacing w:before="0" w:beforeAutospacing="0" w:after="0" w:afterAutospacing="0" w:line="600" w:lineRule="atLeast"/>
        <w:ind w:left="0" w:firstLine="600"/>
        <w:jc w:val="both"/>
      </w:pPr>
      <w:r>
        <w:rPr>
          <w:rFonts w:hint="default" w:ascii="仿宋_GB2312" w:eastAsia="仿宋_GB2312" w:cs="仿宋_GB2312"/>
          <w:sz w:val="30"/>
          <w:szCs w:val="30"/>
        </w:rPr>
        <w:t>维西县残联2018年度支出合计699.67万元。其中：基本支出295.58万元，占总支出的42％；项目支出404.09万元，占总支出的58％；上缴上级支出、经营支出、对附属单位补助支出共0万元，占总支出的0％。</w:t>
      </w:r>
    </w:p>
    <w:p>
      <w:pPr>
        <w:pStyle w:val="2"/>
        <w:keepNext w:val="0"/>
        <w:keepLines w:val="0"/>
        <w:widowControl/>
        <w:suppressLineNumbers w:val="0"/>
        <w:spacing w:before="100" w:beforeAutospacing="0" w:after="100" w:afterAutospacing="0" w:line="600" w:lineRule="atLeast"/>
        <w:ind w:left="0" w:firstLine="600"/>
      </w:pPr>
      <w:r>
        <w:rPr>
          <w:rFonts w:hint="eastAsia" w:ascii="楷体" w:hAnsi="楷体" w:eastAsia="楷体" w:cs="楷体"/>
          <w:sz w:val="30"/>
          <w:szCs w:val="30"/>
        </w:rPr>
        <w:t>（一）基本支出情况</w:t>
      </w:r>
    </w:p>
    <w:p>
      <w:pPr>
        <w:pStyle w:val="2"/>
        <w:keepNext w:val="0"/>
        <w:keepLines w:val="0"/>
        <w:widowControl/>
        <w:suppressLineNumbers w:val="0"/>
        <w:spacing w:before="100" w:beforeAutospacing="0" w:after="100" w:afterAutospacing="0" w:line="600" w:lineRule="atLeast"/>
        <w:ind w:left="0" w:firstLine="600"/>
      </w:pPr>
      <w:r>
        <w:rPr>
          <w:rFonts w:hint="default" w:ascii="仿宋_GB2312" w:eastAsia="仿宋_GB2312" w:cs="仿宋_GB2312"/>
          <w:sz w:val="30"/>
          <w:szCs w:val="30"/>
        </w:rPr>
        <w:t>2018年度用于维西县残联正常运转的日常支出588.64万元。包括基本工资、津贴补贴等人员经费支出占基本支出的44％；办公费、印刷费、水电费、办公设备购置等日常公用经费占基本支出的0.3％。</w:t>
      </w:r>
    </w:p>
    <w:p>
      <w:pPr>
        <w:pStyle w:val="2"/>
        <w:keepNext w:val="0"/>
        <w:keepLines w:val="0"/>
        <w:widowControl/>
        <w:suppressLineNumbers w:val="0"/>
        <w:spacing w:before="100" w:beforeAutospacing="0" w:after="100" w:afterAutospacing="0" w:line="600" w:lineRule="atLeast"/>
        <w:ind w:left="0" w:firstLine="600"/>
      </w:pPr>
      <w:r>
        <w:rPr>
          <w:rFonts w:hint="eastAsia" w:ascii="楷体" w:hAnsi="楷体" w:eastAsia="楷体" w:cs="楷体"/>
          <w:sz w:val="30"/>
          <w:szCs w:val="30"/>
        </w:rPr>
        <w:t>（二）项目支出情况</w:t>
      </w:r>
    </w:p>
    <w:p>
      <w:pPr>
        <w:pStyle w:val="2"/>
        <w:keepNext w:val="0"/>
        <w:keepLines w:val="0"/>
        <w:widowControl/>
        <w:suppressLineNumbers w:val="0"/>
        <w:spacing w:before="100" w:beforeAutospacing="0" w:after="100" w:afterAutospacing="0" w:line="600" w:lineRule="atLeast"/>
        <w:ind w:left="0" w:firstLine="600"/>
      </w:pPr>
      <w:r>
        <w:rPr>
          <w:rFonts w:hint="default" w:ascii="仿宋_GB2312" w:eastAsia="仿宋_GB2312" w:cs="仿宋_GB2312"/>
          <w:sz w:val="30"/>
          <w:szCs w:val="30"/>
        </w:rPr>
        <w:t>2018年度用于保障县残联机构、下属事业单位等机构为完成特定的行政工作任务或事业发展目标，用于专项业务工作的经费支出404.09万元。具体项目开支及开展工作情况：残疾人事业（残疾人康复支出15.88万元、残疾人就业和扶贫支出69.54万元、其他残疾人事业支出265.73万元）；其他支出（彩票公益金及对应专项债务收入安排的支出共52.93万元其中： 用于社会福利的彩票公益金支出6.2万元、  用于体育事业的彩票公益金支出7.61万元、用于残疾人事业的彩票公益金支出39.12万元）。</w:t>
      </w:r>
    </w:p>
    <w:p>
      <w:pPr>
        <w:pStyle w:val="2"/>
        <w:keepNext w:val="0"/>
        <w:keepLines w:val="0"/>
        <w:widowControl/>
        <w:suppressLineNumbers w:val="0"/>
        <w:spacing w:before="100" w:beforeAutospacing="0" w:after="100" w:afterAutospacing="0" w:line="600" w:lineRule="atLeast"/>
        <w:ind w:left="0" w:firstLine="600"/>
      </w:pPr>
      <w:r>
        <w:rPr>
          <w:rFonts w:hint="eastAsia" w:ascii="黑体" w:hAnsi="宋体" w:eastAsia="黑体" w:cs="黑体"/>
          <w:sz w:val="30"/>
          <w:szCs w:val="30"/>
        </w:rPr>
        <w:t>三、一般公共预算财政拨款支出决算情况说明</w:t>
      </w:r>
    </w:p>
    <w:p>
      <w:pPr>
        <w:pStyle w:val="2"/>
        <w:keepNext w:val="0"/>
        <w:keepLines w:val="0"/>
        <w:widowControl/>
        <w:suppressLineNumbers w:val="0"/>
        <w:spacing w:before="100" w:beforeAutospacing="0" w:after="100" w:afterAutospacing="0" w:line="600" w:lineRule="atLeast"/>
        <w:ind w:left="0" w:firstLine="600"/>
      </w:pPr>
      <w:r>
        <w:rPr>
          <w:rFonts w:hint="eastAsia" w:ascii="楷体" w:hAnsi="楷体" w:eastAsia="楷体" w:cs="楷体"/>
          <w:sz w:val="30"/>
          <w:szCs w:val="30"/>
        </w:rPr>
        <w:t>（一）一般公共预算财政拨款支出决算总体情况</w:t>
      </w:r>
    </w:p>
    <w:p>
      <w:pPr>
        <w:pStyle w:val="2"/>
        <w:keepNext w:val="0"/>
        <w:keepLines w:val="0"/>
        <w:widowControl/>
        <w:suppressLineNumbers w:val="0"/>
        <w:spacing w:before="100" w:beforeAutospacing="0" w:after="100" w:afterAutospacing="0" w:line="600" w:lineRule="atLeast"/>
        <w:ind w:left="0" w:firstLine="600"/>
      </w:pPr>
      <w:r>
        <w:rPr>
          <w:rFonts w:hint="default" w:ascii="仿宋_GB2312" w:eastAsia="仿宋_GB2312" w:cs="仿宋_GB2312"/>
          <w:sz w:val="30"/>
          <w:szCs w:val="30"/>
        </w:rPr>
        <w:t>维西县残联2018年度一般公共预算财政拨款支出646.74万元,占本年支出合计的92%。</w:t>
      </w:r>
    </w:p>
    <w:p>
      <w:pPr>
        <w:pStyle w:val="2"/>
        <w:keepNext w:val="0"/>
        <w:keepLines w:val="0"/>
        <w:widowControl/>
        <w:suppressLineNumbers w:val="0"/>
        <w:spacing w:before="100" w:beforeAutospacing="0" w:after="100" w:afterAutospacing="0" w:line="600" w:lineRule="atLeast"/>
        <w:ind w:left="0" w:firstLine="600"/>
      </w:pPr>
      <w:r>
        <w:rPr>
          <w:rFonts w:hint="eastAsia" w:ascii="楷体" w:hAnsi="楷体" w:eastAsia="楷体" w:cs="楷体"/>
          <w:sz w:val="30"/>
          <w:szCs w:val="30"/>
        </w:rPr>
        <w:t>（二）一般公共预算财政拨款支出决算具体情况</w:t>
      </w:r>
      <w:r>
        <w:t>   </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sz w:val="30"/>
          <w:szCs w:val="30"/>
        </w:rPr>
        <w:t>1.一般公共服务（类）支出23.32万元，占一般公共预算财政拨款总支出的0.3%。主要用于基本支出。</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sz w:val="30"/>
          <w:szCs w:val="30"/>
        </w:rPr>
        <w:t>2.外交（类）支出0万元，占一般公共预算财政拨款总支出的0%。主要用于（相关支出情况）；</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sz w:val="30"/>
          <w:szCs w:val="30"/>
        </w:rPr>
        <w:t>3.国防（类）支出0万元，占一般公共预算财政拨款总支出的0%。主要用于（相关支出情况）；</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sz w:val="30"/>
          <w:szCs w:val="30"/>
        </w:rPr>
        <w:t>4.公共安全（类）支出0万元，占一般公共预算财政拨款总支出的0。主要用于（相关支出情况）；</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eastAsia" w:ascii="黑体" w:hAnsi="宋体" w:eastAsia="黑体" w:cs="黑体"/>
          <w:sz w:val="30"/>
          <w:szCs w:val="30"/>
        </w:rPr>
        <w:t>四、一般公共预算财政拨款“三公”经费支出决算情况说明</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eastAsia" w:ascii="楷体" w:hAnsi="楷体" w:eastAsia="楷体" w:cs="楷体"/>
          <w:sz w:val="30"/>
          <w:szCs w:val="30"/>
        </w:rPr>
        <w:t>(一)</w:t>
      </w:r>
      <w:r>
        <w:rPr>
          <w:rFonts w:hint="eastAsia" w:ascii="黑体" w:hAnsi="宋体" w:eastAsia="黑体" w:cs="黑体"/>
          <w:sz w:val="30"/>
          <w:szCs w:val="30"/>
        </w:rPr>
        <w:t xml:space="preserve"> </w:t>
      </w:r>
      <w:r>
        <w:rPr>
          <w:rFonts w:hint="eastAsia" w:ascii="楷体" w:hAnsi="楷体" w:eastAsia="楷体" w:cs="楷体"/>
          <w:sz w:val="30"/>
          <w:szCs w:val="30"/>
        </w:rPr>
        <w:t>一般公共预算财政拨款“三公”经费支出决算总体情况</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sz w:val="30"/>
          <w:szCs w:val="30"/>
        </w:rPr>
        <w:t>维西县残联2018年度一般公共预算财政拨款“三公”经费支出预算为1.80万元，支出决算为1.9万元，完成预算的1%。其中：因公出国（境）费支出决算为0万元，完成预算的0%；公务用车购置及运行费支出决算为1万元，完成预算的0.5%；公务接待费支出决算为0.79万元，完成预算的0.4%。2018年度一般公共预算财政拨款“三公”经费支出决算数大于/小于预算数的主要原因出差多。</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sz w:val="30"/>
          <w:szCs w:val="30"/>
        </w:rPr>
        <w:t>2018年度一般公共预算财政拨款“三公”经费支出决算数比2017年减少0.54万元，增长0.28X%。其中：因公出国（境）费支出决算增加/减少0万元，增长/下降0%；公务用车购置及运行费支出决算减少1.64万元，下降0.6%；公务接待费支出决算减少0.79万元，下降7.9%。2018年度一般公共预算财政拨款“三公”经费支出决算减少的主要原因经费少。</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eastAsia" w:ascii="楷体" w:hAnsi="楷体" w:eastAsia="楷体" w:cs="楷体"/>
          <w:sz w:val="30"/>
          <w:szCs w:val="30"/>
        </w:rPr>
        <w:t>(二)</w:t>
      </w:r>
      <w:r>
        <w:rPr>
          <w:rFonts w:hint="default" w:ascii="仿宋_GB2312" w:eastAsia="仿宋_GB2312" w:cs="仿宋_GB2312"/>
          <w:sz w:val="30"/>
          <w:szCs w:val="30"/>
        </w:rPr>
        <w:t xml:space="preserve"> </w:t>
      </w:r>
      <w:r>
        <w:rPr>
          <w:rFonts w:hint="eastAsia" w:ascii="楷体" w:hAnsi="楷体" w:eastAsia="楷体" w:cs="楷体"/>
          <w:sz w:val="30"/>
          <w:szCs w:val="30"/>
        </w:rPr>
        <w:t>一般公共预算财政拨款“三公”经费支出决算具体情况</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sz w:val="30"/>
          <w:szCs w:val="30"/>
        </w:rPr>
        <w:t>2018年度一般公共预算财政拨款“三公”经费支出决算中，因公出国（境）费支出0万元，占0%；公务用车购置及运行维护费支出1万元，占0.05%；公务接待费支出0.79万元，占0.04%。具体情况如下：</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b/>
          <w:sz w:val="30"/>
          <w:szCs w:val="30"/>
        </w:rPr>
        <w:t>1.因公出国（境）费</w:t>
      </w:r>
      <w:r>
        <w:rPr>
          <w:rFonts w:hint="default" w:ascii="仿宋_GB2312" w:eastAsia="仿宋_GB2312" w:cs="仿宋_GB2312"/>
          <w:sz w:val="30"/>
          <w:szCs w:val="30"/>
        </w:rPr>
        <w:t>支出0万元，共安排因公出国（境）团组0个，累计0人次。开展内容包括：具体出国开支及开展工作情况等。</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b/>
          <w:sz w:val="30"/>
          <w:szCs w:val="30"/>
        </w:rPr>
        <w:t>2. 公务用车购置及运行维护费</w:t>
      </w:r>
      <w:r>
        <w:rPr>
          <w:rFonts w:hint="default" w:ascii="仿宋_GB2312" w:eastAsia="仿宋_GB2312" w:cs="仿宋_GB2312"/>
          <w:sz w:val="30"/>
          <w:szCs w:val="30"/>
        </w:rPr>
        <w:t>支出1万元。其中：</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b/>
          <w:sz w:val="30"/>
          <w:szCs w:val="30"/>
        </w:rPr>
        <w:t>公务用车购置</w:t>
      </w:r>
      <w:r>
        <w:rPr>
          <w:rFonts w:hint="default" w:ascii="仿宋_GB2312" w:eastAsia="仿宋_GB2312" w:cs="仿宋_GB2312"/>
          <w:sz w:val="30"/>
          <w:szCs w:val="30"/>
        </w:rPr>
        <w:t>支出0万元，购置车辆0辆。具体购置车辆原因、情况等。</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b/>
          <w:sz w:val="30"/>
          <w:szCs w:val="30"/>
        </w:rPr>
        <w:t>公务用车运行维护</w:t>
      </w:r>
      <w:r>
        <w:rPr>
          <w:rFonts w:hint="default" w:ascii="仿宋_GB2312" w:eastAsia="仿宋_GB2312" w:cs="仿宋_GB2312"/>
          <w:sz w:val="30"/>
          <w:szCs w:val="30"/>
        </w:rPr>
        <w:t>支出1万元，开支一般公共预算财政拨款的公务用车保有量为1辆。主要用于下乡、出差（相关工作范围）所需车辆燃料费、维修费、过路过桥费、保险费等。</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b/>
          <w:sz w:val="30"/>
          <w:szCs w:val="30"/>
        </w:rPr>
        <w:t>3.公务接待费</w:t>
      </w:r>
      <w:r>
        <w:rPr>
          <w:rFonts w:hint="default" w:ascii="仿宋_GB2312" w:eastAsia="仿宋_GB2312" w:cs="仿宋_GB2312"/>
          <w:sz w:val="30"/>
          <w:szCs w:val="30"/>
        </w:rPr>
        <w:t>支出0.79万元。其中：</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b/>
          <w:sz w:val="30"/>
          <w:szCs w:val="30"/>
        </w:rPr>
        <w:t>国内接待费</w:t>
      </w:r>
      <w:r>
        <w:rPr>
          <w:rFonts w:hint="default" w:ascii="仿宋_GB2312" w:eastAsia="仿宋_GB2312" w:cs="仿宋_GB2312"/>
          <w:sz w:val="30"/>
          <w:szCs w:val="30"/>
        </w:rPr>
        <w:t>支出0.79万元（其中：外事接待费支出0万元），共安排国内公务接待11批次（其中：外事接待0批次），接待人次124人（其中：外事接待人次0人）。主要用于培训（相关工作，产生的接待批次及人次等）发生的接待支出。</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default" w:ascii="仿宋_GB2312" w:eastAsia="仿宋_GB2312" w:cs="仿宋_GB2312"/>
          <w:b/>
          <w:sz w:val="30"/>
          <w:szCs w:val="30"/>
        </w:rPr>
        <w:t>国（境）外接待费</w:t>
      </w:r>
      <w:r>
        <w:rPr>
          <w:rFonts w:hint="default" w:ascii="仿宋_GB2312" w:eastAsia="仿宋_GB2312" w:cs="仿宋_GB2312"/>
          <w:sz w:val="30"/>
          <w:szCs w:val="30"/>
        </w:rPr>
        <w:t>支出0万元，共安排国（境）外公务接待0批次，接待人次0人。主要用于0（相关工作，产生的接待批次及人次等）发生的接待支出。</w:t>
      </w:r>
    </w:p>
    <w:p>
      <w:pPr>
        <w:pStyle w:val="2"/>
        <w:keepNext w:val="0"/>
        <w:keepLines w:val="0"/>
        <w:widowControl/>
        <w:suppressLineNumbers w:val="0"/>
        <w:spacing w:before="100" w:beforeAutospacing="0" w:after="100" w:afterAutospacing="0" w:line="360" w:lineRule="auto"/>
        <w:ind w:left="0" w:firstLine="600"/>
        <w:rPr>
          <w:sz w:val="30"/>
          <w:szCs w:val="30"/>
        </w:rPr>
      </w:pPr>
      <w:r>
        <w:rPr>
          <w:rFonts w:hint="eastAsia" w:ascii="黑体" w:hAnsi="宋体" w:eastAsia="黑体" w:cs="黑体"/>
          <w:sz w:val="30"/>
          <w:szCs w:val="30"/>
        </w:rPr>
        <w:t>五、其他重要事项及相关口径情况说明</w:t>
      </w:r>
    </w:p>
    <w:p>
      <w:pPr>
        <w:pStyle w:val="2"/>
        <w:keepNext w:val="0"/>
        <w:keepLines w:val="0"/>
        <w:widowControl/>
        <w:suppressLineNumbers w:val="0"/>
        <w:spacing w:before="0" w:beforeAutospacing="0" w:after="0" w:afterAutospacing="0"/>
        <w:ind w:left="0" w:firstLine="600"/>
        <w:rPr>
          <w:sz w:val="30"/>
          <w:szCs w:val="30"/>
        </w:rPr>
      </w:pPr>
      <w:r>
        <w:rPr>
          <w:rFonts w:ascii="楷体_GB2312" w:eastAsia="楷体_GB2312" w:cs="楷体_GB2312"/>
          <w:sz w:val="30"/>
          <w:szCs w:val="30"/>
        </w:rPr>
        <w:t>(一)机关运行经费支出情况</w:t>
      </w:r>
    </w:p>
    <w:p>
      <w:pPr>
        <w:pStyle w:val="2"/>
        <w:keepNext w:val="0"/>
        <w:keepLines w:val="0"/>
        <w:widowControl/>
        <w:suppressLineNumbers w:val="0"/>
        <w:spacing w:before="0" w:beforeAutospacing="0" w:after="0" w:afterAutospacing="0"/>
        <w:ind w:left="0" w:firstLine="600"/>
        <w:rPr>
          <w:sz w:val="30"/>
          <w:szCs w:val="30"/>
        </w:rPr>
      </w:pPr>
      <w:r>
        <w:rPr>
          <w:rFonts w:hint="default" w:ascii="仿宋_GB2312" w:eastAsia="仿宋_GB2312" w:cs="仿宋_GB2312"/>
          <w:sz w:val="30"/>
          <w:szCs w:val="30"/>
        </w:rPr>
        <w:t>维西县残联2018年机关运行经费支出17.94万元，部门机关运行经费主要用于本单位。</w:t>
      </w:r>
    </w:p>
    <w:p>
      <w:pPr>
        <w:pStyle w:val="2"/>
        <w:keepNext w:val="0"/>
        <w:keepLines w:val="0"/>
        <w:widowControl/>
        <w:suppressLineNumbers w:val="0"/>
        <w:spacing w:before="0" w:beforeAutospacing="0" w:after="0" w:afterAutospacing="0"/>
        <w:ind w:left="0" w:firstLine="600"/>
        <w:rPr>
          <w:sz w:val="30"/>
          <w:szCs w:val="30"/>
        </w:rPr>
      </w:pPr>
      <w:r>
        <w:rPr>
          <w:rFonts w:hint="default" w:ascii="楷体_GB2312" w:eastAsia="楷体_GB2312" w:cs="楷体_GB2312"/>
          <w:sz w:val="30"/>
          <w:szCs w:val="30"/>
        </w:rPr>
        <w:t>（二）国有资产占用情况</w:t>
      </w:r>
    </w:p>
    <w:p>
      <w:pPr>
        <w:pStyle w:val="2"/>
        <w:keepNext w:val="0"/>
        <w:keepLines w:val="0"/>
        <w:widowControl/>
        <w:suppressLineNumbers w:val="0"/>
        <w:spacing w:before="0" w:beforeAutospacing="0" w:after="0" w:afterAutospacing="0"/>
        <w:ind w:left="0" w:firstLine="600"/>
        <w:rPr>
          <w:sz w:val="30"/>
          <w:szCs w:val="30"/>
        </w:rPr>
      </w:pPr>
      <w:r>
        <w:rPr>
          <w:rFonts w:hint="default" w:ascii="仿宋_GB2312" w:eastAsia="仿宋_GB2312" w:cs="仿宋_GB2312"/>
          <w:sz w:val="30"/>
          <w:szCs w:val="30"/>
        </w:rPr>
        <w:t>截至2018年12月31日维西县残联资产总额486.81万元，其中，流动资产349.05万元，固定资产137.76万元，对外投资及有价证券0万元，在建工程0万元，无形资产0万元，其他资产0万元（具体内容详见附表）。与上年相比，本年资产总额增加（减少）0万元，其中固定资产增加（减少）0万元。处置房屋建筑物0平方米，账面原值0万元；处置车辆0辆，账面原值0万元；报废报损资产0项，账面原值0万元，实现资产处置收入0万元；出租房屋60平方米，账面原值0万元，实现资产使用收入0万元。</w:t>
      </w:r>
    </w:p>
    <w:p>
      <w:pPr>
        <w:pStyle w:val="2"/>
        <w:keepNext w:val="0"/>
        <w:keepLines w:val="0"/>
        <w:widowControl/>
        <w:suppressLineNumbers w:val="0"/>
        <w:spacing w:before="0" w:beforeAutospacing="0" w:after="0" w:afterAutospacing="0"/>
        <w:ind w:left="0" w:firstLine="600"/>
        <w:rPr>
          <w:sz w:val="30"/>
          <w:szCs w:val="30"/>
        </w:rPr>
      </w:pPr>
      <w:r>
        <w:rPr>
          <w:rFonts w:hint="default" w:ascii="仿宋_GB2312" w:eastAsia="仿宋_GB2312" w:cs="仿宋_GB2312"/>
          <w:sz w:val="30"/>
          <w:szCs w:val="30"/>
        </w:rPr>
        <w:t> </w:t>
      </w:r>
    </w:p>
    <w:tbl>
      <w:tblPr>
        <w:tblW w:w="8156" w:type="dxa"/>
        <w:tblInd w:w="18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485"/>
        <w:gridCol w:w="394"/>
        <w:gridCol w:w="816"/>
        <w:gridCol w:w="816"/>
        <w:gridCol w:w="355"/>
        <w:gridCol w:w="490"/>
        <w:gridCol w:w="560"/>
        <w:gridCol w:w="39"/>
        <w:gridCol w:w="572"/>
        <w:gridCol w:w="228"/>
        <w:gridCol w:w="403"/>
        <w:gridCol w:w="230"/>
        <w:gridCol w:w="633"/>
        <w:gridCol w:w="634"/>
        <w:gridCol w:w="302"/>
        <w:gridCol w:w="418"/>
        <w:gridCol w:w="234"/>
        <w:gridCol w:w="170"/>
        <w:gridCol w:w="344"/>
        <w:gridCol w:w="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gridAfter w:val="1"/>
          <w:wAfter w:w="33" w:type="dxa"/>
          <w:trHeight w:val="495" w:hRule="atLeast"/>
        </w:trPr>
        <w:tc>
          <w:tcPr>
            <w:tcW w:w="8123" w:type="dxa"/>
            <w:gridSpan w:val="19"/>
            <w:shd w:val="clear" w:color="auto" w:fill="FFFFFF"/>
            <w:tcMar>
              <w:top w:w="15" w:type="dxa"/>
              <w:left w:w="15" w:type="dxa"/>
              <w:bottom w:w="15" w:type="dxa"/>
              <w:right w:w="15" w:type="dxa"/>
            </w:tcMar>
            <w:vAlign w:val="center"/>
          </w:tcPr>
          <w:p>
            <w:pPr>
              <w:pStyle w:val="2"/>
              <w:keepNext w:val="0"/>
              <w:keepLines w:val="0"/>
              <w:widowControl/>
              <w:suppressLineNumbers w:val="0"/>
              <w:spacing w:before="0" w:beforeAutospacing="0" w:after="0" w:afterAutospacing="0"/>
              <w:jc w:val="center"/>
              <w:rPr>
                <w:sz w:val="30"/>
                <w:szCs w:val="30"/>
              </w:rPr>
            </w:pPr>
            <w:r>
              <w:rPr>
                <w:rFonts w:hint="default" w:ascii="仿宋_GB2312" w:eastAsia="仿宋_GB2312" w:cs="仿宋_GB2312"/>
                <w:b/>
                <w:sz w:val="30"/>
                <w:szCs w:val="30"/>
                <w:bdr w:val="none" w:color="auto" w:sz="0" w:space="0"/>
              </w:rPr>
              <w:t>国有资产占有使用情况表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33" w:type="dxa"/>
          <w:trHeight w:val="347" w:hRule="atLeast"/>
        </w:trPr>
        <w:tc>
          <w:tcPr>
            <w:tcW w:w="3955" w:type="dxa"/>
            <w:gridSpan w:val="8"/>
            <w:tcBorders>
              <w:bottom w:val="single" w:color="808080" w:sz="6" w:space="0"/>
            </w:tcBorders>
            <w:shd w:val="clear" w:color="auto" w:fill="FFFFFF"/>
            <w:tcMar>
              <w:top w:w="15" w:type="dxa"/>
              <w:left w:w="15" w:type="dxa"/>
              <w:bottom w:w="8" w:type="dxa"/>
              <w:right w:w="15" w:type="dxa"/>
            </w:tcMar>
            <w:vAlign w:val="center"/>
          </w:tcPr>
          <w:p>
            <w:pPr>
              <w:pStyle w:val="2"/>
              <w:keepNext w:val="0"/>
              <w:keepLines w:val="0"/>
              <w:widowControl/>
              <w:suppressLineNumbers w:val="0"/>
              <w:spacing w:before="0" w:beforeAutospacing="0" w:after="0" w:afterAutospacing="0"/>
              <w:rPr>
                <w:sz w:val="20"/>
                <w:szCs w:val="20"/>
              </w:rPr>
            </w:pPr>
            <w:r>
              <w:rPr>
                <w:rFonts w:hint="eastAsia" w:ascii="宋体" w:hAnsi="宋体" w:eastAsia="宋体" w:cs="宋体"/>
                <w:sz w:val="20"/>
                <w:szCs w:val="20"/>
                <w:bdr w:val="none" w:color="auto" w:sz="0" w:space="0"/>
              </w:rPr>
              <w:t> </w:t>
            </w:r>
          </w:p>
        </w:tc>
        <w:tc>
          <w:tcPr>
            <w:tcW w:w="572" w:type="dxa"/>
            <w:tcBorders>
              <w:bottom w:val="single" w:color="808080" w:sz="6" w:space="0"/>
            </w:tcBorders>
            <w:shd w:val="clear" w:color="auto" w:fill="FFFFFF"/>
            <w:tcMar>
              <w:top w:w="15" w:type="dxa"/>
              <w:left w:w="15" w:type="dxa"/>
              <w:bottom w:w="8" w:type="dxa"/>
              <w:right w:w="15" w:type="dxa"/>
            </w:tcMar>
            <w:vAlign w:val="center"/>
          </w:tcPr>
          <w:p>
            <w:pPr>
              <w:pStyle w:val="2"/>
              <w:keepNext w:val="0"/>
              <w:keepLines w:val="0"/>
              <w:widowControl/>
              <w:suppressLineNumbers w:val="0"/>
              <w:spacing w:before="0" w:beforeAutospacing="0" w:after="0" w:afterAutospacing="0"/>
              <w:rPr>
                <w:sz w:val="20"/>
                <w:szCs w:val="20"/>
              </w:rPr>
            </w:pPr>
            <w:r>
              <w:rPr>
                <w:rFonts w:hint="eastAsia" w:ascii="宋体" w:hAnsi="宋体" w:eastAsia="宋体" w:cs="宋体"/>
                <w:sz w:val="20"/>
                <w:szCs w:val="20"/>
                <w:bdr w:val="none" w:color="auto" w:sz="0" w:space="0"/>
              </w:rPr>
              <w:t> </w:t>
            </w:r>
          </w:p>
        </w:tc>
        <w:tc>
          <w:tcPr>
            <w:tcW w:w="631" w:type="dxa"/>
            <w:gridSpan w:val="2"/>
            <w:tcBorders>
              <w:bottom w:val="single" w:color="808080" w:sz="6" w:space="0"/>
            </w:tcBorders>
            <w:shd w:val="clear" w:color="auto" w:fill="FFFFFF"/>
            <w:tcMar>
              <w:top w:w="15" w:type="dxa"/>
              <w:left w:w="15" w:type="dxa"/>
              <w:bottom w:w="8" w:type="dxa"/>
              <w:right w:w="15" w:type="dxa"/>
            </w:tcMar>
            <w:vAlign w:val="center"/>
          </w:tcPr>
          <w:p>
            <w:pPr>
              <w:pStyle w:val="2"/>
              <w:keepNext w:val="0"/>
              <w:keepLines w:val="0"/>
              <w:widowControl/>
              <w:suppressLineNumbers w:val="0"/>
              <w:spacing w:before="0" w:beforeAutospacing="0" w:after="0" w:afterAutospacing="0"/>
              <w:rPr>
                <w:sz w:val="20"/>
                <w:szCs w:val="20"/>
              </w:rPr>
            </w:pPr>
            <w:r>
              <w:rPr>
                <w:rFonts w:hint="eastAsia" w:ascii="宋体" w:hAnsi="宋体" w:eastAsia="宋体" w:cs="宋体"/>
                <w:sz w:val="20"/>
                <w:szCs w:val="20"/>
                <w:bdr w:val="none" w:color="auto" w:sz="0" w:space="0"/>
              </w:rPr>
              <w:t> </w:t>
            </w:r>
          </w:p>
        </w:tc>
        <w:tc>
          <w:tcPr>
            <w:tcW w:w="230" w:type="dxa"/>
            <w:tcBorders>
              <w:bottom w:val="single" w:color="808080" w:sz="6" w:space="0"/>
            </w:tcBorders>
            <w:shd w:val="clear" w:color="auto" w:fill="FFFFFF"/>
            <w:tcMar>
              <w:top w:w="15" w:type="dxa"/>
              <w:left w:w="15" w:type="dxa"/>
              <w:bottom w:w="8" w:type="dxa"/>
              <w:right w:w="15" w:type="dxa"/>
            </w:tcMar>
            <w:vAlign w:val="center"/>
          </w:tcPr>
          <w:p>
            <w:pPr>
              <w:pStyle w:val="2"/>
              <w:keepNext w:val="0"/>
              <w:keepLines w:val="0"/>
              <w:widowControl/>
              <w:suppressLineNumbers w:val="0"/>
              <w:spacing w:before="0" w:beforeAutospacing="0" w:after="0" w:afterAutospacing="0"/>
              <w:rPr>
                <w:sz w:val="20"/>
                <w:szCs w:val="20"/>
              </w:rPr>
            </w:pPr>
            <w:r>
              <w:rPr>
                <w:rFonts w:hint="eastAsia" w:ascii="宋体" w:hAnsi="宋体" w:eastAsia="宋体" w:cs="宋体"/>
                <w:sz w:val="20"/>
                <w:szCs w:val="20"/>
                <w:bdr w:val="none" w:color="auto" w:sz="0" w:space="0"/>
              </w:rPr>
              <w:t> </w:t>
            </w:r>
          </w:p>
        </w:tc>
        <w:tc>
          <w:tcPr>
            <w:tcW w:w="633" w:type="dxa"/>
            <w:tcBorders>
              <w:bottom w:val="single" w:color="808080" w:sz="6" w:space="0"/>
            </w:tcBorders>
            <w:shd w:val="clear" w:color="auto" w:fill="FFFFFF"/>
            <w:tcMar>
              <w:top w:w="15" w:type="dxa"/>
              <w:left w:w="15" w:type="dxa"/>
              <w:bottom w:w="8" w:type="dxa"/>
              <w:right w:w="15" w:type="dxa"/>
            </w:tcMar>
            <w:vAlign w:val="center"/>
          </w:tcPr>
          <w:p>
            <w:pPr>
              <w:pStyle w:val="2"/>
              <w:keepNext w:val="0"/>
              <w:keepLines w:val="0"/>
              <w:widowControl/>
              <w:suppressLineNumbers w:val="0"/>
              <w:spacing w:before="0" w:beforeAutospacing="0" w:after="0" w:afterAutospacing="0"/>
              <w:rPr>
                <w:sz w:val="20"/>
                <w:szCs w:val="20"/>
              </w:rPr>
            </w:pPr>
            <w:r>
              <w:rPr>
                <w:rFonts w:hint="eastAsia" w:ascii="宋体" w:hAnsi="宋体" w:eastAsia="宋体" w:cs="宋体"/>
                <w:sz w:val="20"/>
                <w:szCs w:val="20"/>
                <w:bdr w:val="none" w:color="auto" w:sz="0" w:space="0"/>
              </w:rPr>
              <w:t> </w:t>
            </w:r>
          </w:p>
        </w:tc>
        <w:tc>
          <w:tcPr>
            <w:tcW w:w="634" w:type="dxa"/>
            <w:tcBorders>
              <w:bottom w:val="single" w:color="808080" w:sz="6" w:space="0"/>
            </w:tcBorders>
            <w:shd w:val="clear" w:color="auto" w:fill="FFFFFF"/>
            <w:tcMar>
              <w:top w:w="15" w:type="dxa"/>
              <w:left w:w="15" w:type="dxa"/>
              <w:bottom w:w="8" w:type="dxa"/>
              <w:right w:w="15" w:type="dxa"/>
            </w:tcMar>
            <w:vAlign w:val="center"/>
          </w:tcPr>
          <w:p>
            <w:pPr>
              <w:pStyle w:val="2"/>
              <w:keepNext w:val="0"/>
              <w:keepLines w:val="0"/>
              <w:widowControl/>
              <w:suppressLineNumbers w:val="0"/>
              <w:spacing w:before="0" w:beforeAutospacing="0" w:after="0" w:afterAutospacing="0"/>
              <w:rPr>
                <w:sz w:val="20"/>
                <w:szCs w:val="20"/>
              </w:rPr>
            </w:pPr>
            <w:r>
              <w:rPr>
                <w:rFonts w:hint="eastAsia" w:ascii="宋体" w:hAnsi="宋体" w:eastAsia="宋体" w:cs="宋体"/>
                <w:sz w:val="20"/>
                <w:szCs w:val="20"/>
                <w:bdr w:val="none" w:color="auto" w:sz="0" w:space="0"/>
              </w:rPr>
              <w:t> </w:t>
            </w:r>
          </w:p>
        </w:tc>
        <w:tc>
          <w:tcPr>
            <w:tcW w:w="1468" w:type="dxa"/>
            <w:gridSpan w:val="5"/>
            <w:tcBorders>
              <w:bottom w:val="single" w:color="808080" w:sz="6" w:space="0"/>
            </w:tcBorders>
            <w:shd w:val="clear" w:color="auto" w:fill="FFFFFF"/>
            <w:tcMar>
              <w:top w:w="15" w:type="dxa"/>
              <w:left w:w="15" w:type="dxa"/>
              <w:bottom w:w="8" w:type="dxa"/>
              <w:right w:w="15" w:type="dxa"/>
            </w:tcMar>
            <w:vAlign w:val="center"/>
          </w:tcPr>
          <w:p>
            <w:pPr>
              <w:pStyle w:val="2"/>
              <w:keepNext w:val="0"/>
              <w:keepLines w:val="0"/>
              <w:widowControl/>
              <w:suppressLineNumbers w:val="0"/>
              <w:spacing w:before="0" w:beforeAutospacing="0" w:after="0" w:afterAutospacing="0"/>
              <w:jc w:val="right"/>
              <w:rPr>
                <w:sz w:val="20"/>
                <w:szCs w:val="20"/>
              </w:rPr>
            </w:pPr>
            <w:r>
              <w:rPr>
                <w:rFonts w:hint="eastAsia" w:ascii="宋体" w:hAnsi="宋体" w:eastAsia="宋体" w:cs="宋体"/>
                <w:sz w:val="20"/>
                <w:szCs w:val="20"/>
                <w:bdr w:val="none" w:color="auto" w:sz="0" w:space="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33" w:type="dxa"/>
          <w:trHeight w:val="415" w:hRule="atLeast"/>
        </w:trPr>
        <w:tc>
          <w:tcPr>
            <w:tcW w:w="485" w:type="dxa"/>
            <w:vMerge w:val="restart"/>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项目</w:t>
            </w:r>
          </w:p>
        </w:tc>
        <w:tc>
          <w:tcPr>
            <w:tcW w:w="394" w:type="dxa"/>
            <w:vMerge w:val="restart"/>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行次</w:t>
            </w:r>
          </w:p>
        </w:tc>
        <w:tc>
          <w:tcPr>
            <w:tcW w:w="816" w:type="dxa"/>
            <w:vMerge w:val="restart"/>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资产总额</w:t>
            </w:r>
          </w:p>
        </w:tc>
        <w:tc>
          <w:tcPr>
            <w:tcW w:w="816" w:type="dxa"/>
            <w:vMerge w:val="restart"/>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流动资产</w:t>
            </w:r>
          </w:p>
        </w:tc>
        <w:tc>
          <w:tcPr>
            <w:tcW w:w="2877" w:type="dxa"/>
            <w:gridSpan w:val="8"/>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固定资产</w:t>
            </w:r>
          </w:p>
        </w:tc>
        <w:tc>
          <w:tcPr>
            <w:tcW w:w="633" w:type="dxa"/>
            <w:vMerge w:val="restart"/>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对外投资/有价证券</w:t>
            </w:r>
          </w:p>
        </w:tc>
        <w:tc>
          <w:tcPr>
            <w:tcW w:w="634" w:type="dxa"/>
            <w:vMerge w:val="restart"/>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在建工程</w:t>
            </w:r>
          </w:p>
        </w:tc>
        <w:tc>
          <w:tcPr>
            <w:tcW w:w="720" w:type="dxa"/>
            <w:gridSpan w:val="2"/>
            <w:vMerge w:val="restart"/>
            <w:tcBorders>
              <w:left w:val="single" w:color="auto" w:sz="6" w:space="0"/>
              <w:bottom w:val="single" w:color="auto" w:sz="6" w:space="0"/>
              <w:right w:val="single" w:color="auto" w:sz="6" w:space="0"/>
            </w:tcBorders>
            <w:shd w:val="clear"/>
            <w:tcMar>
              <w:top w:w="15"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无形资产</w:t>
            </w:r>
          </w:p>
        </w:tc>
        <w:tc>
          <w:tcPr>
            <w:tcW w:w="748" w:type="dxa"/>
            <w:gridSpan w:val="3"/>
            <w:vMerge w:val="restart"/>
            <w:tcBorders>
              <w:left w:val="single" w:color="auto" w:sz="6" w:space="0"/>
              <w:bottom w:val="single" w:color="auto" w:sz="6" w:space="0"/>
              <w:right w:val="single" w:color="auto" w:sz="6" w:space="0"/>
            </w:tcBorders>
            <w:shd w:val="clear"/>
            <w:tcMar>
              <w:top w:w="15"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其他资产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33" w:type="dxa"/>
          <w:trHeight w:val="345" w:hRule="atLeast"/>
        </w:trPr>
        <w:tc>
          <w:tcPr>
            <w:tcW w:w="485"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394"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816"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816"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355" w:type="dxa"/>
            <w:vMerge w:val="restart"/>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小计</w:t>
            </w:r>
          </w:p>
        </w:tc>
        <w:tc>
          <w:tcPr>
            <w:tcW w:w="490" w:type="dxa"/>
            <w:vMerge w:val="restart"/>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房屋构筑物</w:t>
            </w:r>
          </w:p>
        </w:tc>
        <w:tc>
          <w:tcPr>
            <w:tcW w:w="560" w:type="dxa"/>
            <w:vMerge w:val="restart"/>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车辆</w:t>
            </w:r>
          </w:p>
        </w:tc>
        <w:tc>
          <w:tcPr>
            <w:tcW w:w="839" w:type="dxa"/>
            <w:gridSpan w:val="3"/>
            <w:vMerge w:val="restart"/>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单价200万以上大型设备</w:t>
            </w:r>
          </w:p>
        </w:tc>
        <w:tc>
          <w:tcPr>
            <w:tcW w:w="633" w:type="dxa"/>
            <w:gridSpan w:val="2"/>
            <w:vMerge w:val="restart"/>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其他固定资产</w:t>
            </w:r>
          </w:p>
        </w:tc>
        <w:tc>
          <w:tcPr>
            <w:tcW w:w="633"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634"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720" w:type="dxa"/>
            <w:gridSpan w:val="2"/>
            <w:vMerge w:val="continue"/>
            <w:tcBorders>
              <w:left w:val="single" w:color="auto" w:sz="6" w:space="0"/>
              <w:bottom w:val="single" w:color="auto" w:sz="6" w:space="0"/>
              <w:right w:val="single" w:color="auto" w:sz="6" w:space="0"/>
            </w:tcBorders>
            <w:shd w:val="clear"/>
            <w:tcMar>
              <w:top w:w="15" w:type="dxa"/>
              <w:left w:w="8" w:type="dxa"/>
              <w:bottom w:w="8" w:type="dxa"/>
              <w:right w:w="8" w:type="dxa"/>
            </w:tcMar>
            <w:vAlign w:val="center"/>
          </w:tcPr>
          <w:p>
            <w:pPr>
              <w:rPr>
                <w:rFonts w:hint="eastAsia" w:ascii="宋体"/>
                <w:sz w:val="24"/>
                <w:szCs w:val="24"/>
              </w:rPr>
            </w:pPr>
          </w:p>
        </w:tc>
        <w:tc>
          <w:tcPr>
            <w:tcW w:w="748" w:type="dxa"/>
            <w:gridSpan w:val="3"/>
            <w:vMerge w:val="continue"/>
            <w:tcBorders>
              <w:left w:val="single" w:color="auto" w:sz="6" w:space="0"/>
              <w:bottom w:val="single" w:color="auto" w:sz="6" w:space="0"/>
              <w:right w:val="single" w:color="auto" w:sz="6" w:space="0"/>
            </w:tcBorders>
            <w:shd w:val="clear"/>
            <w:tcMar>
              <w:top w:w="15" w:type="dxa"/>
              <w:left w:w="8" w:type="dxa"/>
              <w:bottom w:w="8" w:type="dxa"/>
              <w:right w:w="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5" w:hRule="atLeast"/>
        </w:trPr>
        <w:tc>
          <w:tcPr>
            <w:tcW w:w="485"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394"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816"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816"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355"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490"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560"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839" w:type="dxa"/>
            <w:gridSpan w:val="3"/>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633" w:type="dxa"/>
            <w:gridSpan w:val="2"/>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633"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634" w:type="dxa"/>
            <w:vMerge w:val="continue"/>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rPr>
                <w:rFonts w:hint="eastAsia" w:ascii="宋体"/>
                <w:sz w:val="24"/>
                <w:szCs w:val="24"/>
              </w:rPr>
            </w:pPr>
          </w:p>
        </w:tc>
        <w:tc>
          <w:tcPr>
            <w:tcW w:w="720" w:type="dxa"/>
            <w:gridSpan w:val="2"/>
            <w:vMerge w:val="continue"/>
            <w:tcBorders>
              <w:left w:val="single" w:color="auto" w:sz="6" w:space="0"/>
              <w:bottom w:val="single" w:color="auto" w:sz="6" w:space="0"/>
              <w:right w:val="single" w:color="auto" w:sz="6" w:space="0"/>
            </w:tcBorders>
            <w:shd w:val="clear"/>
            <w:tcMar>
              <w:top w:w="15" w:type="dxa"/>
              <w:left w:w="8" w:type="dxa"/>
              <w:bottom w:w="8" w:type="dxa"/>
              <w:right w:w="8" w:type="dxa"/>
            </w:tcMar>
            <w:vAlign w:val="center"/>
          </w:tcPr>
          <w:p>
            <w:pPr>
              <w:rPr>
                <w:rFonts w:hint="eastAsia" w:ascii="宋体"/>
                <w:sz w:val="24"/>
                <w:szCs w:val="24"/>
              </w:rPr>
            </w:pPr>
          </w:p>
        </w:tc>
        <w:tc>
          <w:tcPr>
            <w:tcW w:w="748" w:type="dxa"/>
            <w:gridSpan w:val="3"/>
            <w:vMerge w:val="continue"/>
            <w:tcBorders>
              <w:left w:val="single" w:color="auto" w:sz="6" w:space="0"/>
              <w:bottom w:val="single" w:color="auto" w:sz="6" w:space="0"/>
              <w:right w:val="single" w:color="auto" w:sz="6" w:space="0"/>
            </w:tcBorders>
            <w:shd w:val="clear"/>
            <w:tcMar>
              <w:top w:w="15" w:type="dxa"/>
              <w:left w:w="8" w:type="dxa"/>
              <w:bottom w:w="8" w:type="dxa"/>
              <w:right w:w="8" w:type="dxa"/>
            </w:tcMar>
            <w:vAlign w:val="center"/>
          </w:tcPr>
          <w:p>
            <w:pPr>
              <w:rPr>
                <w:rFonts w:hint="eastAsia" w:ascii="宋体"/>
                <w:sz w:val="24"/>
                <w:szCs w:val="24"/>
              </w:rPr>
            </w:pPr>
          </w:p>
        </w:tc>
        <w:tc>
          <w:tcPr>
            <w:tcW w:w="33" w:type="dxa"/>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8" w:hRule="atLeast"/>
        </w:trPr>
        <w:tc>
          <w:tcPr>
            <w:tcW w:w="485"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栏次</w:t>
            </w:r>
          </w:p>
        </w:tc>
        <w:tc>
          <w:tcPr>
            <w:tcW w:w="394"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rPr>
                <w:sz w:val="20"/>
                <w:szCs w:val="20"/>
              </w:rPr>
            </w:pPr>
            <w:r>
              <w:rPr>
                <w:rFonts w:hint="eastAsia" w:ascii="宋体" w:hAnsi="宋体" w:eastAsia="宋体" w:cs="宋体"/>
                <w:sz w:val="20"/>
                <w:szCs w:val="20"/>
                <w:bdr w:val="none" w:color="auto" w:sz="0" w:space="0"/>
              </w:rPr>
              <w:t> </w:t>
            </w:r>
          </w:p>
        </w:tc>
        <w:tc>
          <w:tcPr>
            <w:tcW w:w="816"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1</w:t>
            </w:r>
          </w:p>
        </w:tc>
        <w:tc>
          <w:tcPr>
            <w:tcW w:w="816"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2</w:t>
            </w:r>
          </w:p>
        </w:tc>
        <w:tc>
          <w:tcPr>
            <w:tcW w:w="355"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3</w:t>
            </w:r>
          </w:p>
        </w:tc>
        <w:tc>
          <w:tcPr>
            <w:tcW w:w="490"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4</w:t>
            </w:r>
          </w:p>
        </w:tc>
        <w:tc>
          <w:tcPr>
            <w:tcW w:w="560"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5</w:t>
            </w:r>
          </w:p>
        </w:tc>
        <w:tc>
          <w:tcPr>
            <w:tcW w:w="839" w:type="dxa"/>
            <w:gridSpan w:val="3"/>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6</w:t>
            </w:r>
          </w:p>
        </w:tc>
        <w:tc>
          <w:tcPr>
            <w:tcW w:w="633" w:type="dxa"/>
            <w:gridSpan w:val="2"/>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7</w:t>
            </w:r>
          </w:p>
        </w:tc>
        <w:tc>
          <w:tcPr>
            <w:tcW w:w="633"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8</w:t>
            </w:r>
          </w:p>
        </w:tc>
        <w:tc>
          <w:tcPr>
            <w:tcW w:w="634"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9</w:t>
            </w:r>
          </w:p>
        </w:tc>
        <w:tc>
          <w:tcPr>
            <w:tcW w:w="720" w:type="dxa"/>
            <w:gridSpan w:val="2"/>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10</w:t>
            </w:r>
          </w:p>
        </w:tc>
        <w:tc>
          <w:tcPr>
            <w:tcW w:w="748" w:type="dxa"/>
            <w:gridSpan w:val="3"/>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11</w:t>
            </w:r>
          </w:p>
        </w:tc>
        <w:tc>
          <w:tcPr>
            <w:tcW w:w="33" w:type="dxa"/>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3" w:hRule="atLeast"/>
        </w:trPr>
        <w:tc>
          <w:tcPr>
            <w:tcW w:w="485"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合计</w:t>
            </w:r>
          </w:p>
        </w:tc>
        <w:tc>
          <w:tcPr>
            <w:tcW w:w="394"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center"/>
              <w:rPr>
                <w:sz w:val="20"/>
                <w:szCs w:val="20"/>
              </w:rPr>
            </w:pPr>
            <w:r>
              <w:rPr>
                <w:rFonts w:hint="eastAsia" w:ascii="宋体" w:hAnsi="宋体" w:eastAsia="宋体" w:cs="宋体"/>
                <w:sz w:val="20"/>
                <w:szCs w:val="20"/>
                <w:bdr w:val="none" w:color="auto" w:sz="0" w:space="0"/>
              </w:rPr>
              <w:t>1</w:t>
            </w:r>
          </w:p>
        </w:tc>
        <w:tc>
          <w:tcPr>
            <w:tcW w:w="816"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right"/>
              <w:rPr>
                <w:sz w:val="20"/>
                <w:szCs w:val="20"/>
              </w:rPr>
            </w:pPr>
            <w:r>
              <w:rPr>
                <w:rFonts w:hint="eastAsia" w:ascii="宋体" w:hAnsi="宋体" w:eastAsia="宋体" w:cs="宋体"/>
                <w:sz w:val="20"/>
                <w:szCs w:val="20"/>
                <w:bdr w:val="none" w:color="auto" w:sz="0" w:space="0"/>
              </w:rPr>
              <w:t>486.81 </w:t>
            </w:r>
          </w:p>
        </w:tc>
        <w:tc>
          <w:tcPr>
            <w:tcW w:w="816"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right"/>
              <w:rPr>
                <w:sz w:val="20"/>
                <w:szCs w:val="20"/>
              </w:rPr>
            </w:pPr>
            <w:r>
              <w:rPr>
                <w:rFonts w:hint="eastAsia" w:ascii="宋体" w:hAnsi="宋体" w:eastAsia="宋体" w:cs="宋体"/>
                <w:sz w:val="20"/>
                <w:szCs w:val="20"/>
                <w:bdr w:val="none" w:color="auto" w:sz="0" w:space="0"/>
              </w:rPr>
              <w:t>349.05 </w:t>
            </w:r>
          </w:p>
        </w:tc>
        <w:tc>
          <w:tcPr>
            <w:tcW w:w="355"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right"/>
              <w:rPr>
                <w:sz w:val="20"/>
                <w:szCs w:val="20"/>
              </w:rPr>
            </w:pPr>
            <w:r>
              <w:rPr>
                <w:rFonts w:hint="eastAsia" w:ascii="宋体" w:hAnsi="宋体" w:eastAsia="宋体" w:cs="宋体"/>
                <w:sz w:val="20"/>
                <w:szCs w:val="20"/>
                <w:bdr w:val="none" w:color="auto" w:sz="0" w:space="0"/>
              </w:rPr>
              <w:t> </w:t>
            </w:r>
          </w:p>
        </w:tc>
        <w:tc>
          <w:tcPr>
            <w:tcW w:w="490"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right"/>
              <w:rPr>
                <w:sz w:val="20"/>
                <w:szCs w:val="20"/>
              </w:rPr>
            </w:pPr>
            <w:r>
              <w:rPr>
                <w:rFonts w:hint="eastAsia" w:ascii="宋体" w:hAnsi="宋体" w:eastAsia="宋体" w:cs="宋体"/>
                <w:sz w:val="20"/>
                <w:szCs w:val="20"/>
                <w:bdr w:val="none" w:color="auto" w:sz="0" w:space="0"/>
              </w:rPr>
              <w:t> </w:t>
            </w:r>
          </w:p>
        </w:tc>
        <w:tc>
          <w:tcPr>
            <w:tcW w:w="560"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right"/>
              <w:rPr>
                <w:sz w:val="20"/>
                <w:szCs w:val="20"/>
              </w:rPr>
            </w:pPr>
            <w:r>
              <w:rPr>
                <w:rFonts w:hint="eastAsia" w:ascii="宋体" w:hAnsi="宋体" w:eastAsia="宋体" w:cs="宋体"/>
                <w:sz w:val="20"/>
                <w:szCs w:val="20"/>
                <w:bdr w:val="none" w:color="auto" w:sz="0" w:space="0"/>
              </w:rPr>
              <w:t>1 </w:t>
            </w:r>
          </w:p>
        </w:tc>
        <w:tc>
          <w:tcPr>
            <w:tcW w:w="839" w:type="dxa"/>
            <w:gridSpan w:val="3"/>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right"/>
              <w:rPr>
                <w:sz w:val="20"/>
                <w:szCs w:val="20"/>
              </w:rPr>
            </w:pPr>
            <w:r>
              <w:rPr>
                <w:rFonts w:hint="eastAsia" w:ascii="宋体" w:hAnsi="宋体" w:eastAsia="宋体" w:cs="宋体"/>
                <w:sz w:val="20"/>
                <w:szCs w:val="20"/>
                <w:bdr w:val="none" w:color="auto" w:sz="0" w:space="0"/>
              </w:rPr>
              <w:t> </w:t>
            </w:r>
          </w:p>
        </w:tc>
        <w:tc>
          <w:tcPr>
            <w:tcW w:w="633" w:type="dxa"/>
            <w:gridSpan w:val="2"/>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right"/>
              <w:rPr>
                <w:sz w:val="20"/>
                <w:szCs w:val="20"/>
              </w:rPr>
            </w:pPr>
            <w:r>
              <w:rPr>
                <w:rFonts w:hint="eastAsia" w:ascii="宋体" w:hAnsi="宋体" w:eastAsia="宋体" w:cs="宋体"/>
                <w:sz w:val="20"/>
                <w:szCs w:val="20"/>
                <w:bdr w:val="none" w:color="auto" w:sz="0" w:space="0"/>
              </w:rPr>
              <w:t> </w:t>
            </w:r>
          </w:p>
        </w:tc>
        <w:tc>
          <w:tcPr>
            <w:tcW w:w="633"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right"/>
              <w:rPr>
                <w:sz w:val="20"/>
                <w:szCs w:val="20"/>
              </w:rPr>
            </w:pPr>
            <w:r>
              <w:rPr>
                <w:rFonts w:hint="eastAsia" w:ascii="宋体" w:hAnsi="宋体" w:eastAsia="宋体" w:cs="宋体"/>
                <w:sz w:val="20"/>
                <w:szCs w:val="20"/>
                <w:bdr w:val="none" w:color="auto" w:sz="0" w:space="0"/>
              </w:rPr>
              <w:t> </w:t>
            </w:r>
          </w:p>
        </w:tc>
        <w:tc>
          <w:tcPr>
            <w:tcW w:w="634" w:type="dxa"/>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right"/>
              <w:rPr>
                <w:sz w:val="20"/>
                <w:szCs w:val="20"/>
              </w:rPr>
            </w:pPr>
            <w:r>
              <w:rPr>
                <w:rFonts w:hint="eastAsia" w:ascii="宋体" w:hAnsi="宋体" w:eastAsia="宋体" w:cs="宋体"/>
                <w:sz w:val="20"/>
                <w:szCs w:val="20"/>
                <w:bdr w:val="none" w:color="auto" w:sz="0" w:space="0"/>
              </w:rPr>
              <w:t> </w:t>
            </w:r>
          </w:p>
        </w:tc>
        <w:tc>
          <w:tcPr>
            <w:tcW w:w="720" w:type="dxa"/>
            <w:gridSpan w:val="2"/>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right"/>
              <w:rPr>
                <w:sz w:val="20"/>
                <w:szCs w:val="20"/>
              </w:rPr>
            </w:pPr>
            <w:r>
              <w:rPr>
                <w:rFonts w:hint="eastAsia" w:ascii="宋体" w:hAnsi="宋体" w:eastAsia="宋体" w:cs="宋体"/>
                <w:sz w:val="20"/>
                <w:szCs w:val="20"/>
                <w:bdr w:val="none" w:color="auto" w:sz="0" w:space="0"/>
              </w:rPr>
              <w:t> </w:t>
            </w:r>
          </w:p>
        </w:tc>
        <w:tc>
          <w:tcPr>
            <w:tcW w:w="748" w:type="dxa"/>
            <w:gridSpan w:val="3"/>
            <w:tcBorders>
              <w:top w:val="single" w:color="auto" w:sz="6" w:space="0"/>
              <w:left w:val="single" w:color="auto" w:sz="6" w:space="0"/>
              <w:bottom w:val="single" w:color="auto" w:sz="6" w:space="0"/>
              <w:right w:val="single" w:color="auto" w:sz="6" w:space="0"/>
            </w:tcBorders>
            <w:shd w:val="clear"/>
            <w:tcMar>
              <w:top w:w="8" w:type="dxa"/>
              <w:left w:w="8" w:type="dxa"/>
              <w:bottom w:w="8" w:type="dxa"/>
              <w:right w:w="8" w:type="dxa"/>
            </w:tcMar>
            <w:vAlign w:val="center"/>
          </w:tcPr>
          <w:p>
            <w:pPr>
              <w:pStyle w:val="2"/>
              <w:keepNext w:val="0"/>
              <w:keepLines w:val="0"/>
              <w:widowControl/>
              <w:suppressLineNumbers w:val="0"/>
              <w:spacing w:before="0" w:beforeAutospacing="0" w:after="0" w:afterAutospacing="0"/>
              <w:jc w:val="right"/>
              <w:rPr>
                <w:sz w:val="20"/>
                <w:szCs w:val="20"/>
              </w:rPr>
            </w:pPr>
            <w:r>
              <w:rPr>
                <w:rFonts w:hint="eastAsia" w:ascii="宋体" w:hAnsi="宋体" w:eastAsia="宋体" w:cs="宋体"/>
                <w:sz w:val="20"/>
                <w:szCs w:val="20"/>
                <w:bdr w:val="none" w:color="auto" w:sz="0" w:space="0"/>
              </w:rPr>
              <w:t> </w:t>
            </w:r>
          </w:p>
        </w:tc>
        <w:tc>
          <w:tcPr>
            <w:tcW w:w="33" w:type="dxa"/>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9" w:hRule="atLeast"/>
        </w:trPr>
        <w:tc>
          <w:tcPr>
            <w:tcW w:w="6655" w:type="dxa"/>
            <w:gridSpan w:val="14"/>
            <w:shd w:val="clear"/>
            <w:tcMar>
              <w:top w:w="15" w:type="dxa"/>
              <w:left w:w="15" w:type="dxa"/>
              <w:bottom w:w="15" w:type="dxa"/>
              <w:right w:w="15" w:type="dxa"/>
            </w:tcMar>
            <w:vAlign w:val="bottom"/>
          </w:tcPr>
          <w:p>
            <w:pPr>
              <w:pStyle w:val="2"/>
              <w:keepNext w:val="0"/>
              <w:keepLines w:val="0"/>
              <w:widowControl/>
              <w:suppressLineNumbers w:val="0"/>
              <w:spacing w:before="0" w:beforeAutospacing="0" w:after="0" w:afterAutospacing="0"/>
              <w:jc w:val="both"/>
              <w:rPr>
                <w:sz w:val="24"/>
                <w:szCs w:val="24"/>
              </w:rPr>
            </w:pPr>
            <w:r>
              <w:rPr>
                <w:rFonts w:hint="eastAsia" w:ascii="宋体" w:hAnsi="宋体" w:eastAsia="宋体" w:cs="宋体"/>
                <w:sz w:val="24"/>
                <w:szCs w:val="24"/>
                <w:bdr w:val="none" w:color="auto" w:sz="0" w:space="0"/>
              </w:rPr>
              <w:t> </w:t>
            </w:r>
          </w:p>
        </w:tc>
        <w:tc>
          <w:tcPr>
            <w:tcW w:w="302" w:type="dxa"/>
            <w:shd w:val="clear"/>
            <w:tcMar>
              <w:top w:w="15" w:type="dxa"/>
              <w:left w:w="15" w:type="dxa"/>
              <w:bottom w:w="15" w:type="dxa"/>
              <w:right w:w="15" w:type="dxa"/>
            </w:tcMar>
            <w:vAlign w:val="bottom"/>
          </w:tcPr>
          <w:p>
            <w:pPr>
              <w:pStyle w:val="2"/>
              <w:keepNext w:val="0"/>
              <w:keepLines w:val="0"/>
              <w:widowControl/>
              <w:suppressLineNumbers w:val="0"/>
              <w:spacing w:before="0" w:beforeAutospacing="0" w:after="0" w:afterAutospacing="0"/>
              <w:jc w:val="both"/>
              <w:rPr>
                <w:sz w:val="20"/>
                <w:szCs w:val="20"/>
              </w:rPr>
            </w:pPr>
            <w:r>
              <w:rPr>
                <w:rFonts w:hint="eastAsia" w:ascii="宋体" w:hAnsi="宋体" w:eastAsia="宋体" w:cs="宋体"/>
                <w:sz w:val="20"/>
                <w:szCs w:val="20"/>
                <w:bdr w:val="none" w:color="auto" w:sz="0" w:space="0"/>
              </w:rPr>
              <w:t> </w:t>
            </w:r>
          </w:p>
        </w:tc>
        <w:tc>
          <w:tcPr>
            <w:tcW w:w="652" w:type="dxa"/>
            <w:gridSpan w:val="2"/>
            <w:shd w:val="clear"/>
            <w:tcMar>
              <w:top w:w="15" w:type="dxa"/>
              <w:left w:w="15" w:type="dxa"/>
              <w:bottom w:w="15" w:type="dxa"/>
              <w:right w:w="15" w:type="dxa"/>
            </w:tcMar>
            <w:vAlign w:val="bottom"/>
          </w:tcPr>
          <w:p>
            <w:pPr>
              <w:pStyle w:val="2"/>
              <w:keepNext w:val="0"/>
              <w:keepLines w:val="0"/>
              <w:widowControl/>
              <w:suppressLineNumbers w:val="0"/>
              <w:spacing w:before="0" w:beforeAutospacing="0" w:after="0" w:afterAutospacing="0"/>
              <w:rPr>
                <w:sz w:val="24"/>
                <w:szCs w:val="24"/>
              </w:rPr>
            </w:pPr>
            <w:r>
              <w:rPr>
                <w:rFonts w:hint="eastAsia" w:ascii="宋体" w:hAnsi="宋体" w:eastAsia="宋体" w:cs="宋体"/>
                <w:sz w:val="24"/>
                <w:szCs w:val="24"/>
                <w:bdr w:val="none" w:color="auto" w:sz="0" w:space="0"/>
              </w:rPr>
              <w:t> </w:t>
            </w:r>
          </w:p>
        </w:tc>
        <w:tc>
          <w:tcPr>
            <w:tcW w:w="170" w:type="dxa"/>
            <w:shd w:val="clear"/>
            <w:vAlign w:val="center"/>
          </w:tcPr>
          <w:p>
            <w:pPr>
              <w:pStyle w:val="2"/>
              <w:keepNext w:val="0"/>
              <w:keepLines w:val="0"/>
              <w:widowControl/>
              <w:suppressLineNumbers w:val="0"/>
              <w:spacing w:before="0" w:beforeAutospacing="0" w:after="0" w:afterAutospacing="0"/>
              <w:rPr>
                <w:sz w:val="17"/>
                <w:szCs w:val="17"/>
              </w:rPr>
            </w:pPr>
            <w:r>
              <w:rPr>
                <w:rFonts w:hint="eastAsia" w:ascii="宋体" w:hAnsi="宋体" w:eastAsia="宋体" w:cs="宋体"/>
                <w:sz w:val="17"/>
                <w:szCs w:val="17"/>
              </w:rPr>
              <w:t> </w:t>
            </w:r>
          </w:p>
        </w:tc>
        <w:tc>
          <w:tcPr>
            <w:tcW w:w="344" w:type="dxa"/>
            <w:tcBorders>
              <w:top w:val="single" w:color="auto" w:sz="6" w:space="0"/>
            </w:tcBorders>
            <w:shd w:val="clear"/>
            <w:vAlign w:val="top"/>
          </w:tcPr>
          <w:p>
            <w:pPr>
              <w:rPr>
                <w:rFonts w:hint="eastAsia" w:ascii="宋体"/>
                <w:sz w:val="24"/>
                <w:szCs w:val="24"/>
              </w:rPr>
            </w:pPr>
          </w:p>
        </w:tc>
        <w:tc>
          <w:tcPr>
            <w:tcW w:w="33" w:type="dxa"/>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trPr>
        <w:tc>
          <w:tcPr>
            <w:tcW w:w="7375" w:type="dxa"/>
            <w:gridSpan w:val="16"/>
            <w:shd w:val="clear"/>
            <w:tcMar>
              <w:top w:w="15" w:type="dxa"/>
              <w:left w:w="15" w:type="dxa"/>
              <w:bottom w:w="15" w:type="dxa"/>
              <w:right w:w="15" w:type="dxa"/>
            </w:tcMar>
            <w:vAlign w:val="bottom"/>
          </w:tcPr>
          <w:p>
            <w:pPr>
              <w:pStyle w:val="2"/>
              <w:keepNext w:val="0"/>
              <w:keepLines w:val="0"/>
              <w:widowControl/>
              <w:suppressLineNumbers w:val="0"/>
              <w:spacing w:before="0" w:beforeAutospacing="0" w:after="0" w:afterAutospacing="0"/>
              <w:jc w:val="both"/>
              <w:rPr>
                <w:sz w:val="20"/>
                <w:szCs w:val="20"/>
              </w:rPr>
            </w:pPr>
            <w:r>
              <w:rPr>
                <w:rFonts w:hint="eastAsia" w:ascii="宋体" w:hAnsi="宋体" w:eastAsia="宋体" w:cs="宋体"/>
                <w:sz w:val="20"/>
                <w:szCs w:val="20"/>
                <w:bdr w:val="none" w:color="auto" w:sz="0" w:space="0"/>
              </w:rPr>
              <w:t>填报说明：1.资产总额＝流动资产＋固定资产＋对外投资／有价证券＋在建工程＋无形资产＋其他资产</w:t>
            </w:r>
          </w:p>
          <w:p>
            <w:pPr>
              <w:pStyle w:val="2"/>
              <w:keepNext w:val="0"/>
              <w:keepLines w:val="0"/>
              <w:widowControl/>
              <w:suppressLineNumbers w:val="0"/>
              <w:spacing w:before="0" w:beforeAutospacing="0" w:after="0" w:afterAutospacing="0"/>
              <w:ind w:left="0" w:firstLine="1030"/>
              <w:rPr>
                <w:sz w:val="20"/>
                <w:szCs w:val="20"/>
              </w:rPr>
            </w:pPr>
            <w:r>
              <w:rPr>
                <w:rFonts w:hint="eastAsia" w:ascii="宋体" w:hAnsi="宋体" w:eastAsia="宋体" w:cs="宋体"/>
                <w:sz w:val="20"/>
                <w:szCs w:val="20"/>
                <w:bdr w:val="none" w:color="auto" w:sz="0" w:space="0"/>
              </w:rPr>
              <w:t>2.固定资产＝房屋构筑物＋车辆＋单价200万元以上大型设备＋其他固定资产</w:t>
            </w:r>
          </w:p>
        </w:tc>
        <w:tc>
          <w:tcPr>
            <w:tcW w:w="748" w:type="dxa"/>
            <w:gridSpan w:val="3"/>
            <w:shd w:val="clear"/>
            <w:tcMar>
              <w:top w:w="15" w:type="dxa"/>
              <w:left w:w="15" w:type="dxa"/>
              <w:bottom w:w="15" w:type="dxa"/>
              <w:right w:w="15" w:type="dxa"/>
            </w:tcMar>
            <w:vAlign w:val="bottom"/>
          </w:tcPr>
          <w:p>
            <w:pPr>
              <w:pStyle w:val="2"/>
              <w:keepNext w:val="0"/>
              <w:keepLines w:val="0"/>
              <w:widowControl/>
              <w:suppressLineNumbers w:val="0"/>
              <w:spacing w:before="0" w:beforeAutospacing="0" w:after="0" w:afterAutospacing="0"/>
              <w:rPr>
                <w:sz w:val="20"/>
                <w:szCs w:val="20"/>
              </w:rPr>
            </w:pPr>
            <w:r>
              <w:rPr>
                <w:rFonts w:hint="default" w:ascii="Arial" w:hAnsi="Arial" w:cs="Arial"/>
                <w:sz w:val="20"/>
                <w:szCs w:val="20"/>
                <w:bdr w:val="none" w:color="auto" w:sz="0" w:space="0"/>
              </w:rPr>
              <w:t> </w:t>
            </w:r>
          </w:p>
        </w:tc>
        <w:tc>
          <w:tcPr>
            <w:tcW w:w="33" w:type="dxa"/>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0" w:hRule="atLeast"/>
        </w:trPr>
        <w:tc>
          <w:tcPr>
            <w:tcW w:w="485" w:type="dxa"/>
            <w:shd w:val="clear"/>
            <w:vAlign w:val="center"/>
          </w:tcPr>
          <w:p>
            <w:pPr>
              <w:rPr>
                <w:rFonts w:hint="eastAsia" w:ascii="宋体"/>
                <w:sz w:val="24"/>
                <w:szCs w:val="24"/>
              </w:rPr>
            </w:pPr>
          </w:p>
        </w:tc>
        <w:tc>
          <w:tcPr>
            <w:tcW w:w="394" w:type="dxa"/>
            <w:shd w:val="clear"/>
            <w:vAlign w:val="center"/>
          </w:tcPr>
          <w:p>
            <w:pPr>
              <w:rPr>
                <w:rFonts w:hint="eastAsia" w:ascii="宋体"/>
                <w:sz w:val="24"/>
                <w:szCs w:val="24"/>
              </w:rPr>
            </w:pPr>
          </w:p>
        </w:tc>
        <w:tc>
          <w:tcPr>
            <w:tcW w:w="816" w:type="dxa"/>
            <w:shd w:val="clear"/>
            <w:vAlign w:val="center"/>
          </w:tcPr>
          <w:p>
            <w:pPr>
              <w:rPr>
                <w:rFonts w:hint="eastAsia" w:ascii="宋体"/>
                <w:sz w:val="24"/>
                <w:szCs w:val="24"/>
              </w:rPr>
            </w:pPr>
          </w:p>
        </w:tc>
        <w:tc>
          <w:tcPr>
            <w:tcW w:w="816" w:type="dxa"/>
            <w:shd w:val="clear"/>
            <w:vAlign w:val="center"/>
          </w:tcPr>
          <w:p>
            <w:pPr>
              <w:rPr>
                <w:rFonts w:hint="eastAsia" w:ascii="宋体"/>
                <w:sz w:val="24"/>
                <w:szCs w:val="24"/>
              </w:rPr>
            </w:pPr>
          </w:p>
        </w:tc>
        <w:tc>
          <w:tcPr>
            <w:tcW w:w="355" w:type="dxa"/>
            <w:shd w:val="clear"/>
            <w:vAlign w:val="center"/>
          </w:tcPr>
          <w:p>
            <w:pPr>
              <w:rPr>
                <w:rFonts w:hint="eastAsia" w:ascii="宋体"/>
                <w:sz w:val="24"/>
                <w:szCs w:val="24"/>
              </w:rPr>
            </w:pPr>
          </w:p>
        </w:tc>
        <w:tc>
          <w:tcPr>
            <w:tcW w:w="490" w:type="dxa"/>
            <w:shd w:val="clear"/>
            <w:vAlign w:val="center"/>
          </w:tcPr>
          <w:p>
            <w:pPr>
              <w:rPr>
                <w:rFonts w:hint="eastAsia" w:ascii="宋体"/>
                <w:sz w:val="24"/>
                <w:szCs w:val="24"/>
              </w:rPr>
            </w:pPr>
          </w:p>
        </w:tc>
        <w:tc>
          <w:tcPr>
            <w:tcW w:w="560" w:type="dxa"/>
            <w:shd w:val="clear"/>
            <w:vAlign w:val="center"/>
          </w:tcPr>
          <w:p>
            <w:pPr>
              <w:rPr>
                <w:rFonts w:hint="eastAsia" w:ascii="宋体"/>
                <w:sz w:val="24"/>
                <w:szCs w:val="24"/>
              </w:rPr>
            </w:pPr>
          </w:p>
        </w:tc>
        <w:tc>
          <w:tcPr>
            <w:tcW w:w="39" w:type="dxa"/>
            <w:shd w:val="clear"/>
            <w:vAlign w:val="center"/>
          </w:tcPr>
          <w:p>
            <w:pPr>
              <w:rPr>
                <w:rFonts w:hint="eastAsia" w:ascii="宋体"/>
                <w:sz w:val="24"/>
                <w:szCs w:val="24"/>
              </w:rPr>
            </w:pPr>
          </w:p>
        </w:tc>
        <w:tc>
          <w:tcPr>
            <w:tcW w:w="572" w:type="dxa"/>
            <w:shd w:val="clear"/>
            <w:vAlign w:val="center"/>
          </w:tcPr>
          <w:p>
            <w:pPr>
              <w:rPr>
                <w:rFonts w:hint="eastAsia" w:ascii="宋体"/>
                <w:sz w:val="24"/>
                <w:szCs w:val="24"/>
              </w:rPr>
            </w:pPr>
          </w:p>
        </w:tc>
        <w:tc>
          <w:tcPr>
            <w:tcW w:w="228" w:type="dxa"/>
            <w:shd w:val="clear"/>
            <w:vAlign w:val="center"/>
          </w:tcPr>
          <w:p>
            <w:pPr>
              <w:rPr>
                <w:rFonts w:hint="eastAsia" w:ascii="宋体"/>
                <w:sz w:val="24"/>
                <w:szCs w:val="24"/>
              </w:rPr>
            </w:pPr>
          </w:p>
        </w:tc>
        <w:tc>
          <w:tcPr>
            <w:tcW w:w="403" w:type="dxa"/>
            <w:shd w:val="clear"/>
            <w:vAlign w:val="center"/>
          </w:tcPr>
          <w:p>
            <w:pPr>
              <w:rPr>
                <w:rFonts w:hint="eastAsia" w:ascii="宋体"/>
                <w:sz w:val="24"/>
                <w:szCs w:val="24"/>
              </w:rPr>
            </w:pPr>
          </w:p>
        </w:tc>
        <w:tc>
          <w:tcPr>
            <w:tcW w:w="230" w:type="dxa"/>
            <w:shd w:val="clear"/>
            <w:vAlign w:val="center"/>
          </w:tcPr>
          <w:p>
            <w:pPr>
              <w:rPr>
                <w:rFonts w:hint="eastAsia" w:ascii="宋体"/>
                <w:sz w:val="24"/>
                <w:szCs w:val="24"/>
              </w:rPr>
            </w:pPr>
          </w:p>
        </w:tc>
        <w:tc>
          <w:tcPr>
            <w:tcW w:w="633" w:type="dxa"/>
            <w:shd w:val="clear"/>
            <w:vAlign w:val="center"/>
          </w:tcPr>
          <w:p>
            <w:pPr>
              <w:rPr>
                <w:rFonts w:hint="eastAsia" w:ascii="宋体"/>
                <w:sz w:val="24"/>
                <w:szCs w:val="24"/>
              </w:rPr>
            </w:pPr>
          </w:p>
        </w:tc>
        <w:tc>
          <w:tcPr>
            <w:tcW w:w="634" w:type="dxa"/>
            <w:shd w:val="clear"/>
            <w:vAlign w:val="center"/>
          </w:tcPr>
          <w:p>
            <w:pPr>
              <w:rPr>
                <w:rFonts w:hint="eastAsia" w:ascii="宋体"/>
                <w:sz w:val="24"/>
                <w:szCs w:val="24"/>
              </w:rPr>
            </w:pPr>
          </w:p>
        </w:tc>
        <w:tc>
          <w:tcPr>
            <w:tcW w:w="302" w:type="dxa"/>
            <w:shd w:val="clear"/>
            <w:vAlign w:val="center"/>
          </w:tcPr>
          <w:p>
            <w:pPr>
              <w:rPr>
                <w:rFonts w:hint="eastAsia" w:ascii="宋体"/>
                <w:sz w:val="24"/>
                <w:szCs w:val="24"/>
              </w:rPr>
            </w:pPr>
          </w:p>
        </w:tc>
        <w:tc>
          <w:tcPr>
            <w:tcW w:w="418" w:type="dxa"/>
            <w:shd w:val="clear"/>
            <w:vAlign w:val="center"/>
          </w:tcPr>
          <w:p>
            <w:pPr>
              <w:rPr>
                <w:rFonts w:hint="eastAsia" w:ascii="宋体"/>
                <w:sz w:val="24"/>
                <w:szCs w:val="24"/>
              </w:rPr>
            </w:pPr>
          </w:p>
        </w:tc>
        <w:tc>
          <w:tcPr>
            <w:tcW w:w="234" w:type="dxa"/>
            <w:shd w:val="clear"/>
            <w:vAlign w:val="center"/>
          </w:tcPr>
          <w:p>
            <w:pPr>
              <w:rPr>
                <w:rFonts w:hint="eastAsia" w:ascii="宋体"/>
                <w:sz w:val="24"/>
                <w:szCs w:val="24"/>
              </w:rPr>
            </w:pPr>
          </w:p>
        </w:tc>
        <w:tc>
          <w:tcPr>
            <w:tcW w:w="170" w:type="dxa"/>
            <w:shd w:val="clear"/>
            <w:vAlign w:val="center"/>
          </w:tcPr>
          <w:p>
            <w:pPr>
              <w:rPr>
                <w:rFonts w:hint="eastAsia" w:ascii="宋体"/>
                <w:sz w:val="24"/>
                <w:szCs w:val="24"/>
              </w:rPr>
            </w:pPr>
          </w:p>
        </w:tc>
        <w:tc>
          <w:tcPr>
            <w:tcW w:w="344" w:type="dxa"/>
            <w:shd w:val="clear"/>
            <w:vAlign w:val="center"/>
          </w:tcPr>
          <w:p>
            <w:pPr>
              <w:rPr>
                <w:rFonts w:hint="eastAsia" w:ascii="宋体"/>
                <w:sz w:val="24"/>
                <w:szCs w:val="24"/>
              </w:rPr>
            </w:pPr>
          </w:p>
        </w:tc>
        <w:tc>
          <w:tcPr>
            <w:tcW w:w="33" w:type="dxa"/>
            <w:shd w:val="clear"/>
            <w:vAlign w:val="center"/>
          </w:tcPr>
          <w:p>
            <w:pPr>
              <w:rPr>
                <w:rFonts w:hint="eastAsia" w:ascii="宋体"/>
                <w:sz w:val="24"/>
                <w:szCs w:val="24"/>
              </w:rPr>
            </w:pPr>
          </w:p>
        </w:tc>
      </w:tr>
    </w:tbl>
    <w:p>
      <w:pPr>
        <w:pStyle w:val="2"/>
        <w:keepNext w:val="0"/>
        <w:keepLines w:val="0"/>
        <w:widowControl/>
        <w:suppressLineNumbers w:val="0"/>
        <w:spacing w:before="0" w:beforeAutospacing="0" w:after="0" w:afterAutospacing="0"/>
        <w:ind w:left="0" w:firstLine="600"/>
        <w:rPr>
          <w:sz w:val="30"/>
          <w:szCs w:val="30"/>
        </w:rPr>
      </w:pPr>
      <w:r>
        <w:rPr>
          <w:rFonts w:hint="default" w:ascii="楷体_GB2312" w:eastAsia="楷体_GB2312" w:cs="楷体_GB2312"/>
          <w:sz w:val="30"/>
          <w:szCs w:val="30"/>
        </w:rPr>
        <w:t> </w:t>
      </w:r>
    </w:p>
    <w:p>
      <w:pPr>
        <w:pStyle w:val="2"/>
        <w:keepNext w:val="0"/>
        <w:keepLines w:val="0"/>
        <w:widowControl/>
        <w:suppressLineNumbers w:val="0"/>
        <w:spacing w:before="0" w:beforeAutospacing="0" w:after="0" w:afterAutospacing="0"/>
        <w:ind w:left="0" w:firstLine="600"/>
        <w:rPr>
          <w:sz w:val="30"/>
          <w:szCs w:val="30"/>
        </w:rPr>
      </w:pPr>
      <w:r>
        <w:rPr>
          <w:rFonts w:hint="default" w:ascii="楷体_GB2312" w:eastAsia="楷体_GB2312" w:cs="楷体_GB2312"/>
          <w:sz w:val="30"/>
          <w:szCs w:val="30"/>
        </w:rPr>
        <w:t> </w:t>
      </w:r>
    </w:p>
    <w:p>
      <w:pPr>
        <w:pStyle w:val="2"/>
        <w:keepNext w:val="0"/>
        <w:keepLines w:val="0"/>
        <w:widowControl/>
        <w:suppressLineNumbers w:val="0"/>
        <w:spacing w:before="0" w:beforeAutospacing="0" w:after="0" w:afterAutospacing="0"/>
        <w:ind w:left="0" w:firstLine="600"/>
        <w:rPr>
          <w:sz w:val="30"/>
          <w:szCs w:val="30"/>
        </w:rPr>
      </w:pPr>
      <w:r>
        <w:rPr>
          <w:rFonts w:hint="default" w:ascii="楷体_GB2312" w:eastAsia="楷体_GB2312" w:cs="楷体_GB2312"/>
          <w:sz w:val="30"/>
          <w:szCs w:val="30"/>
        </w:rPr>
        <w:t> </w:t>
      </w:r>
    </w:p>
    <w:p>
      <w:pPr>
        <w:pStyle w:val="2"/>
        <w:keepNext w:val="0"/>
        <w:keepLines w:val="0"/>
        <w:widowControl/>
        <w:suppressLineNumbers w:val="0"/>
        <w:spacing w:before="0" w:beforeAutospacing="0" w:after="0" w:afterAutospacing="0"/>
        <w:ind w:left="0" w:firstLine="600"/>
        <w:rPr>
          <w:sz w:val="30"/>
          <w:szCs w:val="30"/>
        </w:rPr>
      </w:pPr>
      <w:r>
        <w:rPr>
          <w:rFonts w:hint="default" w:ascii="楷体_GB2312" w:eastAsia="楷体_GB2312" w:cs="楷体_GB2312"/>
          <w:sz w:val="30"/>
          <w:szCs w:val="30"/>
        </w:rPr>
        <w:t> </w:t>
      </w:r>
    </w:p>
    <w:p>
      <w:pPr>
        <w:pStyle w:val="2"/>
        <w:keepNext w:val="0"/>
        <w:keepLines w:val="0"/>
        <w:widowControl/>
        <w:suppressLineNumbers w:val="0"/>
        <w:spacing w:before="0" w:beforeAutospacing="0" w:after="0" w:afterAutospacing="0"/>
        <w:ind w:left="0" w:firstLine="600"/>
        <w:rPr>
          <w:sz w:val="30"/>
          <w:szCs w:val="30"/>
        </w:rPr>
      </w:pPr>
      <w:r>
        <w:rPr>
          <w:rFonts w:hint="default" w:ascii="楷体_GB2312" w:eastAsia="楷体_GB2312" w:cs="楷体_GB2312"/>
          <w:sz w:val="30"/>
          <w:szCs w:val="30"/>
        </w:rPr>
        <w:t> </w:t>
      </w:r>
    </w:p>
    <w:p>
      <w:pPr>
        <w:pStyle w:val="2"/>
        <w:keepNext w:val="0"/>
        <w:keepLines w:val="0"/>
        <w:widowControl/>
        <w:suppressLineNumbers w:val="0"/>
        <w:spacing w:before="0" w:beforeAutospacing="0" w:after="0" w:afterAutospacing="0"/>
        <w:ind w:left="0" w:firstLine="600"/>
        <w:rPr>
          <w:sz w:val="30"/>
          <w:szCs w:val="30"/>
        </w:rPr>
      </w:pPr>
      <w:r>
        <w:rPr>
          <w:rFonts w:hint="default" w:ascii="楷体_GB2312" w:eastAsia="楷体_GB2312" w:cs="楷体_GB2312"/>
          <w:sz w:val="30"/>
          <w:szCs w:val="30"/>
        </w:rPr>
        <w:t> </w:t>
      </w:r>
    </w:p>
    <w:p>
      <w:pPr>
        <w:pStyle w:val="2"/>
        <w:keepNext w:val="0"/>
        <w:keepLines w:val="0"/>
        <w:widowControl/>
        <w:suppressLineNumbers w:val="0"/>
        <w:spacing w:before="0" w:beforeAutospacing="0" w:after="0" w:afterAutospacing="0"/>
        <w:ind w:left="0" w:firstLine="600"/>
        <w:rPr>
          <w:sz w:val="30"/>
          <w:szCs w:val="30"/>
        </w:rPr>
      </w:pPr>
      <w:r>
        <w:rPr>
          <w:rFonts w:hint="default" w:ascii="楷体_GB2312" w:eastAsia="楷体_GB2312" w:cs="楷体_GB2312"/>
          <w:sz w:val="30"/>
          <w:szCs w:val="30"/>
        </w:rPr>
        <w:t> </w:t>
      </w:r>
    </w:p>
    <w:p>
      <w:pPr>
        <w:pStyle w:val="2"/>
        <w:keepNext w:val="0"/>
        <w:keepLines w:val="0"/>
        <w:widowControl/>
        <w:suppressLineNumbers w:val="0"/>
        <w:spacing w:before="0" w:beforeAutospacing="0" w:after="0" w:afterAutospacing="0"/>
        <w:ind w:left="0" w:firstLine="600"/>
        <w:rPr>
          <w:sz w:val="30"/>
          <w:szCs w:val="30"/>
        </w:rPr>
      </w:pPr>
      <w:r>
        <w:rPr>
          <w:rFonts w:hint="default" w:ascii="楷体_GB2312" w:eastAsia="楷体_GB2312" w:cs="楷体_GB2312"/>
          <w:sz w:val="30"/>
          <w:szCs w:val="30"/>
        </w:rPr>
        <w:t> </w:t>
      </w:r>
    </w:p>
    <w:p>
      <w:pPr>
        <w:pStyle w:val="2"/>
        <w:keepNext w:val="0"/>
        <w:keepLines w:val="0"/>
        <w:widowControl/>
        <w:suppressLineNumbers w:val="0"/>
        <w:spacing w:before="0" w:beforeAutospacing="0" w:after="0" w:afterAutospacing="0"/>
        <w:ind w:left="0" w:firstLine="600"/>
        <w:rPr>
          <w:sz w:val="30"/>
          <w:szCs w:val="30"/>
        </w:rPr>
      </w:pPr>
      <w:r>
        <w:rPr>
          <w:rFonts w:hint="default" w:ascii="楷体_GB2312" w:eastAsia="楷体_GB2312" w:cs="楷体_GB2312"/>
          <w:sz w:val="30"/>
          <w:szCs w:val="30"/>
        </w:rPr>
        <w:t>(三)政府采购支出情况</w:t>
      </w:r>
    </w:p>
    <w:p>
      <w:pPr>
        <w:pStyle w:val="2"/>
        <w:keepNext w:val="0"/>
        <w:keepLines w:val="0"/>
        <w:widowControl/>
        <w:suppressLineNumbers w:val="0"/>
        <w:spacing w:before="0" w:beforeAutospacing="0" w:after="0" w:afterAutospacing="0"/>
        <w:ind w:left="0" w:firstLine="600"/>
        <w:jc w:val="both"/>
        <w:rPr>
          <w:sz w:val="30"/>
          <w:szCs w:val="30"/>
        </w:rPr>
      </w:pPr>
      <w:r>
        <w:rPr>
          <w:rFonts w:hint="default" w:ascii="仿宋_GB2312" w:eastAsia="仿宋_GB2312" w:cs="仿宋_GB2312"/>
          <w:sz w:val="30"/>
          <w:szCs w:val="30"/>
        </w:rPr>
        <w:t>2018年度，部门政府采购支出总额18.68万元，其中：政府采购货物支出18.68万元；政府采购工程支出0万元；政府采购服务支出0万元。授予中小企业合同金额0万元，占政府采购支出总额的0%。</w:t>
      </w:r>
    </w:p>
    <w:p>
      <w:pPr>
        <w:pStyle w:val="2"/>
        <w:keepNext w:val="0"/>
        <w:keepLines w:val="0"/>
        <w:widowControl/>
        <w:suppressLineNumbers w:val="0"/>
        <w:spacing w:before="0" w:beforeAutospacing="0" w:after="0" w:afterAutospacing="0"/>
        <w:ind w:left="0" w:firstLine="900"/>
        <w:rPr>
          <w:sz w:val="30"/>
          <w:szCs w:val="30"/>
        </w:rPr>
      </w:pPr>
      <w:r>
        <w:rPr>
          <w:rFonts w:hint="default" w:ascii="楷体_GB2312" w:eastAsia="楷体_GB2312" w:cs="楷体_GB2312"/>
          <w:sz w:val="30"/>
          <w:szCs w:val="30"/>
        </w:rPr>
        <w:t>(四)绩效自评信息情况</w:t>
      </w:r>
    </w:p>
    <w:p>
      <w:pPr>
        <w:pStyle w:val="2"/>
        <w:keepNext w:val="0"/>
        <w:keepLines w:val="0"/>
        <w:widowControl/>
        <w:suppressLineNumbers w:val="0"/>
        <w:spacing w:before="0" w:beforeAutospacing="0" w:after="0" w:afterAutospacing="0"/>
        <w:ind w:left="0" w:firstLine="900"/>
        <w:rPr>
          <w:sz w:val="30"/>
          <w:szCs w:val="30"/>
        </w:rPr>
      </w:pPr>
      <w:r>
        <w:rPr>
          <w:rFonts w:hint="default" w:ascii="仿宋_GB2312" w:eastAsia="仿宋_GB2312" w:cs="仿宋_GB2312"/>
          <w:sz w:val="30"/>
          <w:szCs w:val="30"/>
        </w:rPr>
        <w:t>部门绩效自评情况详见附表（附表10—附表14）。</w:t>
      </w:r>
    </w:p>
    <w:p>
      <w:pPr>
        <w:pStyle w:val="2"/>
        <w:keepNext w:val="0"/>
        <w:keepLines w:val="0"/>
        <w:widowControl/>
        <w:suppressLineNumbers w:val="0"/>
        <w:spacing w:before="0" w:beforeAutospacing="0" w:after="0" w:afterAutospacing="0"/>
        <w:ind w:left="0" w:firstLine="900"/>
        <w:rPr>
          <w:sz w:val="30"/>
          <w:szCs w:val="30"/>
        </w:rPr>
      </w:pPr>
      <w:r>
        <w:rPr>
          <w:rFonts w:hint="default" w:ascii="楷体_GB2312" w:eastAsia="楷体_GB2312" w:cs="楷体_GB2312"/>
          <w:sz w:val="30"/>
          <w:szCs w:val="30"/>
        </w:rPr>
        <w:t>（五）其他重要事项情况说明</w:t>
      </w:r>
    </w:p>
    <w:p>
      <w:pPr>
        <w:pStyle w:val="2"/>
        <w:keepNext w:val="0"/>
        <w:keepLines w:val="0"/>
        <w:widowControl/>
        <w:suppressLineNumbers w:val="0"/>
        <w:spacing w:before="0" w:beforeAutospacing="0" w:after="0" w:afterAutospacing="0"/>
        <w:ind w:left="0" w:firstLine="1800"/>
        <w:rPr>
          <w:sz w:val="30"/>
          <w:szCs w:val="30"/>
        </w:rPr>
      </w:pPr>
      <w:r>
        <w:rPr>
          <w:rFonts w:hint="default" w:ascii="楷体_GB2312" w:eastAsia="楷体_GB2312" w:cs="楷体_GB2312"/>
          <w:sz w:val="30"/>
          <w:szCs w:val="30"/>
        </w:rPr>
        <w:t>无</w:t>
      </w:r>
    </w:p>
    <w:p>
      <w:pPr>
        <w:pStyle w:val="2"/>
        <w:keepNext w:val="0"/>
        <w:keepLines w:val="0"/>
        <w:widowControl/>
        <w:suppressLineNumbers w:val="0"/>
        <w:spacing w:before="0" w:beforeAutospacing="0" w:after="0" w:afterAutospacing="0"/>
        <w:ind w:left="0" w:firstLine="900"/>
        <w:rPr>
          <w:sz w:val="30"/>
          <w:szCs w:val="30"/>
        </w:rPr>
      </w:pPr>
      <w:r>
        <w:rPr>
          <w:rFonts w:hint="default" w:ascii="楷体_GB2312" w:eastAsia="楷体_GB2312" w:cs="楷体_GB2312"/>
          <w:sz w:val="30"/>
          <w:szCs w:val="30"/>
        </w:rPr>
        <w:t>（六）相关口径说明</w:t>
      </w:r>
    </w:p>
    <w:p>
      <w:pPr>
        <w:pStyle w:val="2"/>
        <w:keepNext w:val="0"/>
        <w:keepLines w:val="0"/>
        <w:widowControl/>
        <w:suppressLineNumbers w:val="0"/>
        <w:spacing w:before="0" w:beforeAutospacing="0" w:after="0" w:afterAutospacing="0"/>
        <w:ind w:left="0" w:firstLine="600"/>
        <w:rPr>
          <w:sz w:val="30"/>
          <w:szCs w:val="30"/>
        </w:rPr>
      </w:pPr>
      <w:r>
        <w:rPr>
          <w:rFonts w:hint="default" w:ascii="仿宋_GB2312" w:eastAsia="仿宋_GB2312" w:cs="仿宋_GB2312"/>
          <w:sz w:val="30"/>
          <w:szCs w:val="30"/>
        </w:rPr>
        <w:t>1．基本支出中人员经费包括工资福利支出和对个人和家庭的补助，日常公用支出包括商品和服务支出、其他资本性支出等人员经费以外的支出。</w:t>
      </w:r>
    </w:p>
    <w:p>
      <w:pPr>
        <w:pStyle w:val="2"/>
        <w:keepNext w:val="0"/>
        <w:keepLines w:val="0"/>
        <w:widowControl/>
        <w:suppressLineNumbers w:val="0"/>
        <w:spacing w:before="0" w:beforeAutospacing="0" w:after="0" w:afterAutospacing="0"/>
        <w:ind w:left="0" w:firstLine="600"/>
        <w:rPr>
          <w:sz w:val="30"/>
          <w:szCs w:val="30"/>
        </w:rPr>
      </w:pPr>
      <w:r>
        <w:rPr>
          <w:rFonts w:hint="default" w:ascii="仿宋_GB2312" w:eastAsia="仿宋_GB2312" w:cs="仿宋_GB2312"/>
          <w:sz w:val="30"/>
          <w:szCs w:val="30"/>
        </w:rPr>
        <w:t>2．机关运行经费指行政单位和参照公务员法管理的事业单位使用一般公共预算财政拨款安排的除人员经费以外的基本支出。</w:t>
      </w:r>
    </w:p>
    <w:p>
      <w:pPr>
        <w:pStyle w:val="2"/>
        <w:keepNext w:val="0"/>
        <w:keepLines w:val="0"/>
        <w:widowControl/>
        <w:suppressLineNumbers w:val="0"/>
        <w:spacing w:before="0" w:beforeAutospacing="0" w:after="0" w:afterAutospacing="0"/>
        <w:ind w:left="0" w:firstLine="600"/>
        <w:rPr>
          <w:sz w:val="30"/>
          <w:szCs w:val="30"/>
        </w:rPr>
      </w:pPr>
      <w:r>
        <w:rPr>
          <w:rFonts w:hint="default" w:ascii="仿宋_GB2312" w:eastAsia="仿宋_GB2312" w:cs="仿宋_GB2312"/>
          <w:sz w:val="30"/>
          <w:szCs w:val="30"/>
        </w:rPr>
        <w:t>3．按照党中央、国务院有关文件及部门预算管理有关规定，“三公”经费包括因公出国（境）费、公务用车购置及运行维护费、公务接待费。其中：因公出国（境）费，指单位工作人员公务出国（境）的国际旅费、国外城市间交通费、住宿费、伙食费、培训费、公杂费等支出；公务用车购置费，指单位公务用车车辆购置支出（含车辆购置税）；公务用车运行维护费，指单位按规定保留的公务用车燃料费、维修费、过桥过路费、保险费、安全奖励费用等支出；公务用车指用于履行公务的机动车辆，包括省部级干部专车、一般公务用车和执法执勤用车；公务接待费，指单位按规定开支的各类公务接待（含外宾接待）费用。</w:t>
      </w:r>
    </w:p>
    <w:p>
      <w:pPr>
        <w:pStyle w:val="2"/>
        <w:keepNext w:val="0"/>
        <w:keepLines w:val="0"/>
        <w:widowControl/>
        <w:suppressLineNumbers w:val="0"/>
        <w:spacing w:before="0" w:beforeAutospacing="0" w:after="0" w:afterAutospacing="0"/>
        <w:ind w:left="0" w:firstLine="600"/>
        <w:rPr>
          <w:sz w:val="30"/>
          <w:szCs w:val="30"/>
        </w:rPr>
      </w:pPr>
      <w:r>
        <w:rPr>
          <w:rFonts w:hint="default" w:ascii="仿宋_GB2312" w:eastAsia="仿宋_GB2312" w:cs="仿宋_GB2312"/>
          <w:sz w:val="30"/>
          <w:szCs w:val="30"/>
        </w:rPr>
        <w:t>4.“三公”经费决算数：指各部门（含下属单位）当年通过本级财政一般公共预算财政拨款和以前年度一般公共预算财政拨款结转结余资金安排的因公出国（境）费、公务用车购置及运行维护费和公务接待费支出数（包括基本支出和项目支出）。</w:t>
      </w:r>
    </w:p>
    <w:p>
      <w:pPr>
        <w:pStyle w:val="2"/>
        <w:keepNext w:val="0"/>
        <w:keepLines w:val="0"/>
        <w:widowControl/>
        <w:suppressLineNumbers w:val="0"/>
        <w:spacing w:before="0" w:beforeAutospacing="0" w:after="0" w:afterAutospacing="0"/>
        <w:ind w:left="0" w:firstLine="640"/>
        <w:jc w:val="center"/>
        <w:rPr>
          <w:sz w:val="32"/>
          <w:szCs w:val="32"/>
        </w:rPr>
      </w:pPr>
      <w:r>
        <w:rPr>
          <w:rFonts w:hint="eastAsia" w:ascii="黑体" w:hAnsi="宋体" w:eastAsia="黑体" w:cs="黑体"/>
          <w:sz w:val="32"/>
          <w:szCs w:val="32"/>
        </w:rPr>
        <w:t>第四部分  名词解释</w:t>
      </w:r>
    </w:p>
    <w:p>
      <w:pPr>
        <w:pStyle w:val="2"/>
        <w:keepNext w:val="0"/>
        <w:keepLines w:val="0"/>
        <w:widowControl/>
        <w:suppressLineNumbers w:val="0"/>
        <w:spacing w:before="0" w:beforeAutospacing="0" w:after="0" w:afterAutospacing="0"/>
        <w:ind w:left="0" w:firstLine="600"/>
        <w:rPr>
          <w:sz w:val="30"/>
          <w:szCs w:val="30"/>
        </w:rPr>
      </w:pPr>
      <w:r>
        <w:rPr>
          <w:rFonts w:hint="default" w:ascii="仿宋_GB2312" w:eastAsia="仿宋_GB2312" w:cs="仿宋_GB2312"/>
          <w:sz w:val="30"/>
          <w:szCs w:val="30"/>
        </w:rPr>
        <w:t>情况说明里涉及到需要解释说明的决算相关专用名词，在此进行说明解释。</w:t>
      </w:r>
    </w:p>
    <w:p>
      <w:pPr>
        <w:pStyle w:val="2"/>
        <w:keepNext w:val="0"/>
        <w:keepLines w:val="0"/>
        <w:widowControl/>
        <w:suppressLineNumbers w:val="0"/>
        <w:spacing w:before="0" w:beforeAutospacing="0" w:after="0" w:afterAutospacing="0"/>
        <w:jc w:val="both"/>
        <w:rPr>
          <w:sz w:val="36"/>
          <w:szCs w:val="36"/>
        </w:rPr>
      </w:pPr>
      <w:r>
        <w:rPr>
          <w:rFonts w:hint="default" w:ascii="Arial" w:hAnsi="Arial" w:cs="Arial"/>
          <w:b/>
          <w:sz w:val="36"/>
          <w:szCs w:val="36"/>
        </w:rPr>
        <w:t>监督索引号53342300376201111</w:t>
      </w:r>
    </w:p>
    <w:p>
      <w:pPr>
        <w:pStyle w:val="2"/>
        <w:keepNext w:val="0"/>
        <w:keepLines w:val="0"/>
        <w:widowControl/>
        <w:suppressLineNumbers w:val="0"/>
        <w:spacing w:before="0" w:beforeAutospacing="0" w:after="0" w:afterAutospacing="0"/>
        <w:rPr>
          <w:sz w:val="18"/>
          <w:szCs w:val="18"/>
        </w:rPr>
      </w:pPr>
      <w:r>
        <w:rPr>
          <w:rFonts w:hint="default" w:ascii="Times New Roman" w:hAnsi="Times New Roman" w:cs="Times New Roman"/>
          <w:sz w:val="18"/>
          <w:szCs w:val="18"/>
        </w:rPr>
        <w:t>1</w:t>
      </w:r>
    </w:p>
    <w:p>
      <w:pPr>
        <w:pStyle w:val="2"/>
        <w:keepNext w:val="0"/>
        <w:keepLines w:val="0"/>
        <w:widowControl/>
        <w:suppressLineNumbers w:val="0"/>
        <w:spacing w:before="0" w:beforeAutospacing="0" w:after="0" w:afterAutospacing="0"/>
        <w:rPr>
          <w:sz w:val="18"/>
          <w:szCs w:val="18"/>
        </w:rPr>
      </w:pPr>
      <w:r>
        <w:rPr>
          <w:rFonts w:hint="default" w:ascii="Times New Roman" w:hAnsi="Times New Roman" w:cs="Times New Roman"/>
          <w:sz w:val="18"/>
          <w:szCs w:val="18"/>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173C52"/>
    <w:rsid w:val="1F173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2019-10-09T03:55:00Z</dcterms:created>
  <dc:creator>Administrator</dc:creator>
  <cp:lastModifiedBy>Administrator</cp:lastModifiedBy>
  <dcterms:modified xsi:type="dcterms:W3CDTF">2019-10-09T03:56:06Z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