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colors1.xml" ContentType="application/vnd.ms-office.chartcolorstyle+xml"/>
  <Override PartName="/word/charts/chart/colors2.xml" ContentType="application/vnd.ms-office.chartcolorstyle+xml"/>
  <Override PartName="/word/charts/chart/style1.xml" ContentType="application/vnd.ms-office.chartstyle+xml"/>
  <Override PartName="/word/charts/chart/style2.xml" ContentType="application/vnd.ms-office.chartstyle+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 -->
  <w:body>
    <w:p>
      <w:pPr>
        <w:rPr>
          <w:rFonts w:ascii="Arial" w:eastAsia="Arial" w:hAnsi="Arial" w:cs="Arial"/>
          <w:b/>
          <w:sz w:val="36"/>
        </w:rPr>
      </w:pPr>
      <w:r>
        <w:rPr>
          <w:rFonts w:ascii="Arial" w:eastAsia="Arial" w:hAnsi="Arial" w:cs="Arial"/>
          <w:b/>
          <w:sz w:val="36"/>
        </w:rPr>
        <w:t>监督索引号53342300236001000</w:t>
      </w:r>
    </w:p>
    <w:p>
      <w:pPr>
        <w:jc w:val="center"/>
        <w:rPr>
          <w:rFonts w:ascii="黑体" w:eastAsia="黑体" w:hAnsi="黑体" w:hint="eastAsia"/>
          <w:sz w:val="36"/>
          <w:szCs w:val="36"/>
          <w:lang w:val="en-US" w:eastAsia="zh-CN"/>
        </w:rPr>
      </w:pPr>
      <w:r>
        <w:rPr>
          <w:rFonts w:ascii="黑体" w:eastAsia="黑体" w:hAnsi="黑体" w:hint="eastAsia"/>
          <w:sz w:val="36"/>
          <w:szCs w:val="36"/>
          <w:lang w:val="en-US" w:eastAsia="zh-CN"/>
        </w:rPr>
        <w:t>维西县教育局2018</w:t>
      </w:r>
      <w:r>
        <w:rPr>
          <w:rFonts w:ascii="黑体" w:eastAsia="黑体" w:hAnsi="黑体" w:hint="eastAsia"/>
          <w:sz w:val="36"/>
          <w:szCs w:val="36"/>
        </w:rPr>
        <w:t>年度部门决算</w:t>
      </w:r>
      <w:r>
        <w:rPr>
          <w:rFonts w:ascii="黑体" w:eastAsia="黑体" w:hAnsi="黑体" w:hint="eastAsia"/>
          <w:sz w:val="36"/>
          <w:szCs w:val="36"/>
          <w:lang w:val="en-US" w:eastAsia="zh-CN"/>
        </w:rPr>
        <w:t>说明</w:t>
      </w:r>
    </w:p>
    <w:p>
      <w:pPr>
        <w:jc w:val="left"/>
        <w:rPr>
          <w:rFonts w:ascii="黑体" w:eastAsia="黑体" w:hAnsi="黑体" w:hint="eastAsia"/>
          <w:sz w:val="30"/>
          <w:szCs w:val="30"/>
        </w:rPr>
      </w:pPr>
    </w:p>
    <w:p>
      <w:pPr>
        <w:jc w:val="left"/>
        <w:rPr>
          <w:rFonts w:ascii="黑体" w:eastAsia="黑体" w:hAnsi="黑体" w:hint="eastAsia"/>
          <w:sz w:val="30"/>
          <w:szCs w:val="30"/>
        </w:rPr>
      </w:pPr>
      <w:r>
        <w:rPr>
          <w:rFonts w:ascii="黑体" w:eastAsia="黑体" w:hAnsi="黑体" w:hint="eastAsia"/>
          <w:sz w:val="30"/>
          <w:szCs w:val="30"/>
        </w:rPr>
        <w:t xml:space="preserve">第一部分  </w:t>
      </w:r>
      <w:r>
        <w:rPr>
          <w:rFonts w:ascii="黑体" w:eastAsia="黑体" w:hAnsi="黑体" w:hint="eastAsia"/>
          <w:sz w:val="30"/>
          <w:szCs w:val="30"/>
          <w:lang w:val="en-US" w:eastAsia="zh-CN"/>
        </w:rPr>
        <w:t>维西县教育局</w:t>
      </w:r>
      <w:r>
        <w:rPr>
          <w:rFonts w:ascii="黑体" w:eastAsia="黑体" w:hAnsi="黑体" w:hint="eastAsia"/>
          <w:sz w:val="30"/>
          <w:szCs w:val="30"/>
        </w:rPr>
        <w:t>概况</w:t>
      </w:r>
    </w:p>
    <w:p>
      <w:pPr>
        <w:spacing w:line="240" w:lineRule="atLeast"/>
        <w:jc w:val="left"/>
        <w:rPr>
          <w:rFonts w:ascii="楷体" w:eastAsia="楷体" w:hAnsi="楷体" w:hint="eastAsia"/>
          <w:sz w:val="30"/>
          <w:szCs w:val="30"/>
        </w:rPr>
      </w:pPr>
      <w:r>
        <w:rPr>
          <w:rFonts w:ascii="楷体" w:eastAsia="楷体" w:hAnsi="楷体" w:hint="eastAsia"/>
          <w:sz w:val="30"/>
          <w:szCs w:val="30"/>
        </w:rPr>
        <w:t>一、主要职能</w:t>
      </w:r>
    </w:p>
    <w:p>
      <w:pPr>
        <w:spacing w:line="240" w:lineRule="atLeast"/>
        <w:jc w:val="left"/>
        <w:rPr>
          <w:rFonts w:ascii="楷体" w:eastAsia="楷体" w:hAnsi="楷体" w:hint="eastAsia"/>
          <w:sz w:val="30"/>
          <w:szCs w:val="30"/>
        </w:rPr>
      </w:pPr>
      <w:r>
        <w:rPr>
          <w:rFonts w:ascii="楷体" w:eastAsia="楷体" w:hAnsi="楷体" w:hint="eastAsia"/>
          <w:sz w:val="30"/>
          <w:szCs w:val="30"/>
        </w:rPr>
        <w:t>二、部门基本情况</w:t>
      </w:r>
    </w:p>
    <w:p>
      <w:pPr>
        <w:jc w:val="left"/>
        <w:rPr>
          <w:rFonts w:ascii="黑体" w:eastAsia="黑体" w:hAnsi="黑体" w:hint="eastAsia"/>
          <w:sz w:val="30"/>
          <w:szCs w:val="30"/>
        </w:rPr>
      </w:pPr>
      <w:r>
        <w:rPr>
          <w:rFonts w:ascii="黑体" w:eastAsia="黑体" w:hAnsi="黑体" w:hint="eastAsia"/>
          <w:sz w:val="30"/>
          <w:szCs w:val="30"/>
        </w:rPr>
        <w:t xml:space="preserve">第二部分  </w:t>
      </w:r>
      <w:r>
        <w:rPr>
          <w:rFonts w:ascii="黑体" w:eastAsia="黑体" w:hAnsi="黑体" w:hint="eastAsia"/>
          <w:sz w:val="30"/>
          <w:szCs w:val="30"/>
          <w:lang w:val="en-US" w:eastAsia="zh-CN"/>
        </w:rPr>
        <w:t>2018</w:t>
      </w:r>
      <w:r>
        <w:rPr>
          <w:rFonts w:ascii="黑体" w:eastAsia="黑体" w:hAnsi="黑体" w:hint="eastAsia"/>
          <w:sz w:val="30"/>
          <w:szCs w:val="30"/>
        </w:rPr>
        <w:t>年度部门决算表</w:t>
      </w:r>
    </w:p>
    <w:p>
      <w:pPr>
        <w:jc w:val="left"/>
        <w:rPr>
          <w:rFonts w:ascii="楷体" w:eastAsia="楷体" w:hAnsi="楷体" w:hint="eastAsia"/>
          <w:sz w:val="30"/>
          <w:szCs w:val="30"/>
        </w:rPr>
      </w:pPr>
      <w:r>
        <w:rPr>
          <w:rFonts w:ascii="楷体" w:eastAsia="楷体" w:hAnsi="楷体" w:hint="eastAsia"/>
          <w:sz w:val="30"/>
          <w:szCs w:val="30"/>
        </w:rPr>
        <w:t>一、收入支出决算总表</w:t>
      </w:r>
    </w:p>
    <w:p>
      <w:pPr>
        <w:jc w:val="left"/>
        <w:rPr>
          <w:rFonts w:ascii="楷体" w:eastAsia="楷体" w:hAnsi="楷体" w:hint="eastAsia"/>
          <w:sz w:val="30"/>
          <w:szCs w:val="30"/>
        </w:rPr>
      </w:pPr>
      <w:r>
        <w:rPr>
          <w:rFonts w:ascii="楷体" w:eastAsia="楷体" w:hAnsi="楷体" w:hint="eastAsia"/>
          <w:sz w:val="30"/>
          <w:szCs w:val="30"/>
        </w:rPr>
        <w:t>二、收入决算表</w:t>
      </w:r>
    </w:p>
    <w:p>
      <w:pPr>
        <w:jc w:val="left"/>
        <w:rPr>
          <w:rFonts w:ascii="楷体" w:eastAsia="楷体" w:hAnsi="楷体" w:hint="eastAsia"/>
          <w:sz w:val="30"/>
          <w:szCs w:val="30"/>
        </w:rPr>
      </w:pPr>
      <w:r>
        <w:rPr>
          <w:rFonts w:ascii="楷体" w:eastAsia="楷体" w:hAnsi="楷体" w:hint="eastAsia"/>
          <w:sz w:val="30"/>
          <w:szCs w:val="30"/>
        </w:rPr>
        <w:t>三、支出决算表</w:t>
      </w:r>
    </w:p>
    <w:p>
      <w:pPr>
        <w:jc w:val="left"/>
        <w:rPr>
          <w:rFonts w:ascii="楷体" w:eastAsia="楷体" w:hAnsi="楷体" w:hint="eastAsia"/>
          <w:sz w:val="30"/>
          <w:szCs w:val="30"/>
        </w:rPr>
      </w:pPr>
      <w:r>
        <w:rPr>
          <w:rFonts w:ascii="楷体" w:eastAsia="楷体" w:hAnsi="楷体" w:hint="eastAsia"/>
          <w:sz w:val="30"/>
          <w:szCs w:val="30"/>
        </w:rPr>
        <w:t>四、财政拨款收入支出决算总表</w:t>
      </w:r>
    </w:p>
    <w:p>
      <w:pPr>
        <w:jc w:val="left"/>
        <w:rPr>
          <w:rFonts w:ascii="楷体" w:eastAsia="楷体" w:hAnsi="楷体" w:hint="eastAsia"/>
          <w:sz w:val="30"/>
          <w:szCs w:val="30"/>
        </w:rPr>
      </w:pPr>
      <w:r>
        <w:rPr>
          <w:rFonts w:ascii="楷体" w:eastAsia="楷体" w:hAnsi="楷体" w:hint="eastAsia"/>
          <w:sz w:val="30"/>
          <w:szCs w:val="30"/>
        </w:rPr>
        <w:t>五、一般公共预算财政拨款收入支出决算表</w:t>
      </w:r>
    </w:p>
    <w:p>
      <w:pPr>
        <w:jc w:val="left"/>
        <w:rPr>
          <w:rFonts w:ascii="楷体" w:eastAsia="楷体" w:hAnsi="楷体" w:hint="eastAsia"/>
          <w:sz w:val="30"/>
          <w:szCs w:val="30"/>
        </w:rPr>
      </w:pPr>
      <w:r>
        <w:rPr>
          <w:rFonts w:ascii="楷体" w:eastAsia="楷体" w:hAnsi="楷体" w:hint="eastAsia"/>
          <w:sz w:val="30"/>
          <w:szCs w:val="30"/>
        </w:rPr>
        <w:t>六、一般公共预算财政拨款基本支出决算表</w:t>
      </w:r>
    </w:p>
    <w:p>
      <w:pPr>
        <w:jc w:val="left"/>
        <w:rPr>
          <w:rFonts w:ascii="楷体" w:eastAsia="楷体" w:hAnsi="楷体" w:hint="eastAsia"/>
          <w:sz w:val="30"/>
          <w:szCs w:val="30"/>
        </w:rPr>
      </w:pPr>
      <w:r>
        <w:rPr>
          <w:rFonts w:ascii="楷体" w:eastAsia="楷体" w:hAnsi="楷体" w:hint="eastAsia"/>
          <w:sz w:val="30"/>
          <w:szCs w:val="30"/>
        </w:rPr>
        <w:t>七、政府性基金预算财政拨款收入支出决算表</w:t>
      </w:r>
    </w:p>
    <w:p>
      <w:pPr>
        <w:jc w:val="left"/>
        <w:rPr>
          <w:rFonts w:ascii="楷体" w:eastAsia="楷体" w:hAnsi="楷体" w:hint="eastAsia"/>
          <w:sz w:val="30"/>
          <w:szCs w:val="30"/>
        </w:rPr>
      </w:pPr>
      <w:r>
        <w:rPr>
          <w:rFonts w:ascii="楷体" w:eastAsia="楷体" w:hAnsi="楷体" w:hint="eastAsia"/>
          <w:sz w:val="30"/>
          <w:szCs w:val="30"/>
        </w:rPr>
        <w:t>八、财政专户管理资金收入支出决算表</w:t>
      </w:r>
    </w:p>
    <w:p>
      <w:pPr>
        <w:jc w:val="left"/>
        <w:rPr>
          <w:rFonts w:ascii="楷体" w:eastAsia="楷体" w:hAnsi="楷体" w:hint="eastAsia"/>
          <w:sz w:val="30"/>
          <w:szCs w:val="30"/>
        </w:rPr>
      </w:pPr>
      <w:r>
        <w:rPr>
          <w:rFonts w:ascii="楷体" w:eastAsia="楷体" w:hAnsi="楷体" w:hint="eastAsia"/>
          <w:sz w:val="30"/>
          <w:szCs w:val="30"/>
        </w:rPr>
        <w:t>九、“三公”经费、行政参公单位机关运行经费情况表</w:t>
      </w:r>
    </w:p>
    <w:p>
      <w:pPr>
        <w:jc w:val="left"/>
        <w:rPr>
          <w:rFonts w:ascii="黑体" w:eastAsia="黑体" w:hAnsi="黑体" w:hint="eastAsia"/>
          <w:sz w:val="30"/>
          <w:szCs w:val="30"/>
        </w:rPr>
      </w:pPr>
      <w:r>
        <w:rPr>
          <w:rFonts w:ascii="黑体" w:eastAsia="黑体" w:hAnsi="黑体" w:hint="eastAsia"/>
          <w:sz w:val="30"/>
          <w:szCs w:val="30"/>
        </w:rPr>
        <w:t>第三部</w:t>
      </w:r>
      <w:r>
        <w:rPr>
          <w:rFonts w:ascii="黑体" w:eastAsia="黑体" w:hAnsi="黑体" w:hint="eastAsia"/>
          <w:sz w:val="30"/>
          <w:szCs w:val="30"/>
          <w:lang w:eastAsia="zh-CN"/>
        </w:rPr>
        <w:t>分</w:t>
      </w:r>
      <w:r>
        <w:rPr>
          <w:rFonts w:ascii="黑体" w:eastAsia="黑体" w:hAnsi="黑体" w:hint="eastAsia"/>
          <w:sz w:val="30"/>
          <w:szCs w:val="30"/>
        </w:rPr>
        <w:t xml:space="preserve">  </w:t>
      </w:r>
      <w:r>
        <w:rPr>
          <w:rFonts w:ascii="黑体" w:eastAsia="黑体" w:hAnsi="黑体" w:hint="eastAsia"/>
          <w:sz w:val="30"/>
          <w:szCs w:val="30"/>
          <w:lang w:val="en-US" w:eastAsia="zh-CN"/>
        </w:rPr>
        <w:t>2018</w:t>
      </w:r>
      <w:r>
        <w:rPr>
          <w:rFonts w:ascii="黑体" w:eastAsia="黑体" w:hAnsi="黑体" w:hint="eastAsia"/>
          <w:sz w:val="30"/>
          <w:szCs w:val="30"/>
        </w:rPr>
        <w:t>年度部门决算情况说明</w:t>
      </w:r>
    </w:p>
    <w:p>
      <w:pPr>
        <w:jc w:val="left"/>
        <w:rPr>
          <w:rFonts w:ascii="楷体" w:eastAsia="楷体" w:hAnsi="楷体" w:hint="eastAsia"/>
          <w:sz w:val="30"/>
          <w:szCs w:val="30"/>
        </w:rPr>
      </w:pPr>
      <w:r>
        <w:rPr>
          <w:rFonts w:ascii="楷体" w:eastAsia="楷体" w:hAnsi="楷体" w:hint="eastAsia"/>
          <w:sz w:val="30"/>
          <w:szCs w:val="30"/>
        </w:rPr>
        <w:t>一、收入决算情况说明</w:t>
      </w:r>
    </w:p>
    <w:p>
      <w:pPr>
        <w:jc w:val="left"/>
        <w:rPr>
          <w:rFonts w:ascii="楷体" w:eastAsia="楷体" w:hAnsi="楷体" w:hint="eastAsia"/>
          <w:sz w:val="30"/>
          <w:szCs w:val="30"/>
        </w:rPr>
      </w:pPr>
      <w:r>
        <w:rPr>
          <w:rFonts w:ascii="楷体" w:eastAsia="楷体" w:hAnsi="楷体" w:hint="eastAsia"/>
          <w:sz w:val="30"/>
          <w:szCs w:val="30"/>
        </w:rPr>
        <w:t>二、支出决算情况说明</w:t>
      </w:r>
    </w:p>
    <w:p>
      <w:pPr>
        <w:jc w:val="left"/>
        <w:rPr>
          <w:rFonts w:ascii="楷体" w:eastAsia="楷体" w:hAnsi="楷体" w:hint="eastAsia"/>
          <w:sz w:val="30"/>
          <w:szCs w:val="30"/>
        </w:rPr>
      </w:pPr>
      <w:r>
        <w:rPr>
          <w:rFonts w:ascii="楷体" w:eastAsia="楷体" w:hAnsi="楷体" w:hint="eastAsia"/>
          <w:sz w:val="30"/>
          <w:szCs w:val="30"/>
        </w:rPr>
        <w:t>三、一般公共预算财政拨款支出决算情况说明</w:t>
      </w:r>
    </w:p>
    <w:p>
      <w:pPr>
        <w:widowControl/>
        <w:snapToGrid w:val="0"/>
        <w:spacing w:before="100" w:after="100" w:line="360" w:lineRule="auto"/>
        <w:jc w:val="left"/>
        <w:rPr>
          <w:rFonts w:ascii="楷体" w:eastAsia="楷体" w:hAnsi="楷体" w:hint="eastAsia"/>
          <w:sz w:val="30"/>
          <w:szCs w:val="30"/>
        </w:rPr>
      </w:pPr>
      <w:r>
        <w:rPr>
          <w:rFonts w:ascii="楷体" w:eastAsia="楷体" w:hAnsi="楷体" w:hint="eastAsia"/>
          <w:sz w:val="30"/>
          <w:szCs w:val="30"/>
        </w:rPr>
        <w:t>四、一般公共预算财政拨款“三公”经费支出决算情况说明</w:t>
      </w:r>
    </w:p>
    <w:p>
      <w:pPr>
        <w:widowControl/>
        <w:snapToGrid w:val="0"/>
        <w:spacing w:before="100" w:after="100" w:line="360" w:lineRule="auto"/>
        <w:jc w:val="left"/>
        <w:rPr>
          <w:rFonts w:ascii="黑体" w:eastAsia="黑体" w:hAnsi="黑体" w:hint="eastAsia"/>
          <w:sz w:val="30"/>
          <w:szCs w:val="30"/>
        </w:rPr>
      </w:pPr>
      <w:r>
        <w:rPr>
          <w:rFonts w:ascii="黑体" w:eastAsia="黑体" w:hAnsi="黑体" w:hint="eastAsia"/>
          <w:sz w:val="30"/>
          <w:szCs w:val="30"/>
          <w:lang w:eastAsia="zh-CN"/>
        </w:rPr>
        <w:t>第四部分</w:t>
      </w:r>
      <w:r>
        <w:rPr>
          <w:rFonts w:ascii="楷体" w:eastAsia="楷体" w:hAnsi="楷体" w:hint="eastAsia"/>
          <w:sz w:val="30"/>
          <w:szCs w:val="30"/>
          <w:lang w:val="en-US" w:eastAsia="zh-CN"/>
        </w:rPr>
        <w:t xml:space="preserve">  </w:t>
      </w:r>
      <w:r>
        <w:rPr>
          <w:rFonts w:ascii="黑体" w:eastAsia="黑体" w:hAnsi="黑体" w:hint="eastAsia"/>
          <w:sz w:val="30"/>
          <w:szCs w:val="30"/>
        </w:rPr>
        <w:t>其他重要事项及相关口径情况说明</w:t>
      </w:r>
    </w:p>
    <w:p>
      <w:pPr>
        <w:jc w:val="left"/>
        <w:rPr>
          <w:rFonts w:ascii="楷体" w:eastAsia="楷体" w:hAnsi="楷体" w:hint="eastAsia"/>
          <w:sz w:val="30"/>
          <w:szCs w:val="30"/>
          <w:lang w:eastAsia="zh-CN"/>
        </w:rPr>
      </w:pPr>
      <w:r>
        <w:rPr>
          <w:rFonts w:ascii="楷体" w:eastAsia="楷体" w:hAnsi="楷体" w:hint="eastAsia"/>
          <w:sz w:val="30"/>
          <w:szCs w:val="30"/>
          <w:lang w:eastAsia="zh-CN"/>
        </w:rPr>
        <w:t>一、</w:t>
      </w:r>
      <w:r>
        <w:rPr>
          <w:rFonts w:ascii="楷体" w:eastAsia="楷体" w:hAnsi="楷体" w:hint="eastAsia"/>
          <w:sz w:val="30"/>
          <w:szCs w:val="30"/>
        </w:rPr>
        <w:t>机关运行经费支出情况</w:t>
      </w:r>
    </w:p>
    <w:p>
      <w:pPr>
        <w:jc w:val="left"/>
        <w:rPr>
          <w:rFonts w:ascii="楷体" w:eastAsia="楷体" w:hAnsi="楷体" w:hint="eastAsia"/>
          <w:sz w:val="30"/>
          <w:szCs w:val="30"/>
          <w:lang w:eastAsia="zh-CN"/>
        </w:rPr>
      </w:pPr>
      <w:r>
        <w:rPr>
          <w:rFonts w:ascii="楷体" w:eastAsia="楷体" w:hAnsi="楷体" w:hint="eastAsia"/>
          <w:sz w:val="30"/>
          <w:szCs w:val="30"/>
          <w:lang w:eastAsia="zh-CN"/>
        </w:rPr>
        <w:t>二、</w:t>
      </w:r>
      <w:r>
        <w:rPr>
          <w:rFonts w:ascii="楷体" w:eastAsia="楷体" w:hAnsi="楷体" w:hint="eastAsia"/>
          <w:sz w:val="30"/>
          <w:szCs w:val="30"/>
        </w:rPr>
        <w:t>国有资产占用情况</w:t>
      </w:r>
    </w:p>
    <w:p>
      <w:pPr>
        <w:jc w:val="left"/>
        <w:rPr>
          <w:rFonts w:ascii="楷体" w:eastAsia="楷体" w:hAnsi="楷体" w:hint="eastAsia"/>
          <w:sz w:val="30"/>
          <w:szCs w:val="30"/>
          <w:lang w:eastAsia="zh-CN"/>
        </w:rPr>
      </w:pPr>
      <w:r>
        <w:rPr>
          <w:rFonts w:ascii="楷体" w:eastAsia="楷体" w:hAnsi="楷体" w:hint="eastAsia"/>
          <w:sz w:val="30"/>
          <w:szCs w:val="30"/>
          <w:lang w:eastAsia="zh-CN"/>
        </w:rPr>
        <w:t>三、</w:t>
      </w:r>
      <w:r>
        <w:rPr>
          <w:rFonts w:ascii="楷体" w:eastAsia="楷体" w:hAnsi="楷体" w:hint="eastAsia"/>
          <w:sz w:val="30"/>
          <w:szCs w:val="30"/>
        </w:rPr>
        <w:t>政府采购支出情况</w:t>
      </w:r>
    </w:p>
    <w:p>
      <w:pPr>
        <w:jc w:val="left"/>
        <w:rPr>
          <w:rFonts w:ascii="楷体" w:eastAsia="楷体" w:hAnsi="楷体" w:hint="eastAsia"/>
          <w:sz w:val="30"/>
          <w:szCs w:val="30"/>
          <w:lang w:val="en-US" w:eastAsia="zh-CN"/>
        </w:rPr>
      </w:pPr>
      <w:r>
        <w:rPr>
          <w:rFonts w:ascii="楷体" w:eastAsia="楷体" w:hAnsi="楷体" w:hint="eastAsia"/>
          <w:sz w:val="30"/>
          <w:szCs w:val="30"/>
          <w:lang w:eastAsia="zh-CN"/>
        </w:rPr>
        <w:t>四、</w:t>
      </w:r>
      <w:r>
        <w:rPr>
          <w:rFonts w:ascii="楷体" w:eastAsia="楷体" w:hAnsi="楷体" w:hint="eastAsia"/>
          <w:sz w:val="30"/>
          <w:szCs w:val="30"/>
          <w:lang w:val="en-US" w:eastAsia="zh-CN"/>
        </w:rPr>
        <w:t>部门绩效自评情况</w:t>
      </w:r>
    </w:p>
    <w:p>
      <w:pPr>
        <w:jc w:val="left"/>
        <w:rPr>
          <w:rFonts w:ascii="楷体" w:eastAsia="楷体" w:hAnsi="楷体" w:hint="eastAsia"/>
          <w:sz w:val="30"/>
          <w:szCs w:val="30"/>
          <w:lang w:val="en-US" w:eastAsia="zh-CN"/>
        </w:rPr>
      </w:pPr>
      <w:r>
        <w:rPr>
          <w:rFonts w:ascii="楷体" w:eastAsia="楷体" w:hAnsi="楷体" w:hint="eastAsia"/>
          <w:sz w:val="30"/>
          <w:szCs w:val="30"/>
          <w:lang w:val="en-US" w:eastAsia="zh-CN"/>
        </w:rPr>
        <w:t>（一）</w:t>
      </w:r>
      <w:r>
        <w:rPr>
          <w:rFonts w:ascii="楷体" w:eastAsia="楷体" w:hAnsi="楷体" w:hint="eastAsia"/>
          <w:sz w:val="30"/>
          <w:szCs w:val="30"/>
          <w:lang w:eastAsia="zh-CN"/>
        </w:rPr>
        <w:t>项目支出概况</w:t>
      </w:r>
    </w:p>
    <w:p>
      <w:pPr>
        <w:jc w:val="left"/>
        <w:rPr>
          <w:rFonts w:ascii="楷体" w:eastAsia="楷体" w:hAnsi="楷体" w:hint="eastAsia"/>
          <w:sz w:val="30"/>
          <w:szCs w:val="30"/>
          <w:lang w:val="en-US" w:eastAsia="zh-CN"/>
        </w:rPr>
      </w:pPr>
      <w:r>
        <w:rPr>
          <w:rFonts w:ascii="楷体" w:eastAsia="楷体" w:hAnsi="楷体" w:hint="eastAsia"/>
          <w:sz w:val="30"/>
          <w:szCs w:val="30"/>
          <w:lang w:val="en-US" w:eastAsia="zh-CN"/>
        </w:rPr>
        <w:t>（二）</w:t>
      </w:r>
      <w:r>
        <w:rPr>
          <w:rFonts w:ascii="楷体" w:eastAsia="楷体" w:hAnsi="楷体" w:hint="eastAsia"/>
          <w:sz w:val="30"/>
          <w:szCs w:val="30"/>
          <w:lang w:eastAsia="zh-CN"/>
        </w:rPr>
        <w:t>项目支出绩效自评</w:t>
      </w:r>
    </w:p>
    <w:p>
      <w:pPr>
        <w:jc w:val="left"/>
        <w:rPr>
          <w:rFonts w:ascii="楷体" w:eastAsia="楷体" w:hAnsi="楷体" w:hint="eastAsia"/>
          <w:sz w:val="30"/>
          <w:szCs w:val="30"/>
          <w:lang w:val="en-US" w:eastAsia="zh-CN"/>
        </w:rPr>
      </w:pPr>
      <w:r>
        <w:rPr>
          <w:rFonts w:ascii="楷体" w:eastAsia="楷体" w:hAnsi="楷体" w:hint="eastAsia"/>
          <w:sz w:val="30"/>
          <w:szCs w:val="30"/>
          <w:lang w:val="en-US" w:eastAsia="zh-CN"/>
        </w:rPr>
        <w:t>（三）</w:t>
      </w:r>
      <w:r>
        <w:rPr>
          <w:rFonts w:ascii="楷体" w:eastAsia="楷体" w:hAnsi="楷体" w:hint="eastAsia"/>
          <w:sz w:val="30"/>
          <w:szCs w:val="30"/>
          <w:lang w:eastAsia="zh-CN"/>
        </w:rPr>
        <w:t>项目绩效目标管理</w:t>
      </w:r>
    </w:p>
    <w:p>
      <w:pPr>
        <w:jc w:val="left"/>
        <w:rPr>
          <w:rFonts w:ascii="楷体" w:eastAsia="楷体" w:hAnsi="楷体" w:hint="eastAsia"/>
          <w:sz w:val="30"/>
          <w:szCs w:val="30"/>
          <w:lang w:val="en-US" w:eastAsia="zh-CN"/>
        </w:rPr>
      </w:pPr>
      <w:r>
        <w:rPr>
          <w:rFonts w:ascii="楷体" w:eastAsia="楷体" w:hAnsi="楷体" w:hint="eastAsia"/>
          <w:sz w:val="30"/>
          <w:szCs w:val="30"/>
          <w:lang w:val="en-US" w:eastAsia="zh-CN"/>
        </w:rPr>
        <w:t>（四）</w:t>
      </w:r>
      <w:r>
        <w:rPr>
          <w:rFonts w:ascii="楷体" w:eastAsia="楷体" w:hAnsi="楷体" w:hint="eastAsia"/>
          <w:sz w:val="30"/>
          <w:szCs w:val="30"/>
          <w:lang w:eastAsia="zh-CN"/>
        </w:rPr>
        <w:t>2018部门整体支出绩效自评报告</w:t>
      </w:r>
    </w:p>
    <w:p>
      <w:pPr>
        <w:jc w:val="left"/>
        <w:rPr>
          <w:rFonts w:ascii="楷体" w:eastAsia="楷体" w:hAnsi="楷体" w:hint="eastAsia"/>
          <w:sz w:val="30"/>
          <w:szCs w:val="30"/>
          <w:lang w:val="en-US" w:eastAsia="zh-CN"/>
        </w:rPr>
      </w:pPr>
      <w:r>
        <w:rPr>
          <w:rFonts w:ascii="楷体" w:eastAsia="楷体" w:hAnsi="楷体" w:hint="eastAsia"/>
          <w:sz w:val="30"/>
          <w:szCs w:val="30"/>
          <w:lang w:val="en-US" w:eastAsia="zh-CN"/>
        </w:rPr>
        <w:t>（五）</w:t>
      </w:r>
      <w:r>
        <w:rPr>
          <w:rFonts w:ascii="楷体" w:eastAsia="楷体" w:hAnsi="楷体" w:hint="eastAsia"/>
          <w:sz w:val="30"/>
          <w:szCs w:val="30"/>
          <w:lang w:eastAsia="zh-CN"/>
        </w:rPr>
        <w:t>部门整体支出绩效自评表</w:t>
      </w:r>
    </w:p>
    <w:p>
      <w:pPr>
        <w:jc w:val="left"/>
        <w:rPr>
          <w:rFonts w:ascii="楷体" w:eastAsia="楷体" w:hAnsi="楷体" w:hint="eastAsia"/>
          <w:sz w:val="30"/>
          <w:szCs w:val="30"/>
          <w:lang w:eastAsia="zh-CN"/>
        </w:rPr>
      </w:pPr>
      <w:r>
        <w:rPr>
          <w:rFonts w:ascii="楷体" w:eastAsia="楷体" w:hAnsi="楷体" w:hint="eastAsia"/>
          <w:sz w:val="30"/>
          <w:szCs w:val="30"/>
          <w:lang w:eastAsia="zh-CN"/>
        </w:rPr>
        <w:t>五、</w:t>
      </w:r>
      <w:r>
        <w:rPr>
          <w:rFonts w:ascii="楷体" w:eastAsia="楷体" w:hAnsi="楷体" w:hint="eastAsia"/>
          <w:sz w:val="30"/>
          <w:szCs w:val="30"/>
          <w:lang w:val="en-US" w:eastAsia="zh-CN"/>
        </w:rPr>
        <w:t>其他重要事项情况说明</w:t>
      </w:r>
    </w:p>
    <w:p>
      <w:pPr>
        <w:widowControl/>
        <w:snapToGrid w:val="0"/>
        <w:spacing w:before="100" w:after="100" w:line="360" w:lineRule="auto"/>
        <w:jc w:val="left"/>
        <w:rPr>
          <w:rFonts w:ascii="黑体" w:eastAsia="黑体" w:hAnsi="黑体" w:hint="eastAsia"/>
          <w:sz w:val="30"/>
          <w:szCs w:val="30"/>
        </w:rPr>
      </w:pPr>
      <w:r>
        <w:rPr>
          <w:rFonts w:ascii="黑体" w:eastAsia="黑体" w:hAnsi="黑体" w:hint="eastAsia"/>
          <w:sz w:val="30"/>
          <w:szCs w:val="30"/>
        </w:rPr>
        <w:t>第</w:t>
      </w:r>
      <w:r>
        <w:rPr>
          <w:rFonts w:ascii="黑体" w:eastAsia="黑体" w:hAnsi="黑体" w:hint="eastAsia"/>
          <w:sz w:val="30"/>
          <w:szCs w:val="30"/>
          <w:lang w:eastAsia="zh-CN"/>
        </w:rPr>
        <w:t>五</w:t>
      </w:r>
      <w:r>
        <w:rPr>
          <w:rFonts w:ascii="黑体" w:eastAsia="黑体" w:hAnsi="黑体" w:hint="eastAsia"/>
          <w:sz w:val="30"/>
          <w:szCs w:val="30"/>
        </w:rPr>
        <w:t>部分  名词解释</w:t>
      </w:r>
    </w:p>
    <w:p>
      <w:pPr>
        <w:jc w:val="center"/>
        <w:rPr>
          <w:rFonts w:ascii="黑体" w:eastAsia="黑体" w:hAnsi="黑体" w:hint="eastAsia"/>
          <w:sz w:val="32"/>
          <w:szCs w:val="32"/>
        </w:rPr>
      </w:pPr>
    </w:p>
    <w:p>
      <w:pPr>
        <w:jc w:val="center"/>
        <w:rPr>
          <w:rFonts w:ascii="黑体" w:eastAsia="黑体" w:hAnsi="黑体" w:hint="eastAsia"/>
          <w:sz w:val="32"/>
          <w:szCs w:val="32"/>
        </w:rPr>
      </w:pPr>
    </w:p>
    <w:p>
      <w:pPr>
        <w:jc w:val="center"/>
        <w:rPr>
          <w:rFonts w:ascii="黑体" w:eastAsia="黑体" w:hAnsi="黑体" w:hint="eastAsia"/>
          <w:sz w:val="32"/>
          <w:szCs w:val="32"/>
        </w:rPr>
      </w:pPr>
    </w:p>
    <w:p>
      <w:pPr>
        <w:jc w:val="center"/>
        <w:rPr>
          <w:rFonts w:ascii="黑体" w:eastAsia="黑体" w:hAnsi="黑体" w:hint="eastAsia"/>
          <w:sz w:val="32"/>
          <w:szCs w:val="32"/>
        </w:rPr>
      </w:pPr>
    </w:p>
    <w:p>
      <w:pPr>
        <w:jc w:val="center"/>
        <w:rPr>
          <w:rFonts w:ascii="黑体" w:eastAsia="黑体" w:hAnsi="黑体" w:hint="eastAsia"/>
          <w:sz w:val="32"/>
          <w:szCs w:val="32"/>
        </w:rPr>
      </w:pPr>
    </w:p>
    <w:p>
      <w:pPr>
        <w:jc w:val="center"/>
        <w:rPr>
          <w:rFonts w:ascii="黑体" w:eastAsia="黑体" w:hAnsi="黑体" w:hint="eastAsia"/>
          <w:sz w:val="32"/>
          <w:szCs w:val="32"/>
        </w:rPr>
      </w:pPr>
    </w:p>
    <w:p>
      <w:pPr>
        <w:jc w:val="center"/>
        <w:rPr>
          <w:rFonts w:ascii="黑体" w:eastAsia="黑体" w:hAnsi="黑体" w:hint="eastAsia"/>
          <w:sz w:val="32"/>
          <w:szCs w:val="32"/>
        </w:rPr>
      </w:pPr>
    </w:p>
    <w:p>
      <w:pPr>
        <w:jc w:val="center"/>
        <w:rPr>
          <w:rFonts w:ascii="黑体" w:eastAsia="黑体" w:hAnsi="黑体" w:hint="eastAsia"/>
          <w:sz w:val="32"/>
          <w:szCs w:val="32"/>
        </w:rPr>
      </w:pPr>
    </w:p>
    <w:p>
      <w:pPr>
        <w:jc w:val="both"/>
        <w:rPr>
          <w:rFonts w:ascii="黑体" w:eastAsia="黑体" w:hAnsi="黑体" w:hint="eastAsia"/>
          <w:sz w:val="32"/>
          <w:szCs w:val="32"/>
        </w:rPr>
      </w:pPr>
    </w:p>
    <w:p>
      <w:pPr>
        <w:jc w:val="center"/>
        <w:rPr>
          <w:rFonts w:ascii="黑体" w:eastAsia="黑体" w:hAnsi="黑体" w:hint="eastAsia"/>
          <w:sz w:val="32"/>
          <w:szCs w:val="32"/>
        </w:rPr>
      </w:pPr>
      <w:r>
        <w:rPr>
          <w:rFonts w:ascii="黑体" w:eastAsia="黑体" w:hAnsi="黑体" w:hint="eastAsia"/>
          <w:sz w:val="32"/>
          <w:szCs w:val="32"/>
        </w:rPr>
        <w:t xml:space="preserve">第一部分  </w:t>
      </w:r>
      <w:r>
        <w:rPr>
          <w:rFonts w:ascii="黑体" w:eastAsia="黑体" w:hAnsi="黑体" w:hint="eastAsia"/>
          <w:sz w:val="32"/>
          <w:szCs w:val="32"/>
          <w:lang w:val="en-US" w:eastAsia="zh-CN"/>
        </w:rPr>
        <w:t>维西县教育局</w:t>
      </w:r>
      <w:r>
        <w:rPr>
          <w:rFonts w:ascii="黑体" w:eastAsia="黑体" w:hAnsi="黑体" w:hint="eastAsia"/>
          <w:sz w:val="32"/>
          <w:szCs w:val="32"/>
        </w:rPr>
        <w:t>概况</w:t>
      </w:r>
    </w:p>
    <w:p>
      <w:pPr>
        <w:spacing w:line="600" w:lineRule="exact"/>
        <w:ind w:firstLine="600" w:firstLineChars="200"/>
        <w:rPr>
          <w:rFonts w:ascii="黑体" w:eastAsia="黑体" w:hAnsi="黑体" w:hint="eastAsia"/>
          <w:sz w:val="30"/>
          <w:szCs w:val="30"/>
        </w:rPr>
      </w:pPr>
      <w:r>
        <w:rPr>
          <w:rFonts w:ascii="黑体" w:eastAsia="黑体" w:hAnsi="黑体" w:hint="eastAsia"/>
          <w:sz w:val="30"/>
          <w:szCs w:val="30"/>
        </w:rPr>
        <w:t>一、主要职能</w:t>
      </w:r>
    </w:p>
    <w:p>
      <w:pPr>
        <w:spacing w:line="600" w:lineRule="exact"/>
        <w:ind w:firstLine="600" w:firstLineChars="200"/>
        <w:rPr>
          <w:rFonts w:ascii="楷体" w:eastAsia="楷体" w:hAnsi="楷体" w:hint="eastAsia"/>
          <w:sz w:val="30"/>
          <w:szCs w:val="30"/>
        </w:rPr>
      </w:pPr>
      <w:r>
        <w:rPr>
          <w:rFonts w:ascii="楷体" w:eastAsia="楷体" w:hAnsi="楷体" w:hint="eastAsia"/>
          <w:bCs/>
          <w:sz w:val="30"/>
          <w:szCs w:val="30"/>
        </w:rPr>
        <w:t>（一）主要职能</w:t>
      </w:r>
    </w:p>
    <w:p>
      <w:pPr>
        <w:ind w:firstLine="640" w:firstLineChars="200"/>
        <w:rPr>
          <w:rFonts w:eastAsia="仿宋_GB2312" w:hint="eastAsia"/>
          <w:color w:val="000000"/>
          <w:kern w:val="0"/>
          <w:sz w:val="32"/>
          <w:szCs w:val="32"/>
          <w:u w:val="none" w:color="000000"/>
        </w:rPr>
      </w:pPr>
      <w:r>
        <w:rPr>
          <w:rFonts w:eastAsia="仿宋_GB2312" w:hint="eastAsia"/>
          <w:color w:val="000000"/>
          <w:kern w:val="0"/>
          <w:sz w:val="32"/>
          <w:szCs w:val="32"/>
          <w:u w:val="none" w:color="000000"/>
        </w:rPr>
        <w:t>维西傈僳族自治县教育局系县人民政府下设全县教育教学业务主管部门。在县委、县人民政府的直接领导和省州教育主管部门的指导下开展工作。</w:t>
      </w:r>
    </w:p>
    <w:p>
      <w:pPr>
        <w:rPr>
          <w:rFonts w:eastAsia="仿宋_GB2312" w:hint="eastAsia"/>
          <w:color w:val="000000"/>
          <w:kern w:val="0"/>
          <w:sz w:val="32"/>
          <w:szCs w:val="32"/>
          <w:u w:val="none" w:color="000000"/>
        </w:rPr>
      </w:pPr>
      <w:r>
        <w:rPr>
          <w:rFonts w:eastAsia="仿宋_GB2312" w:hint="eastAsia"/>
          <w:color w:val="000000"/>
          <w:kern w:val="0"/>
          <w:sz w:val="32"/>
          <w:szCs w:val="32"/>
          <w:u w:val="none" w:color="000000"/>
          <w:lang w:val="en-US" w:eastAsia="zh-CN"/>
        </w:rPr>
        <w:t>（1）</w:t>
      </w:r>
      <w:r>
        <w:rPr>
          <w:rFonts w:eastAsia="仿宋_GB2312" w:hint="eastAsia"/>
          <w:color w:val="000000"/>
          <w:kern w:val="0"/>
          <w:sz w:val="32"/>
          <w:szCs w:val="32"/>
          <w:u w:val="none" w:color="000000"/>
        </w:rPr>
        <w:t>贯彻党的教育方针,落实教育法律法规和各项教育政策，组织实施本地基础教育，抓好“两基”工作。</w:t>
      </w:r>
    </w:p>
    <w:p>
      <w:pPr>
        <w:rPr>
          <w:rFonts w:eastAsia="仿宋_GB2312" w:hint="eastAsia"/>
          <w:color w:val="000000"/>
          <w:kern w:val="0"/>
          <w:sz w:val="32"/>
          <w:szCs w:val="32"/>
          <w:u w:val="none" w:color="000000"/>
        </w:rPr>
      </w:pPr>
      <w:r>
        <w:rPr>
          <w:rFonts w:eastAsia="仿宋_GB2312" w:hint="eastAsia"/>
          <w:color w:val="000000"/>
          <w:kern w:val="0"/>
          <w:sz w:val="32"/>
          <w:szCs w:val="32"/>
          <w:u w:val="none" w:color="000000"/>
          <w:lang w:val="en-US" w:eastAsia="zh-CN"/>
        </w:rPr>
        <w:t>（2）</w:t>
      </w:r>
      <w:r>
        <w:rPr>
          <w:rFonts w:eastAsia="仿宋_GB2312" w:hint="eastAsia"/>
          <w:color w:val="000000"/>
          <w:kern w:val="0"/>
          <w:sz w:val="32"/>
          <w:szCs w:val="32"/>
          <w:u w:val="none" w:color="000000"/>
        </w:rPr>
        <w:t>深入学校、师生调查研究，因地制宜制定教育发展规划，制定教育管理的各项规章制度，研究解决工作中存在的困难和问题。</w:t>
      </w:r>
    </w:p>
    <w:p>
      <w:pPr>
        <w:rPr>
          <w:rFonts w:eastAsia="仿宋_GB2312" w:hint="eastAsia"/>
          <w:color w:val="000000"/>
          <w:kern w:val="0"/>
          <w:sz w:val="32"/>
          <w:szCs w:val="32"/>
          <w:u w:val="none" w:color="000000"/>
        </w:rPr>
      </w:pPr>
      <w:r>
        <w:rPr>
          <w:rFonts w:eastAsia="仿宋_GB2312" w:hint="eastAsia"/>
          <w:color w:val="000000"/>
          <w:kern w:val="0"/>
          <w:sz w:val="32"/>
          <w:szCs w:val="32"/>
          <w:u w:val="none" w:color="000000"/>
          <w:lang w:val="en-US" w:eastAsia="zh-CN"/>
        </w:rPr>
        <w:t>（3）</w:t>
      </w:r>
      <w:r>
        <w:rPr>
          <w:rFonts w:eastAsia="仿宋_GB2312" w:hint="eastAsia"/>
          <w:color w:val="000000"/>
          <w:kern w:val="0"/>
          <w:sz w:val="32"/>
          <w:szCs w:val="32"/>
          <w:u w:val="none" w:color="000000"/>
        </w:rPr>
        <w:t xml:space="preserve">组织实施全县教育改革与发展工作，搞好党风廉政建设机关作风建设，积极筹措教育经费，努力改善办学条件。  </w:t>
      </w:r>
    </w:p>
    <w:p>
      <w:pPr>
        <w:rPr>
          <w:rFonts w:eastAsia="仿宋_GB2312" w:hint="eastAsia"/>
          <w:color w:val="000000"/>
          <w:kern w:val="0"/>
          <w:sz w:val="32"/>
          <w:szCs w:val="32"/>
          <w:u w:val="none" w:color="000000"/>
        </w:rPr>
      </w:pPr>
      <w:r>
        <w:rPr>
          <w:rFonts w:eastAsia="仿宋_GB2312" w:hint="eastAsia"/>
          <w:color w:val="000000"/>
          <w:kern w:val="0"/>
          <w:sz w:val="32"/>
          <w:szCs w:val="32"/>
          <w:u w:val="none" w:color="000000"/>
          <w:lang w:val="en-US" w:eastAsia="zh-CN"/>
        </w:rPr>
        <w:t>（4）</w:t>
      </w:r>
      <w:r>
        <w:rPr>
          <w:rFonts w:eastAsia="仿宋_GB2312" w:hint="eastAsia"/>
          <w:color w:val="000000"/>
          <w:kern w:val="0"/>
          <w:sz w:val="32"/>
          <w:szCs w:val="32"/>
          <w:u w:val="none" w:color="000000"/>
        </w:rPr>
        <w:t>搞好本系统综合治理工作和依法治理工作，搞好教育经费及补助专款的分配管理和使用监督，规划、实施、管理好本系统基本建设。</w:t>
      </w:r>
    </w:p>
    <w:p>
      <w:pPr>
        <w:rPr>
          <w:rFonts w:eastAsia="仿宋_GB2312" w:hint="eastAsia"/>
          <w:color w:val="000000"/>
          <w:kern w:val="0"/>
          <w:sz w:val="32"/>
          <w:szCs w:val="32"/>
          <w:u w:val="none" w:color="000000"/>
        </w:rPr>
      </w:pPr>
      <w:r>
        <w:rPr>
          <w:rFonts w:eastAsia="仿宋_GB2312" w:hint="eastAsia"/>
          <w:color w:val="000000"/>
          <w:kern w:val="0"/>
          <w:sz w:val="32"/>
          <w:szCs w:val="32"/>
          <w:u w:val="none" w:color="000000"/>
          <w:lang w:val="en-US" w:eastAsia="zh-CN"/>
        </w:rPr>
        <w:t>（5）</w:t>
      </w:r>
      <w:r>
        <w:rPr>
          <w:rFonts w:eastAsia="仿宋_GB2312" w:hint="eastAsia"/>
          <w:color w:val="000000"/>
          <w:kern w:val="0"/>
          <w:sz w:val="32"/>
          <w:szCs w:val="32"/>
          <w:u w:val="none" w:color="000000"/>
        </w:rPr>
        <w:t>搞好中小学校(园)长，局机关股(室)长的考核推荐、评优、晋级等工作，加强对教师及各级教育领导的培训管理，搞好本系统人事管理，加强教师队伍建设，提高教师素质。</w:t>
      </w:r>
    </w:p>
    <w:p>
      <w:pPr>
        <w:rPr>
          <w:rFonts w:eastAsia="仿宋_GB2312" w:hint="eastAsia"/>
          <w:color w:val="000000"/>
          <w:kern w:val="0"/>
          <w:sz w:val="32"/>
          <w:szCs w:val="32"/>
          <w:u w:val="none" w:color="000000"/>
        </w:rPr>
      </w:pPr>
      <w:r>
        <w:rPr>
          <w:rFonts w:eastAsia="仿宋_GB2312" w:hint="eastAsia"/>
          <w:color w:val="000000"/>
          <w:kern w:val="0"/>
          <w:sz w:val="32"/>
          <w:szCs w:val="32"/>
          <w:u w:val="none" w:color="000000"/>
          <w:lang w:val="en-US" w:eastAsia="zh-CN"/>
        </w:rPr>
        <w:t>（6）</w:t>
      </w:r>
      <w:r>
        <w:rPr>
          <w:rFonts w:eastAsia="仿宋_GB2312" w:hint="eastAsia"/>
          <w:color w:val="000000"/>
          <w:kern w:val="0"/>
          <w:sz w:val="32"/>
          <w:szCs w:val="32"/>
          <w:u w:val="none" w:color="000000"/>
        </w:rPr>
        <w:t>搞好招生考试工作，依法保证入学巩固，为上一级学校输送合格新生，为维西经济的发展，社会的进步培养劳动后备军。</w:t>
      </w:r>
    </w:p>
    <w:p>
      <w:pPr>
        <w:rPr>
          <w:rFonts w:eastAsia="仿宋_GB2312" w:hint="eastAsia"/>
          <w:color w:val="000000"/>
          <w:kern w:val="0"/>
          <w:sz w:val="32"/>
          <w:szCs w:val="32"/>
          <w:u w:val="none" w:color="000000"/>
        </w:rPr>
      </w:pPr>
      <w:r>
        <w:rPr>
          <w:rFonts w:eastAsia="仿宋_GB2312" w:hint="eastAsia"/>
          <w:color w:val="000000"/>
          <w:kern w:val="0"/>
          <w:sz w:val="32"/>
          <w:szCs w:val="32"/>
          <w:u w:val="none" w:color="000000"/>
          <w:lang w:val="en-US" w:eastAsia="zh-CN"/>
        </w:rPr>
        <w:t>（7）</w:t>
      </w:r>
      <w:r>
        <w:rPr>
          <w:rFonts w:eastAsia="仿宋_GB2312" w:hint="eastAsia"/>
          <w:color w:val="000000"/>
          <w:kern w:val="0"/>
          <w:sz w:val="32"/>
          <w:szCs w:val="32"/>
          <w:u w:val="none" w:color="000000"/>
        </w:rPr>
        <w:t>抓好系统思想政治工作、工青妇工作和局机关党务工作。</w:t>
      </w:r>
    </w:p>
    <w:p>
      <w:pPr>
        <w:rPr>
          <w:rFonts w:eastAsia="仿宋_GB2312" w:hint="eastAsia"/>
          <w:color w:val="000000"/>
          <w:kern w:val="0"/>
          <w:sz w:val="32"/>
          <w:szCs w:val="32"/>
          <w:u w:val="none" w:color="000000"/>
        </w:rPr>
      </w:pPr>
      <w:r>
        <w:rPr>
          <w:rFonts w:eastAsia="仿宋_GB2312" w:hint="eastAsia"/>
          <w:color w:val="000000"/>
          <w:kern w:val="0"/>
          <w:sz w:val="32"/>
          <w:szCs w:val="32"/>
          <w:u w:val="none" w:color="000000"/>
          <w:lang w:val="en-US" w:eastAsia="zh-CN"/>
        </w:rPr>
        <w:t>（8）</w:t>
      </w:r>
      <w:r>
        <w:rPr>
          <w:rFonts w:eastAsia="仿宋_GB2312" w:hint="eastAsia"/>
          <w:color w:val="000000"/>
          <w:kern w:val="0"/>
          <w:sz w:val="32"/>
          <w:szCs w:val="32"/>
          <w:u w:val="none" w:color="000000"/>
        </w:rPr>
        <w:t>承办维西县人民政府交办的其他事项。</w:t>
      </w:r>
    </w:p>
    <w:p>
      <w:pPr>
        <w:pStyle w:val="BodyText"/>
        <w:adjustRightInd w:val="0"/>
        <w:snapToGrid w:val="0"/>
        <w:spacing w:line="600" w:lineRule="exact"/>
        <w:ind w:firstLine="630" w:firstLineChars="210"/>
        <w:rPr>
          <w:rFonts w:ascii="楷体" w:eastAsia="楷体" w:hAnsi="楷体" w:hint="eastAsia"/>
          <w:bCs/>
          <w:szCs w:val="30"/>
        </w:rPr>
      </w:pPr>
      <w:r>
        <w:rPr>
          <w:rFonts w:ascii="楷体" w:eastAsia="楷体" w:hAnsi="楷体" w:hint="eastAsia"/>
          <w:bCs/>
          <w:szCs w:val="30"/>
        </w:rPr>
        <w:t>（二）</w:t>
      </w:r>
      <w:r>
        <w:rPr>
          <w:rFonts w:ascii="楷体" w:eastAsia="楷体" w:hAnsi="楷体" w:hint="eastAsia"/>
          <w:bCs/>
          <w:szCs w:val="30"/>
          <w:lang w:val="en-US" w:eastAsia="zh-CN"/>
        </w:rPr>
        <w:t>2018</w:t>
      </w:r>
      <w:r>
        <w:rPr>
          <w:rFonts w:ascii="楷体" w:eastAsia="楷体" w:hAnsi="楷体" w:hint="eastAsia"/>
          <w:bCs/>
          <w:szCs w:val="30"/>
        </w:rPr>
        <w:t>年度重点工作任务介绍</w:t>
      </w:r>
    </w:p>
    <w:p>
      <w:pPr>
        <w:ind w:left="640"/>
        <w:rPr>
          <w:rFonts w:eastAsia="方正仿宋简体"/>
          <w:b/>
          <w:sz w:val="32"/>
          <w:szCs w:val="32"/>
        </w:rPr>
      </w:pPr>
      <w:r>
        <w:rPr>
          <w:rFonts w:eastAsia="方正仿宋简体" w:hint="eastAsia"/>
          <w:b/>
          <w:sz w:val="32"/>
          <w:szCs w:val="32"/>
        </w:rPr>
        <w:t>（</w:t>
      </w:r>
      <w:r>
        <w:rPr>
          <w:rFonts w:eastAsia="方正仿宋简体" w:hint="eastAsia"/>
          <w:b/>
          <w:sz w:val="32"/>
          <w:szCs w:val="32"/>
          <w:lang w:val="en-US" w:eastAsia="zh-CN"/>
        </w:rPr>
        <w:t>1</w:t>
      </w:r>
      <w:r>
        <w:rPr>
          <w:rFonts w:eastAsia="方正仿宋简体" w:hint="eastAsia"/>
          <w:b/>
          <w:sz w:val="32"/>
          <w:szCs w:val="32"/>
        </w:rPr>
        <w:t xml:space="preserve">）围绕均衡抓整改，促进管理谋发展。   </w:t>
      </w:r>
    </w:p>
    <w:p>
      <w:pPr>
        <w:ind w:firstLine="630"/>
        <w:rPr>
          <w:rFonts w:eastAsia="方正仿宋简体"/>
          <w:sz w:val="32"/>
          <w:szCs w:val="32"/>
        </w:rPr>
      </w:pPr>
      <w:r>
        <w:rPr>
          <w:rFonts w:eastAsia="方正仿宋简体"/>
          <w:sz w:val="32"/>
          <w:szCs w:val="32"/>
        </w:rPr>
        <w:t>经过几年的努力，2017年</w:t>
      </w:r>
      <w:r>
        <w:rPr>
          <w:rFonts w:eastAsia="方正仿宋简体" w:hint="eastAsia"/>
          <w:sz w:val="32"/>
          <w:szCs w:val="32"/>
        </w:rPr>
        <w:t>,</w:t>
      </w:r>
      <w:r>
        <w:rPr>
          <w:rFonts w:eastAsia="方正仿宋简体"/>
          <w:sz w:val="32"/>
          <w:szCs w:val="32"/>
        </w:rPr>
        <w:t>全县义务教育工作在强整改、抓落实基础上，顺利</w:t>
      </w:r>
      <w:r>
        <w:rPr>
          <w:rFonts w:eastAsia="方正仿宋简体" w:hint="eastAsia"/>
          <w:sz w:val="32"/>
          <w:szCs w:val="32"/>
        </w:rPr>
        <w:t>通过了县域义务教育发展基本均衡国家督导检查验收，</w:t>
      </w:r>
      <w:r>
        <w:rPr>
          <w:rFonts w:eastAsia="方正仿宋简体"/>
          <w:sz w:val="32"/>
          <w:szCs w:val="32"/>
        </w:rPr>
        <w:t>实现义务教育“二十条底线”基本达标</w:t>
      </w:r>
      <w:r>
        <w:rPr>
          <w:rFonts w:eastAsia="方正仿宋简体" w:hint="eastAsia"/>
          <w:sz w:val="32"/>
          <w:szCs w:val="32"/>
        </w:rPr>
        <w:t>。</w:t>
      </w:r>
      <w:r>
        <w:rPr>
          <w:rFonts w:eastAsia="方正仿宋简体"/>
          <w:sz w:val="32"/>
          <w:szCs w:val="32"/>
        </w:rPr>
        <w:t>但部分指标底线依然薄弱，针对教育教学水平不高、部分学校安全设施不完善、食品安全机制落实不到位等薄弱环节，</w:t>
      </w:r>
      <w:r>
        <w:rPr>
          <w:rFonts w:eastAsia="方正仿宋简体" w:hint="eastAsia"/>
          <w:sz w:val="32"/>
          <w:szCs w:val="32"/>
        </w:rPr>
        <w:t>2018年，县教育局组织相关股室工作人员，</w:t>
      </w:r>
      <w:r>
        <w:rPr>
          <w:rFonts w:eastAsia="方正仿宋简体"/>
          <w:sz w:val="32"/>
          <w:szCs w:val="32"/>
        </w:rPr>
        <w:t>先后4次深入学校，对照“二十条底线”基本达标但依然薄弱环节，从中西部教育发展督导评估监测的7个方面、28项重点工作任务、共150项具体举措、265项评估指标，逐条排查，逐条整改，全面落实义务教育均衡发展“二十条底线”的巩固和提升</w:t>
      </w:r>
      <w:r>
        <w:rPr>
          <w:rFonts w:eastAsia="方正仿宋简体" w:hint="eastAsia"/>
          <w:sz w:val="32"/>
          <w:szCs w:val="32"/>
        </w:rPr>
        <w:t>。从而使全系统干部职工更深入了解全县教育发展、校舍建设等各类家底，有的放矢制定发展规划、计划，更好地谋划未来发展蓝图。</w:t>
      </w:r>
    </w:p>
    <w:p>
      <w:pPr>
        <w:ind w:left="640"/>
        <w:rPr>
          <w:rFonts w:eastAsia="方正仿宋简体"/>
          <w:b/>
          <w:sz w:val="32"/>
          <w:szCs w:val="32"/>
        </w:rPr>
      </w:pPr>
      <w:r>
        <w:rPr>
          <w:rFonts w:eastAsia="方正仿宋简体" w:hint="eastAsia"/>
          <w:b/>
          <w:sz w:val="32"/>
          <w:szCs w:val="32"/>
        </w:rPr>
        <w:t>（</w:t>
      </w:r>
      <w:r>
        <w:rPr>
          <w:rFonts w:eastAsia="方正仿宋简体" w:hint="eastAsia"/>
          <w:b/>
          <w:sz w:val="32"/>
          <w:szCs w:val="32"/>
          <w:lang w:val="en-US" w:eastAsia="zh-CN"/>
        </w:rPr>
        <w:t>2</w:t>
      </w:r>
      <w:r>
        <w:rPr>
          <w:rFonts w:eastAsia="方正仿宋简体" w:hint="eastAsia"/>
          <w:b/>
          <w:sz w:val="32"/>
          <w:szCs w:val="32"/>
        </w:rPr>
        <w:t>）围绕硬件抓建设，促进学前补短板。</w:t>
      </w:r>
    </w:p>
    <w:p>
      <w:pPr>
        <w:ind w:firstLine="640"/>
        <w:rPr>
          <w:rFonts w:eastAsia="方正仿宋简体"/>
          <w:sz w:val="32"/>
          <w:szCs w:val="32"/>
        </w:rPr>
      </w:pPr>
      <w:r>
        <w:rPr>
          <w:rFonts w:eastAsia="方正仿宋简体"/>
          <w:sz w:val="32"/>
          <w:szCs w:val="32"/>
        </w:rPr>
        <w:t>1</w:t>
      </w:r>
      <w:r>
        <w:rPr>
          <w:rFonts w:eastAsia="方正仿宋简体" w:hint="eastAsia"/>
          <w:sz w:val="32"/>
          <w:szCs w:val="32"/>
        </w:rPr>
        <w:t>．</w:t>
      </w:r>
      <w:r>
        <w:rPr>
          <w:rFonts w:eastAsia="方正仿宋简体"/>
          <w:sz w:val="32"/>
          <w:szCs w:val="32"/>
        </w:rPr>
        <w:t>定点学校建设方面</w:t>
      </w:r>
      <w:r>
        <w:rPr>
          <w:rFonts w:eastAsia="方正仿宋简体" w:hint="eastAsia"/>
          <w:sz w:val="32"/>
          <w:szCs w:val="32"/>
        </w:rPr>
        <w:t>：</w:t>
      </w:r>
      <w:r>
        <w:rPr>
          <w:rFonts w:eastAsia="方正仿宋简体"/>
          <w:sz w:val="32"/>
          <w:szCs w:val="32"/>
        </w:rPr>
        <w:t>在完成2015至2017年完工验收24个项目的结算并提交审计基础上，开工建设2018年两个州级重点建设项目，一是维西县保和镇第二完全小学及古宗湾小学合并迁建建设项目，项目总规划用地面积为49405.12</w:t>
      </w:r>
      <w:r>
        <w:rPr>
          <w:rFonts w:eastAsia="Batang"/>
          <w:sz w:val="32"/>
          <w:szCs w:val="32"/>
        </w:rPr>
        <w:t>㎡</w:t>
      </w:r>
      <w:r>
        <w:rPr>
          <w:rFonts w:eastAsia="方正仿宋简体"/>
          <w:sz w:val="32"/>
          <w:szCs w:val="32"/>
        </w:rPr>
        <w:t>，拟建建筑面积27831.68</w:t>
      </w:r>
      <w:r>
        <w:rPr>
          <w:rFonts w:eastAsia="Batang"/>
          <w:sz w:val="32"/>
          <w:szCs w:val="32"/>
        </w:rPr>
        <w:t>㎡</w:t>
      </w:r>
      <w:r>
        <w:rPr>
          <w:rFonts w:eastAsia="方正仿宋简体"/>
          <w:sz w:val="32"/>
          <w:szCs w:val="32"/>
        </w:rPr>
        <w:t>，总投资9800万元，现到位资金4000万</w:t>
      </w:r>
      <w:r>
        <w:rPr>
          <w:rFonts w:eastAsia="方正仿宋简体" w:hint="eastAsia"/>
          <w:sz w:val="32"/>
          <w:szCs w:val="32"/>
        </w:rPr>
        <w:t>元，</w:t>
      </w:r>
      <w:r>
        <w:rPr>
          <w:rFonts w:eastAsia="方正仿宋简体"/>
          <w:sz w:val="32"/>
          <w:szCs w:val="32"/>
        </w:rPr>
        <w:t>年内完成投资8000万元</w:t>
      </w:r>
      <w:r>
        <w:rPr>
          <w:rFonts w:eastAsia="方正仿宋简体" w:hint="eastAsia"/>
          <w:sz w:val="32"/>
          <w:szCs w:val="32"/>
        </w:rPr>
        <w:t>；</w:t>
      </w:r>
      <w:r>
        <w:rPr>
          <w:rFonts w:eastAsia="方正仿宋简体"/>
          <w:sz w:val="32"/>
          <w:szCs w:val="32"/>
        </w:rPr>
        <w:t>二是县民族小学改扩建项目，项目总规划用地面积为24639.76</w:t>
      </w:r>
      <w:r>
        <w:rPr>
          <w:rFonts w:eastAsia="Batang"/>
          <w:sz w:val="32"/>
          <w:szCs w:val="32"/>
        </w:rPr>
        <w:t>㎡</w:t>
      </w:r>
      <w:r>
        <w:rPr>
          <w:rFonts w:eastAsia="方正仿宋简体"/>
          <w:sz w:val="32"/>
          <w:szCs w:val="32"/>
        </w:rPr>
        <w:t>，总建筑面积13602.13</w:t>
      </w:r>
      <w:r>
        <w:rPr>
          <w:rFonts w:eastAsia="Batang"/>
          <w:sz w:val="32"/>
          <w:szCs w:val="32"/>
        </w:rPr>
        <w:t>㎡</w:t>
      </w:r>
      <w:r>
        <w:rPr>
          <w:rFonts w:eastAsia="方正仿宋简体"/>
          <w:sz w:val="32"/>
          <w:szCs w:val="32"/>
        </w:rPr>
        <w:t>, 总投资4758万</w:t>
      </w:r>
      <w:r>
        <w:rPr>
          <w:rFonts w:eastAsia="方正仿宋简体"/>
          <w:kern w:val="0"/>
          <w:sz w:val="32"/>
          <w:szCs w:val="32"/>
        </w:rPr>
        <w:t>元。</w:t>
      </w:r>
      <w:r>
        <w:rPr>
          <w:rFonts w:eastAsia="方正仿宋简体"/>
          <w:sz w:val="32"/>
          <w:szCs w:val="32"/>
        </w:rPr>
        <w:t>该项目运动场、厕所、大门、围墙已完成，完成投资350万元，由于县交警大队还未迁出，其他建设项目未能开工建设。</w:t>
      </w:r>
    </w:p>
    <w:p>
      <w:pPr>
        <w:ind w:firstLine="640"/>
        <w:rPr>
          <w:rFonts w:eastAsia="方正仿宋简体"/>
          <w:kern w:val="0"/>
          <w:sz w:val="32"/>
          <w:szCs w:val="32"/>
        </w:rPr>
      </w:pPr>
      <w:r>
        <w:rPr>
          <w:rFonts w:eastAsia="方正仿宋简体"/>
          <w:sz w:val="32"/>
          <w:szCs w:val="32"/>
        </w:rPr>
        <w:t>2</w:t>
      </w:r>
      <w:r>
        <w:rPr>
          <w:rFonts w:eastAsia="方正仿宋简体" w:hint="eastAsia"/>
          <w:sz w:val="32"/>
          <w:szCs w:val="32"/>
        </w:rPr>
        <w:t>．</w:t>
      </w:r>
      <w:r>
        <w:rPr>
          <w:rFonts w:eastAsia="方正仿宋简体"/>
          <w:sz w:val="32"/>
          <w:szCs w:val="32"/>
        </w:rPr>
        <w:t>全面改薄项目建设方面，2015年共下达薄弱学校改造资金8250.07万元，涉及的98个单体项目中，未完成建设项目涉及5个校点：一是</w:t>
      </w:r>
      <w:r>
        <w:rPr>
          <w:rFonts w:eastAsia="方正仿宋简体"/>
          <w:kern w:val="0"/>
          <w:sz w:val="32"/>
          <w:szCs w:val="32"/>
        </w:rPr>
        <w:t>保和镇拉河柱小学学生宿舍、食堂建设项</w:t>
      </w:r>
      <w:r>
        <w:rPr>
          <w:rFonts w:eastAsia="方正仿宋简体"/>
          <w:sz w:val="32"/>
          <w:szCs w:val="32"/>
        </w:rPr>
        <w:t>目调整为</w:t>
      </w:r>
      <w:r>
        <w:rPr>
          <w:rFonts w:eastAsia="方正仿宋简体"/>
          <w:kern w:val="0"/>
          <w:sz w:val="32"/>
          <w:szCs w:val="32"/>
        </w:rPr>
        <w:t>拉河柱幼儿园建设，项目已完工待验收；二是塔城镇川达小学综合楼，海尼小学综合楼、食堂，巴珠小学教学楼、综合楼、食堂、厕所建设项目，因学生少，小学不再保留，三个点规划改建村级幼儿园，三个点的建设资金740.3万元整合用于塔城镇中心校运动场建设，已报请州教育局；三是白济汛乡碧乐面朵小学宿舍楼、食堂、250环形跑道建设项目，因项目重新选址建设，目前进行主体施工；四是中路乡以可比小学教学楼、食堂建设项目，已完工投入使用；五是维登乡北甸村综合楼、食堂、厕所建设项目，由于原学校建为村级幼儿园，故维登乡北甸村综合楼、食堂、厕所建设项目不再建设。目前幼儿园已完工验收。</w:t>
      </w:r>
    </w:p>
    <w:p>
      <w:pPr>
        <w:widowControl/>
        <w:ind w:firstLine="640" w:firstLineChars="200"/>
        <w:rPr>
          <w:rFonts w:eastAsia="方正仿宋简体"/>
          <w:kern w:val="0"/>
          <w:sz w:val="32"/>
          <w:szCs w:val="32"/>
        </w:rPr>
      </w:pPr>
      <w:r>
        <w:rPr>
          <w:rFonts w:eastAsia="方正仿宋简体"/>
          <w:kern w:val="0"/>
          <w:sz w:val="32"/>
          <w:szCs w:val="32"/>
        </w:rPr>
        <w:t>3</w:t>
      </w:r>
      <w:r>
        <w:rPr>
          <w:rFonts w:eastAsia="方正仿宋简体" w:hint="eastAsia"/>
          <w:kern w:val="0"/>
          <w:sz w:val="32"/>
          <w:szCs w:val="32"/>
        </w:rPr>
        <w:t>．</w:t>
      </w:r>
      <w:r>
        <w:rPr>
          <w:rFonts w:eastAsia="方正仿宋简体"/>
          <w:kern w:val="0"/>
          <w:sz w:val="32"/>
          <w:szCs w:val="32"/>
        </w:rPr>
        <w:t>校园C、D级危房排危改造建设方面，根据《云南省教育厅、云南省财政厅、云南省住房和城乡建设厅关于中小学幼儿园C级校舍加固改造工程的实施意见》</w:t>
      </w:r>
      <w:r>
        <w:rPr>
          <w:rFonts w:eastAsia="方正仿宋简体" w:hint="eastAsia"/>
          <w:kern w:val="0"/>
          <w:sz w:val="32"/>
          <w:szCs w:val="32"/>
        </w:rPr>
        <w:t xml:space="preserve"> </w:t>
      </w:r>
      <w:r>
        <w:rPr>
          <w:rFonts w:eastAsia="方正仿宋简体"/>
          <w:kern w:val="0"/>
          <w:sz w:val="32"/>
          <w:szCs w:val="32"/>
        </w:rPr>
        <w:t>（云教发〔2018〕92号）精神，我县学校C、D级危房，涉及白济汛、维登、中路、攀天阁、塔城、保和镇6个乡镇20所学校68个单体建筑物，主要集中在白济汛乡（属澜沧江梯级开发托八电站淹没区）。一是经排查、鉴定、评估，完成拆除C级危房5856.04平方米，投入资金59万元。完成D级危房拆除面积7639.82</w:t>
      </w:r>
      <w:r>
        <w:rPr>
          <w:kern w:val="0"/>
          <w:sz w:val="32"/>
          <w:szCs w:val="32"/>
        </w:rPr>
        <w:t>㎡</w:t>
      </w:r>
      <w:r>
        <w:rPr>
          <w:rFonts w:eastAsia="方正仿宋简体"/>
          <w:kern w:val="0"/>
          <w:sz w:val="32"/>
          <w:szCs w:val="32"/>
        </w:rPr>
        <w:t>，投入资金902万元。新建过渡用房建筑面积5499.66平方米，投入资金485万元</w:t>
      </w:r>
      <w:r>
        <w:rPr>
          <w:rFonts w:eastAsia="方正仿宋简体" w:hint="eastAsia"/>
          <w:kern w:val="0"/>
          <w:sz w:val="32"/>
          <w:szCs w:val="32"/>
        </w:rPr>
        <w:t>，</w:t>
      </w:r>
      <w:r>
        <w:rPr>
          <w:rFonts w:eastAsia="方正仿宋简体"/>
          <w:kern w:val="0"/>
          <w:sz w:val="32"/>
          <w:szCs w:val="32"/>
        </w:rPr>
        <w:t>项目已完工验收。C级危房加固面积为1192.56平方米，投入资金243万元，项目正在实施。</w:t>
      </w:r>
    </w:p>
    <w:p>
      <w:pPr>
        <w:ind w:firstLine="640" w:firstLineChars="200"/>
        <w:rPr>
          <w:rFonts w:eastAsia="方正仿宋简体"/>
          <w:kern w:val="0"/>
          <w:sz w:val="32"/>
          <w:szCs w:val="32"/>
        </w:rPr>
      </w:pPr>
      <w:r>
        <w:rPr>
          <w:rFonts w:eastAsia="方正仿宋简体"/>
          <w:kern w:val="0"/>
          <w:sz w:val="32"/>
          <w:szCs w:val="32"/>
        </w:rPr>
        <w:t>4</w:t>
      </w:r>
      <w:r>
        <w:rPr>
          <w:rFonts w:eastAsia="方正仿宋简体" w:hint="eastAsia"/>
          <w:kern w:val="0"/>
          <w:sz w:val="32"/>
          <w:szCs w:val="32"/>
        </w:rPr>
        <w:t>．</w:t>
      </w:r>
      <w:r>
        <w:rPr>
          <w:rFonts w:eastAsia="方正仿宋简体"/>
          <w:kern w:val="0"/>
          <w:sz w:val="32"/>
          <w:szCs w:val="32"/>
        </w:rPr>
        <w:t>学前教育建设方面，全县有7乡3镇79个行政村3个居民委员会，目前乡镇中心幼儿园已建好8个，开班办园7个</w:t>
      </w:r>
      <w:r>
        <w:rPr>
          <w:rFonts w:eastAsia="方正仿宋简体" w:hint="eastAsia"/>
          <w:kern w:val="0"/>
          <w:sz w:val="32"/>
          <w:szCs w:val="32"/>
        </w:rPr>
        <w:t>。由于</w:t>
      </w:r>
      <w:r>
        <w:rPr>
          <w:rFonts w:eastAsia="方正仿宋简体"/>
          <w:kern w:val="0"/>
          <w:sz w:val="32"/>
          <w:szCs w:val="32"/>
        </w:rPr>
        <w:t>白济汛乡属于电站开发淹没区，建设地点未选定，中路中心幼儿园正在建设</w:t>
      </w:r>
      <w:r>
        <w:rPr>
          <w:rFonts w:eastAsia="方正仿宋简体" w:hint="eastAsia"/>
          <w:kern w:val="0"/>
          <w:sz w:val="32"/>
          <w:szCs w:val="32"/>
        </w:rPr>
        <w:t>；</w:t>
      </w:r>
      <w:r>
        <w:rPr>
          <w:rFonts w:eastAsia="方正仿宋简体"/>
          <w:kern w:val="0"/>
          <w:sz w:val="32"/>
          <w:szCs w:val="32"/>
        </w:rPr>
        <w:t>村级幼儿园需建设65所，目前在建的有13所，已建好17所，其中已开班办园12所，计划新建30所，属于2018年三区三州建设项目17个，正在开展项目前期工作。</w:t>
      </w:r>
    </w:p>
    <w:p>
      <w:pPr>
        <w:ind w:left="640"/>
        <w:rPr>
          <w:rFonts w:eastAsia="方正仿宋简体"/>
          <w:b/>
          <w:kern w:val="0"/>
          <w:sz w:val="32"/>
          <w:szCs w:val="32"/>
        </w:rPr>
      </w:pPr>
      <w:r>
        <w:rPr>
          <w:rFonts w:eastAsia="方正仿宋简体" w:hint="eastAsia"/>
          <w:b/>
          <w:kern w:val="0"/>
          <w:sz w:val="32"/>
          <w:szCs w:val="32"/>
        </w:rPr>
        <w:t>（</w:t>
      </w:r>
      <w:r>
        <w:rPr>
          <w:rFonts w:eastAsia="方正仿宋简体" w:hint="eastAsia"/>
          <w:b/>
          <w:kern w:val="0"/>
          <w:sz w:val="32"/>
          <w:szCs w:val="32"/>
          <w:lang w:val="en-US" w:eastAsia="zh-CN"/>
        </w:rPr>
        <w:t>3</w:t>
      </w:r>
      <w:r>
        <w:rPr>
          <w:rFonts w:eastAsia="方正仿宋简体" w:hint="eastAsia"/>
          <w:b/>
          <w:kern w:val="0"/>
          <w:sz w:val="32"/>
          <w:szCs w:val="32"/>
        </w:rPr>
        <w:t>）围绕教育抓扶贫，发展教育促脱贫。</w:t>
      </w:r>
    </w:p>
    <w:p>
      <w:pPr>
        <w:ind w:firstLine="630"/>
        <w:rPr>
          <w:rFonts w:eastAsia="方正仿宋简体"/>
          <w:sz w:val="32"/>
          <w:szCs w:val="32"/>
        </w:rPr>
      </w:pPr>
      <w:r>
        <w:rPr>
          <w:rFonts w:eastAsia="方正仿宋简体"/>
          <w:sz w:val="32"/>
          <w:szCs w:val="32"/>
        </w:rPr>
        <w:t>1</w:t>
      </w:r>
      <w:r>
        <w:rPr>
          <w:rFonts w:eastAsia="方正仿宋简体" w:hint="eastAsia"/>
          <w:sz w:val="32"/>
          <w:szCs w:val="32"/>
        </w:rPr>
        <w:t>．</w:t>
      </w:r>
      <w:r>
        <w:rPr>
          <w:rFonts w:eastAsia="方正仿宋简体"/>
          <w:sz w:val="32"/>
          <w:szCs w:val="32"/>
        </w:rPr>
        <w:t>强化教育宣传工作。为进一步提高全社会对教育惠民惠学政策的知晓率，做到教育惠民政策入户、入脑、入心， 教育局在全面详细编制了教育领域公共服务清单，通过网上政务服务大厅进行公示宣传，充分利用教育微信公众号开展网络宣传，通过《至家长一封信》、家长会、群众大会等形式开展校内外宣传基础上，2018年春季学期，编印并发放了学生资助政策口袋书和精准资助政策宣传手册2万余册，张贴助学政策宣传海报200张，制作了覆盖从学前到大学各阶段的教育惠民政策日历宣传画2万余份，发放到每一个学生家庭、每一个乡镇、村（街道），让人民群众全面知晓教育惠民政策及办理程序，真正做到为民服务全覆盖。</w:t>
      </w:r>
    </w:p>
    <w:p>
      <w:pPr>
        <w:ind w:firstLine="630"/>
        <w:rPr>
          <w:rFonts w:eastAsia="方正仿宋简体"/>
          <w:sz w:val="32"/>
          <w:szCs w:val="32"/>
        </w:rPr>
      </w:pPr>
      <w:r>
        <w:rPr>
          <w:rFonts w:eastAsia="方正仿宋简体"/>
          <w:sz w:val="32"/>
          <w:szCs w:val="32"/>
        </w:rPr>
        <w:t>2</w:t>
      </w:r>
      <w:r>
        <w:rPr>
          <w:rFonts w:eastAsia="方正仿宋简体" w:hint="eastAsia"/>
          <w:sz w:val="32"/>
          <w:szCs w:val="32"/>
        </w:rPr>
        <w:t>．</w:t>
      </w:r>
      <w:r>
        <w:rPr>
          <w:rFonts w:eastAsia="方正仿宋简体"/>
          <w:sz w:val="32"/>
          <w:szCs w:val="32"/>
        </w:rPr>
        <w:t>扎实开展精准扶贫工作。一是认真开展挂钩点遍访工作。本年度教育局、维西县教师发展中心、青少年校外活动中心一共有57干部职工，先后三次开展进村入户遍访工作，共遍访了74户建档立卡贫困户282人，83户非建档立卡农户，个人投入帮扶资金1.44万元用于挂钩户基础设施修缮和物质生活改善；二是加强教育扶贫政策、医疗互助政策等民生政策的宣传，召开各类政策宣传会议45次，宣传人数达4500余人；三是结合全县“四美”创建活动，完善村</w:t>
      </w:r>
      <w:r>
        <w:rPr>
          <w:rFonts w:eastAsia="方正仿宋简体" w:hint="eastAsia"/>
          <w:sz w:val="32"/>
          <w:szCs w:val="32"/>
        </w:rPr>
        <w:t>规</w:t>
      </w:r>
      <w:r>
        <w:rPr>
          <w:rFonts w:eastAsia="方正仿宋简体"/>
          <w:sz w:val="32"/>
          <w:szCs w:val="32"/>
        </w:rPr>
        <w:t>民约，组织群众开展道路保通和卫生整治6次，投入四美创建工作经费2.5万元；四是制定了建档立卡户退出施工图，投入项目帮扶资金69.36万元，组织前往塔城启别村考察冰葡萄酒厂、乡村旅游发展考察学习3次，发展农户小米辣种植基地286亩，魔芋种植148亩，山药种植70多亩，成立“维西万宏种养殖专业合作社”，并发展小米辣种植36亩，林下草果种植100亩，并不断加强企业的沟通引进，为农户增收脱贫开辟销路。</w:t>
      </w:r>
    </w:p>
    <w:p>
      <w:pPr>
        <w:ind w:firstLine="640" w:firstLineChars="200"/>
        <w:rPr>
          <w:rFonts w:eastAsia="方正仿宋简体"/>
          <w:sz w:val="32"/>
          <w:szCs w:val="32"/>
        </w:rPr>
      </w:pPr>
      <w:r>
        <w:rPr>
          <w:rFonts w:eastAsia="方正仿宋简体"/>
          <w:sz w:val="32"/>
          <w:szCs w:val="32"/>
        </w:rPr>
        <w:t>3</w:t>
      </w:r>
      <w:r>
        <w:rPr>
          <w:rFonts w:eastAsia="方正仿宋简体" w:hint="eastAsia"/>
          <w:sz w:val="32"/>
          <w:szCs w:val="32"/>
        </w:rPr>
        <w:t>．</w:t>
      </w:r>
      <w:r>
        <w:rPr>
          <w:rFonts w:eastAsia="方正仿宋简体"/>
          <w:sz w:val="32"/>
          <w:szCs w:val="32"/>
        </w:rPr>
        <w:t>全面实施惠学助学政策，杜绝因学致贫现象。</w:t>
      </w:r>
    </w:p>
    <w:p>
      <w:pPr>
        <w:ind w:firstLine="640" w:firstLineChars="200"/>
        <w:rPr>
          <w:rFonts w:eastAsia="方正仿宋简体"/>
          <w:sz w:val="32"/>
          <w:szCs w:val="32"/>
        </w:rPr>
      </w:pPr>
      <w:r>
        <w:rPr>
          <w:rFonts w:eastAsia="方正仿宋简体"/>
          <w:sz w:val="32"/>
          <w:szCs w:val="32"/>
        </w:rPr>
        <w:t>一是全面实施14年免费教育政策，全力开展扶贫济困助学工作。全年共下达各类教育免补资金8225.382万元，其中，下达各级教育公用经费1401.17万元</w:t>
      </w:r>
      <w:r>
        <w:rPr>
          <w:rFonts w:eastAsia="方正仿宋简体" w:hint="eastAsia"/>
          <w:sz w:val="32"/>
          <w:szCs w:val="32"/>
        </w:rPr>
        <w:t>（</w:t>
      </w:r>
      <w:r>
        <w:rPr>
          <w:rFonts w:eastAsia="方正仿宋简体"/>
          <w:sz w:val="32"/>
          <w:szCs w:val="32"/>
        </w:rPr>
        <w:t>小学11358人，初中5470人</w:t>
      </w:r>
      <w:r>
        <w:rPr>
          <w:rFonts w:eastAsia="方正仿宋简体" w:hint="eastAsia"/>
          <w:sz w:val="32"/>
          <w:szCs w:val="32"/>
        </w:rPr>
        <w:t>；</w:t>
      </w:r>
      <w:r>
        <w:rPr>
          <w:rFonts w:eastAsia="方正仿宋简体"/>
          <w:sz w:val="32"/>
          <w:szCs w:val="32"/>
        </w:rPr>
        <w:t>寄宿制公用经费小学9850人，初中5524人，高中公用经费100人</w:t>
      </w:r>
      <w:r>
        <w:rPr>
          <w:rFonts w:eastAsia="方正仿宋简体" w:hint="eastAsia"/>
          <w:sz w:val="32"/>
          <w:szCs w:val="32"/>
        </w:rPr>
        <w:t>）</w:t>
      </w:r>
      <w:r>
        <w:rPr>
          <w:rFonts w:eastAsia="方正仿宋简体"/>
          <w:sz w:val="32"/>
          <w:szCs w:val="32"/>
        </w:rPr>
        <w:t>；下达14年免费教育资金共计645万元，其中高中100人享受免学杂费5.7万元，免教科书费4.6万元，免住宿费1.6万元，幼儿园免保教费633.1万元；下达高原农牧民子女学生生活补助4927.062万元</w:t>
      </w:r>
      <w:r>
        <w:rPr>
          <w:rFonts w:eastAsia="方正仿宋简体" w:hint="eastAsia"/>
          <w:sz w:val="32"/>
          <w:szCs w:val="32"/>
        </w:rPr>
        <w:t>。其中：春季学期</w:t>
      </w:r>
      <w:r>
        <w:rPr>
          <w:rFonts w:eastAsia="方正仿宋简体"/>
          <w:sz w:val="32"/>
          <w:szCs w:val="32"/>
        </w:rPr>
        <w:t>初中享受人数为5237人，小学享受人数为10793人</w:t>
      </w:r>
      <w:r>
        <w:rPr>
          <w:rFonts w:eastAsia="方正仿宋简体" w:hint="eastAsia"/>
          <w:sz w:val="32"/>
          <w:szCs w:val="32"/>
        </w:rPr>
        <w:t>，</w:t>
      </w:r>
      <w:r>
        <w:rPr>
          <w:rFonts w:eastAsia="方正仿宋简体"/>
          <w:sz w:val="32"/>
          <w:szCs w:val="32"/>
        </w:rPr>
        <w:t>学前两年享受人数2117人，高中享受人数85人；秋季学期初中享受人数为5248人，小学享受人数为10932人、学前两年享受人数2621人、高中享受人数273人；下达学生营养餐资金1252.15万元，全县营养餐资金下达200天，标准为每生每天4元，小学享受人数11128人，初中享受人数5330人。</w:t>
      </w:r>
    </w:p>
    <w:p>
      <w:pPr>
        <w:ind w:firstLine="640" w:firstLineChars="200"/>
        <w:rPr>
          <w:rFonts w:eastAsia="方正仿宋简体"/>
          <w:sz w:val="32"/>
          <w:szCs w:val="32"/>
        </w:rPr>
      </w:pPr>
      <w:r>
        <w:rPr>
          <w:rFonts w:eastAsia="方正仿宋简体"/>
          <w:sz w:val="32"/>
          <w:szCs w:val="32"/>
        </w:rPr>
        <w:t>二是按照能贷尽贷</w:t>
      </w:r>
      <w:r>
        <w:rPr>
          <w:rFonts w:eastAsia="方正仿宋简体" w:hint="eastAsia"/>
          <w:sz w:val="32"/>
          <w:szCs w:val="32"/>
        </w:rPr>
        <w:t>、</w:t>
      </w:r>
      <w:r>
        <w:rPr>
          <w:rFonts w:eastAsia="方正仿宋简体"/>
          <w:sz w:val="32"/>
          <w:szCs w:val="32"/>
        </w:rPr>
        <w:t>符合条件全部办理的原则</w:t>
      </w:r>
      <w:r>
        <w:rPr>
          <w:rFonts w:eastAsia="方正仿宋简体" w:hint="eastAsia"/>
          <w:sz w:val="32"/>
          <w:szCs w:val="32"/>
        </w:rPr>
        <w:t>，尽全力做好大学生</w:t>
      </w:r>
      <w:r>
        <w:rPr>
          <w:rFonts w:eastAsia="方正仿宋简体"/>
          <w:sz w:val="32"/>
          <w:szCs w:val="32"/>
        </w:rPr>
        <w:t>生源地助学贷款工作</w:t>
      </w:r>
      <w:r>
        <w:rPr>
          <w:rFonts w:eastAsia="方正仿宋简体" w:hint="eastAsia"/>
          <w:sz w:val="32"/>
          <w:szCs w:val="32"/>
        </w:rPr>
        <w:t>。全年</w:t>
      </w:r>
      <w:r>
        <w:rPr>
          <w:rFonts w:eastAsia="方正仿宋简体"/>
          <w:sz w:val="32"/>
          <w:szCs w:val="32"/>
        </w:rPr>
        <w:t>共办理助学贷款1218人，贷款金额为868.58万元，其中首贷</w:t>
      </w:r>
      <w:r>
        <w:rPr>
          <w:rFonts w:eastAsia="方正仿宋简体" w:hint="eastAsia"/>
          <w:sz w:val="32"/>
          <w:szCs w:val="32"/>
        </w:rPr>
        <w:t>449</w:t>
      </w:r>
      <w:r>
        <w:rPr>
          <w:rFonts w:eastAsia="方正仿宋简体"/>
          <w:sz w:val="32"/>
          <w:szCs w:val="32"/>
        </w:rPr>
        <w:t>人，贷款金额为</w:t>
      </w:r>
      <w:r>
        <w:rPr>
          <w:rFonts w:eastAsia="方正仿宋简体" w:hint="eastAsia"/>
          <w:sz w:val="32"/>
          <w:szCs w:val="32"/>
        </w:rPr>
        <w:t>336.75</w:t>
      </w:r>
      <w:r>
        <w:rPr>
          <w:rFonts w:eastAsia="方正仿宋简体"/>
          <w:sz w:val="32"/>
          <w:szCs w:val="32"/>
        </w:rPr>
        <w:t>万元，续贷</w:t>
      </w:r>
      <w:r>
        <w:rPr>
          <w:rFonts w:eastAsia="方正仿宋简体" w:hint="eastAsia"/>
          <w:sz w:val="32"/>
          <w:szCs w:val="32"/>
        </w:rPr>
        <w:t>769</w:t>
      </w:r>
      <w:r>
        <w:rPr>
          <w:rFonts w:eastAsia="方正仿宋简体"/>
          <w:sz w:val="32"/>
          <w:szCs w:val="32"/>
        </w:rPr>
        <w:t>人，贷款金额</w:t>
      </w:r>
      <w:r>
        <w:rPr>
          <w:rFonts w:eastAsia="方正仿宋简体" w:hint="eastAsia"/>
          <w:sz w:val="32"/>
          <w:szCs w:val="32"/>
        </w:rPr>
        <w:t>531.83</w:t>
      </w:r>
      <w:r>
        <w:rPr>
          <w:rFonts w:eastAsia="方正仿宋简体"/>
          <w:sz w:val="32"/>
          <w:szCs w:val="32"/>
        </w:rPr>
        <w:t>万元</w:t>
      </w:r>
      <w:r>
        <w:rPr>
          <w:rFonts w:eastAsia="方正仿宋简体" w:hint="eastAsia"/>
          <w:sz w:val="32"/>
          <w:szCs w:val="32"/>
        </w:rPr>
        <w:t>；落实20名大学生学费代偿29.28万元</w:t>
      </w:r>
      <w:r>
        <w:rPr>
          <w:rFonts w:eastAsia="方正仿宋简体"/>
          <w:sz w:val="32"/>
          <w:szCs w:val="32"/>
        </w:rPr>
        <w:t>，为下一阶段的助学贷款工作打下基础。</w:t>
      </w:r>
    </w:p>
    <w:p>
      <w:pPr>
        <w:ind w:firstLine="640" w:firstLineChars="200"/>
        <w:rPr>
          <w:rFonts w:eastAsia="方正仿宋简体"/>
          <w:sz w:val="32"/>
          <w:szCs w:val="32"/>
        </w:rPr>
      </w:pPr>
      <w:r>
        <w:rPr>
          <w:rFonts w:eastAsia="方正仿宋简体" w:hint="eastAsia"/>
          <w:sz w:val="32"/>
          <w:szCs w:val="32"/>
        </w:rPr>
        <w:t>三是全县各级各部门认真开展大专中学生资助工作。</w:t>
      </w:r>
      <w:r>
        <w:rPr>
          <w:rFonts w:eastAsia="方正仿宋简体"/>
          <w:sz w:val="32"/>
          <w:szCs w:val="32"/>
        </w:rPr>
        <w:t>全年各级各部门累计资助高等院校贫困生1210人次，资助金额共计346.63万元。其中：资助迪庆藏区贫困优秀大学生335人（应届292人，补报43人），资助金额167.5万元；县人民政府奖补大专及以上的建档立卡贫困户学生共101人（一本7人，二本41人，专科53人）</w:t>
      </w:r>
      <w:r>
        <w:rPr>
          <w:rFonts w:eastAsia="方正仿宋简体" w:hint="eastAsia"/>
          <w:sz w:val="32"/>
          <w:szCs w:val="32"/>
        </w:rPr>
        <w:t>，</w:t>
      </w:r>
      <w:r>
        <w:rPr>
          <w:rFonts w:eastAsia="方正仿宋简体"/>
          <w:sz w:val="32"/>
          <w:szCs w:val="32"/>
        </w:rPr>
        <w:t>资助金额15.6万元；团县委“维西县农业银行金穗圆梦”资助36人，资助金额18万元；县工会“金秋助学”资助32人，资助金额1.6万元；红十字会资助大专及以上在读学生103名（应届生52名，往届生51名），资助金额20.6万元；县妇联实施的“2018年云南省思尧女大学生助学项目”资助2018年应届毕业生10名，资助金额30万元；云南白药集团资助2018年建档立卡户大学一年级新生49名，资助金额10.5万元；各乡镇累计资助专科以上学生544人次，资助金额82.83万元。</w:t>
      </w:r>
    </w:p>
    <w:p>
      <w:pPr>
        <w:ind w:firstLine="640" w:firstLineChars="200"/>
        <w:rPr>
          <w:rFonts w:eastAsia="方正仿宋简体"/>
          <w:sz w:val="32"/>
          <w:szCs w:val="32"/>
        </w:rPr>
      </w:pPr>
      <w:r>
        <w:rPr>
          <w:rFonts w:eastAsia="方正仿宋简体" w:hint="eastAsia"/>
          <w:sz w:val="32"/>
          <w:szCs w:val="32"/>
        </w:rPr>
        <w:t>4.</w:t>
      </w:r>
      <w:r>
        <w:rPr>
          <w:rFonts w:eastAsia="方正仿宋简体"/>
          <w:sz w:val="32"/>
          <w:szCs w:val="32"/>
        </w:rPr>
        <w:t>扎实开展城市国家通用语言文字规范化创建工作。根据《维西县“直过民族”脱贫攻坚国家通用语言文字普及推广工程方案》及本年度推普工作任务目标及计划，如期启动了全县“直过民族”和人口较少民族普通话推广及素质提升工作，制定印发了《关于印发维西傈僳族自治县语言文字规范化示范一条街创建实施方案的通知》、《关于印发维西傈僳族自治县第二十一届推普周活动实施方案的通知》，发放推普手机1200多台，如期完成了1327人“直过民族”推普教材发放和推普工作；印发了《维西县“直过民族”和人口较少民族地区开展创建普及普通话示范村实施方案》，完成17个普通话普及示范村</w:t>
      </w:r>
      <w:r>
        <w:rPr>
          <w:rFonts w:eastAsia="方正仿宋简体" w:hint="eastAsia"/>
          <w:sz w:val="32"/>
          <w:szCs w:val="32"/>
        </w:rPr>
        <w:t>、</w:t>
      </w:r>
      <w:r>
        <w:rPr>
          <w:rFonts w:eastAsia="方正仿宋简体"/>
          <w:sz w:val="32"/>
          <w:szCs w:val="32"/>
        </w:rPr>
        <w:t>3所语言文字规范化示范校园创建及申报工作；印发了《维西县三类城市语言文字规范化将设评估达标实施方案》，开展了我县三类城市语言文字规范化建设评估达标工作，全年下达落实推普活动经费39.81万元。</w:t>
      </w:r>
    </w:p>
    <w:p>
      <w:pPr>
        <w:ind w:firstLine="680"/>
        <w:rPr>
          <w:rFonts w:eastAsia="方正仿宋简体"/>
          <w:sz w:val="32"/>
          <w:szCs w:val="32"/>
        </w:rPr>
      </w:pPr>
      <w:r>
        <w:rPr>
          <w:rFonts w:eastAsia="方正仿宋简体"/>
          <w:color w:val="000000"/>
          <w:sz w:val="32"/>
          <w:szCs w:val="32"/>
        </w:rPr>
        <w:t>5</w:t>
      </w:r>
      <w:r>
        <w:rPr>
          <w:rFonts w:eastAsia="方正仿宋简体" w:hint="eastAsia"/>
          <w:color w:val="000000"/>
          <w:sz w:val="32"/>
          <w:szCs w:val="32"/>
        </w:rPr>
        <w:t>．</w:t>
      </w:r>
      <w:r>
        <w:rPr>
          <w:rFonts w:eastAsia="方正仿宋简体"/>
          <w:sz w:val="32"/>
          <w:szCs w:val="32"/>
        </w:rPr>
        <w:t>全力开展责任控辍保学工作。鉴于全县控辍保学工作的严峻形势，州委、州人民政府高度重视，多次对我县的控辍保学工作作出重要批示和要求，县委、县人民政府把义务教育阶段的控辍保学工作作为脱贫攻坚的头等大事来抓,自2018年春期学期开学后，先后召开专题会议研究部署，签订控辍保学目标责任状，层层压实“双线六长” 制责任，一是建立未入学学生分类包保机制，采取乡镇主要领导包干建档立卡户学生和极度厌学学生，一般干部职工包干一般辍学学生户的方法，进村入户进行发动劝学工作；学校采取了开办特长班、兴趣班的形式留住辍学学生，通过双线包干管理竭尽全力做好控辍保学工作；二是由县长亲自监督安排控辍保学工作，通过建立县长、分管副县长、乡（镇）长微信工作交流群，适时反馈劝返辍学学生工作中遇到的问题和困难，同时建立日报制度，由学校对辍学学生和劝返回校的学生进行清理统计，上报县教育局，并由县教育局分别上报县人民政府督查室和分管副县长、县长，由督查室跟进和监督控辍保学工作，并由乡镇、村建立辍学学生台账和去向表，适时全面掌握辍学学生去向；三是认真清理从学前到大学各阶段学生学籍，并与精准扶贫大数据系统进行认真比对 ，对“人在籍不在”“籍在人不在”等进行分类统计，分类处理，举全县之力进村入户在做好精准扶贫、落实惠民政策和救助工作的同时劝返辍学学生返校，通过“消除余量、控制增量”的办法来做好控辍保学工作。</w:t>
      </w:r>
    </w:p>
    <w:p>
      <w:pPr>
        <w:ind w:firstLine="680"/>
        <w:rPr>
          <w:rFonts w:eastAsia="方正仿宋简体"/>
          <w:sz w:val="32"/>
          <w:szCs w:val="32"/>
        </w:rPr>
      </w:pPr>
      <w:r>
        <w:rPr>
          <w:rFonts w:eastAsia="方正仿宋简体"/>
          <w:sz w:val="32"/>
          <w:szCs w:val="32"/>
        </w:rPr>
        <w:t>2018年春季开学，我县共有义务教育阶段辍学生354人，通过全县各级各部门合力攻坚，至7月中旬放假前，共劝返280人，仍有辍学学生74人。2018年秋季学期开学，全县有未报到学生130人，中途辍学31人，全县累计义务教育阶段辍学学生235人（全部为初中学生，含建档立卡户84人）。按照全县做到将2018年秋季学期未报到学生全数劝返回校，将2018年8月前辍学的所有建档立卡户子女学生全部劝返的总目标，各乡镇因地制宜，采取有效措施，进村入户发动劝学工作，截止目前，共劝返学生226人，剩余9名辍学生（全部为初中非建档立卡户学生）。</w:t>
      </w:r>
    </w:p>
    <w:p>
      <w:pPr>
        <w:ind w:left="640"/>
        <w:rPr>
          <w:rFonts w:eastAsia="方正仿宋简体"/>
          <w:b/>
          <w:kern w:val="0"/>
          <w:sz w:val="32"/>
          <w:szCs w:val="32"/>
        </w:rPr>
      </w:pPr>
      <w:r>
        <w:rPr>
          <w:rFonts w:eastAsia="方正仿宋简体" w:hint="eastAsia"/>
          <w:b/>
          <w:kern w:val="0"/>
          <w:sz w:val="32"/>
          <w:szCs w:val="32"/>
        </w:rPr>
        <w:t>（</w:t>
      </w:r>
      <w:r>
        <w:rPr>
          <w:rFonts w:eastAsia="方正仿宋简体" w:hint="eastAsia"/>
          <w:b/>
          <w:kern w:val="0"/>
          <w:sz w:val="32"/>
          <w:szCs w:val="32"/>
          <w:lang w:val="en-US" w:eastAsia="zh-CN"/>
        </w:rPr>
        <w:t>4</w:t>
      </w:r>
      <w:r>
        <w:rPr>
          <w:rFonts w:eastAsia="方正仿宋简体" w:hint="eastAsia"/>
          <w:b/>
          <w:kern w:val="0"/>
          <w:sz w:val="32"/>
          <w:szCs w:val="32"/>
        </w:rPr>
        <w:t>）重公平、抓招考，继续做好阳光招生工作。</w:t>
      </w:r>
    </w:p>
    <w:p>
      <w:pPr>
        <w:ind w:firstLine="640" w:firstLineChars="200"/>
        <w:rPr>
          <w:rFonts w:eastAsia="方正仿宋简体"/>
          <w:sz w:val="32"/>
          <w:szCs w:val="32"/>
        </w:rPr>
      </w:pPr>
      <w:r>
        <w:rPr>
          <w:rFonts w:eastAsia="方正仿宋简体"/>
          <w:sz w:val="32"/>
          <w:szCs w:val="32"/>
        </w:rPr>
        <w:t>一是完成高中（中专）考试招生工作，共录取高中新生930人，五年制大专及中专792人，初中毕业升学率为84.9%；二是完成小升初考试1879人，初中招生录取1879人，升学率达100%；三是完成初中学业水平测试共计22523场次；四是完成成人高校招生考试报名工作，我县共有263人参加报名，其中专升本194人，高起本3人，高起专66人；五是完成全省教师资格自学考试报考102科次；六是完成全县中小学校学籍管理员县级培训，完成全县新入学学生学籍信息录入、所有在校学生错误信息更改、审核上报和全县中小学生学籍日常管理工作。</w:t>
      </w:r>
    </w:p>
    <w:p>
      <w:pPr>
        <w:ind w:left="640"/>
        <w:rPr>
          <w:rFonts w:eastAsia="方正仿宋简体"/>
          <w:b/>
          <w:kern w:val="0"/>
          <w:sz w:val="32"/>
          <w:szCs w:val="32"/>
        </w:rPr>
      </w:pPr>
      <w:r>
        <w:rPr>
          <w:rFonts w:eastAsia="方正仿宋简体"/>
          <w:sz w:val="32"/>
          <w:szCs w:val="32"/>
        </w:rPr>
        <w:t xml:space="preserve"> </w:t>
      </w:r>
      <w:r>
        <w:rPr>
          <w:rFonts w:eastAsia="方正仿宋简体" w:hint="eastAsia"/>
          <w:b/>
          <w:kern w:val="0"/>
          <w:sz w:val="32"/>
          <w:szCs w:val="32"/>
        </w:rPr>
        <w:t>（</w:t>
      </w:r>
      <w:r>
        <w:rPr>
          <w:rFonts w:eastAsia="方正仿宋简体" w:hint="eastAsia"/>
          <w:b/>
          <w:kern w:val="0"/>
          <w:sz w:val="32"/>
          <w:szCs w:val="32"/>
          <w:lang w:val="en-US" w:eastAsia="zh-CN"/>
        </w:rPr>
        <w:t>5</w:t>
      </w:r>
      <w:r>
        <w:rPr>
          <w:rFonts w:eastAsia="方正仿宋简体" w:hint="eastAsia"/>
          <w:b/>
          <w:kern w:val="0"/>
          <w:sz w:val="32"/>
          <w:szCs w:val="32"/>
        </w:rPr>
        <w:t>）德育活动一起抓，素质教育放异彩。</w:t>
      </w:r>
    </w:p>
    <w:p>
      <w:pPr>
        <w:ind w:firstLine="640" w:firstLineChars="200"/>
        <w:rPr>
          <w:rFonts w:eastAsia="方正仿宋简体"/>
          <w:sz w:val="32"/>
          <w:szCs w:val="32"/>
        </w:rPr>
      </w:pPr>
      <w:r>
        <w:rPr>
          <w:rFonts w:eastAsia="方正仿宋简体"/>
          <w:sz w:val="32"/>
          <w:szCs w:val="32"/>
        </w:rPr>
        <w:t>1</w:t>
      </w:r>
      <w:r>
        <w:rPr>
          <w:rFonts w:eastAsia="方正仿宋简体" w:hint="eastAsia"/>
          <w:sz w:val="32"/>
          <w:szCs w:val="32"/>
        </w:rPr>
        <w:t>．</w:t>
      </w:r>
      <w:r>
        <w:rPr>
          <w:rFonts w:eastAsia="方正仿宋简体"/>
          <w:sz w:val="32"/>
          <w:szCs w:val="32"/>
        </w:rPr>
        <w:t>重视和加强学校德育工作。一是充分利用“五四”青年节、“六一”儿童节、少先队建队日等重要节日，开展以“红旗飘飘引我成长及中华魂”、“红领巾相约中国梦”、 “圆梦蒲公英之追寻红色记忆”、“践行核心价值观 争做向上向善好青年”等为主题的少先队活动，进一步坚定青少年跟党走中国特色社会主义道路的理想信念，从而不断巩固和扩大党执政的青少年群众基础。二是组织开展了“五好小公民”系列活动，推荐了一名全省孝心少年，一名五好小公民，一名宋庆龄奖学金（小学），组织了“红旗飘飘、引我成长”演讲、朗诵、征文比赛活动，中学组获得了全州三等奖2名，二等奖1名，小学组获得了全州三等奖2名，二等奖1名，维西县保一小获得了教育部关工委颁发的五好小公民主题活动“</w:t>
      </w:r>
      <w:r>
        <w:rPr>
          <w:rFonts w:eastAsia="方正仿宋简体"/>
          <w:color w:val="363636"/>
          <w:sz w:val="32"/>
          <w:szCs w:val="32"/>
        </w:rPr>
        <w:t>示范学校”。三是</w:t>
      </w:r>
      <w:r>
        <w:rPr>
          <w:rFonts w:eastAsia="方正仿宋简体"/>
          <w:sz w:val="32"/>
          <w:szCs w:val="32"/>
        </w:rPr>
        <w:t>认真组织开展中小学、幼儿园文明学校创建活动，评选推荐省级“三好学生”12名，“优秀学生干部”2名；“先进班集体”2个。州级“三好学生”44名，“优秀学生干部”25名，“先进班集体”8个。</w:t>
      </w:r>
    </w:p>
    <w:p>
      <w:pPr>
        <w:widowControl/>
        <w:ind w:firstLine="630"/>
        <w:jc w:val="left"/>
        <w:rPr>
          <w:rFonts w:eastAsia="方正仿宋简体"/>
          <w:sz w:val="32"/>
          <w:szCs w:val="32"/>
        </w:rPr>
      </w:pPr>
      <w:r>
        <w:rPr>
          <w:rFonts w:eastAsia="方正仿宋简体"/>
          <w:sz w:val="32"/>
          <w:szCs w:val="32"/>
        </w:rPr>
        <w:t>2</w:t>
      </w:r>
      <w:r>
        <w:rPr>
          <w:rFonts w:eastAsia="方正仿宋简体" w:hint="eastAsia"/>
          <w:sz w:val="32"/>
          <w:szCs w:val="32"/>
        </w:rPr>
        <w:t>．</w:t>
      </w:r>
      <w:r>
        <w:rPr>
          <w:rFonts w:eastAsia="方正仿宋简体"/>
          <w:sz w:val="32"/>
          <w:szCs w:val="32"/>
        </w:rPr>
        <w:t>创造性开展校园体卫艺工作。一是坚持以素质教育为主题，认真落实体育课，三生教育课，国家学生体质健康标准测试；组织体育教师参加州、省、国家级培训28人次；积极筹备、组织、参加了2018年校、县、州级校园篮球、足球联赛和中小学“萌芽杯”、“ 幼苗杯”校园足球联赛</w:t>
      </w:r>
      <w:r>
        <w:rPr>
          <w:rFonts w:eastAsia="方正仿宋简体" w:hint="eastAsia"/>
          <w:sz w:val="32"/>
          <w:szCs w:val="32"/>
        </w:rPr>
        <w:t>；</w:t>
      </w:r>
      <w:r>
        <w:rPr>
          <w:rFonts w:eastAsia="方正仿宋简体"/>
          <w:sz w:val="32"/>
          <w:szCs w:val="32"/>
        </w:rPr>
        <w:t>二是认真做好学校卫生防疫、健康教育工作，开展中小学生“师生健康  中国健康”主题健康教育活动，培训达20000人次，积极配合卫生防疫部门完成了在校生流感、水痘、麻疹疫苗应急接种工作，配合卫计局做好部分学校出血性角膜炎突发病隔离治疗工作及各种疫情的上报工作，有效的控制了疾病的蔓延</w:t>
      </w:r>
      <w:r>
        <w:rPr>
          <w:rFonts w:eastAsia="方正仿宋简体" w:hint="eastAsia"/>
          <w:sz w:val="32"/>
          <w:szCs w:val="32"/>
        </w:rPr>
        <w:t>；</w:t>
      </w:r>
      <w:r>
        <w:rPr>
          <w:rFonts w:eastAsia="方正仿宋简体"/>
          <w:sz w:val="32"/>
          <w:szCs w:val="32"/>
        </w:rPr>
        <w:t>三是丰富学生课外生活，培养学生艺术兴趣和创新精神。年内选派艺术教育教师参加省级培训20人次，筹备组织了中小学手拉手·齐悦读故事大王比赛、</w:t>
      </w:r>
      <w:r>
        <w:rPr>
          <w:rFonts w:eastAsia="方正仿宋简体"/>
          <w:color w:val="333333"/>
          <w:sz w:val="32"/>
          <w:szCs w:val="32"/>
        </w:rPr>
        <w:t>“爱更有智慧”征文比赛等活动</w:t>
      </w:r>
      <w:r>
        <w:rPr>
          <w:rFonts w:eastAsia="方正仿宋简体"/>
          <w:sz w:val="32"/>
          <w:szCs w:val="32"/>
        </w:rPr>
        <w:t>，并选送初中、小学学生读书征文作品20多篇，演讲作品106份，征文作品9篇，并获二等奖。开展了</w:t>
      </w:r>
      <w:r>
        <w:rPr>
          <w:rFonts w:eastAsia="方正仿宋简体"/>
          <w:color w:val="333333"/>
          <w:sz w:val="32"/>
          <w:szCs w:val="32"/>
        </w:rPr>
        <w:t>“科技改变生活·创新成就梦想” 青少年科技创新大赛和科技辅导员科普大篷车讲解员培训班等活动，让青少年儿童在活动中体验快乐，在实践中激发潜能。同时，</w:t>
      </w:r>
      <w:r>
        <w:rPr>
          <w:rFonts w:eastAsia="方正仿宋简体"/>
          <w:sz w:val="32"/>
          <w:szCs w:val="32"/>
        </w:rPr>
        <w:t>组织了</w:t>
      </w:r>
      <w:r>
        <w:rPr>
          <w:rFonts w:eastAsia="方正仿宋简体"/>
          <w:color w:val="000000"/>
          <w:sz w:val="32"/>
          <w:szCs w:val="32"/>
        </w:rPr>
        <w:t>“梦飞艺术团”、“僳十二脚舞</w:t>
      </w:r>
      <w:r>
        <w:rPr>
          <w:rFonts w:eastAsia="方正仿宋简体"/>
          <w:sz w:val="32"/>
          <w:szCs w:val="32"/>
        </w:rPr>
        <w:t>蹈”等文化艺术进校园活动，体育艺术教育的全面推进促进了我县教育的协调健康发展。</w:t>
      </w:r>
    </w:p>
    <w:p>
      <w:pPr>
        <w:ind w:firstLine="480" w:firstLineChars="150"/>
        <w:rPr>
          <w:rFonts w:eastAsia="方正仿宋简体"/>
          <w:b/>
          <w:kern w:val="0"/>
          <w:sz w:val="32"/>
          <w:szCs w:val="32"/>
        </w:rPr>
      </w:pPr>
      <w:r>
        <w:rPr>
          <w:rFonts w:eastAsia="方正仿宋简体" w:hint="eastAsia"/>
          <w:b/>
          <w:kern w:val="0"/>
          <w:sz w:val="32"/>
          <w:szCs w:val="32"/>
        </w:rPr>
        <w:t>（</w:t>
      </w:r>
      <w:r>
        <w:rPr>
          <w:rFonts w:eastAsia="方正仿宋简体" w:hint="eastAsia"/>
          <w:b/>
          <w:kern w:val="0"/>
          <w:sz w:val="32"/>
          <w:szCs w:val="32"/>
          <w:lang w:val="en-US" w:eastAsia="zh-CN"/>
        </w:rPr>
        <w:t>6</w:t>
      </w:r>
      <w:r>
        <w:rPr>
          <w:rFonts w:eastAsia="方正仿宋简体" w:hint="eastAsia"/>
          <w:b/>
          <w:kern w:val="0"/>
          <w:sz w:val="32"/>
          <w:szCs w:val="32"/>
        </w:rPr>
        <w:t xml:space="preserve">）围绕队伍抓研训，重视师德增动力。 </w:t>
      </w:r>
    </w:p>
    <w:p>
      <w:pPr>
        <w:widowControl/>
        <w:ind w:firstLine="640"/>
        <w:jc w:val="left"/>
        <w:rPr>
          <w:rFonts w:eastAsia="方正仿宋简体"/>
          <w:sz w:val="32"/>
          <w:szCs w:val="32"/>
        </w:rPr>
      </w:pPr>
      <w:r>
        <w:rPr>
          <w:rFonts w:eastAsia="方正仿宋简体"/>
          <w:sz w:val="32"/>
          <w:szCs w:val="32"/>
        </w:rPr>
        <w:t>1</w:t>
      </w:r>
      <w:r>
        <w:rPr>
          <w:rFonts w:eastAsia="方正仿宋简体" w:hint="eastAsia"/>
          <w:sz w:val="32"/>
          <w:szCs w:val="32"/>
        </w:rPr>
        <w:t>．</w:t>
      </w:r>
      <w:r>
        <w:rPr>
          <w:rFonts w:eastAsia="方正仿宋简体"/>
          <w:sz w:val="32"/>
          <w:szCs w:val="32"/>
        </w:rPr>
        <w:t>加强教师队伍建设，激发教师教学动力。</w:t>
      </w:r>
    </w:p>
    <w:p>
      <w:pPr>
        <w:widowControl/>
        <w:ind w:firstLine="640" w:firstLineChars="200"/>
        <w:jc w:val="left"/>
        <w:rPr>
          <w:rFonts w:eastAsia="方正仿宋简体"/>
          <w:color w:val="000000"/>
          <w:kern w:val="0"/>
          <w:sz w:val="32"/>
          <w:szCs w:val="32"/>
        </w:rPr>
      </w:pPr>
      <w:r>
        <w:rPr>
          <w:rFonts w:eastAsia="方正仿宋简体"/>
          <w:sz w:val="32"/>
          <w:szCs w:val="32"/>
        </w:rPr>
        <w:t>2018年，教育系统根据学校</w:t>
      </w:r>
      <w:r>
        <w:rPr>
          <w:rFonts w:eastAsia="方正仿宋简体"/>
          <w:bCs/>
          <w:sz w:val="32"/>
          <w:szCs w:val="32"/>
        </w:rPr>
        <w:t>实际需求补充调整了本系统编制及岗位人员，目前</w:t>
      </w:r>
      <w:r>
        <w:rPr>
          <w:rFonts w:eastAsia="方正仿宋简体"/>
          <w:sz w:val="32"/>
          <w:szCs w:val="32"/>
        </w:rPr>
        <w:t>我系统事业单位在职在编人员1390人，中小学编制1457人(含教育局13人，进校23人，活动中心6人)，缺编167人，使用</w:t>
      </w:r>
      <w:r>
        <w:rPr>
          <w:rFonts w:eastAsia="方正仿宋简体" w:hint="eastAsia"/>
          <w:sz w:val="32"/>
          <w:szCs w:val="32"/>
        </w:rPr>
        <w:t>编外临时用工</w:t>
      </w:r>
      <w:r>
        <w:rPr>
          <w:rFonts w:eastAsia="方正仿宋简体"/>
          <w:sz w:val="32"/>
          <w:szCs w:val="32"/>
        </w:rPr>
        <w:t>500人。2018年我系统事业单位工作人员在</w:t>
      </w:r>
      <w:r>
        <w:rPr>
          <w:rFonts w:eastAsia="方正仿宋简体"/>
          <w:sz w:val="32"/>
          <w:szCs w:val="32"/>
          <w:highlight w:val="none"/>
        </w:rPr>
        <w:t>岗</w:t>
      </w:r>
      <w:r>
        <w:rPr>
          <w:rFonts w:eastAsia="方正仿宋简体"/>
          <w:sz w:val="32"/>
          <w:szCs w:val="32"/>
        </w:rPr>
        <w:t>共计1890人。</w:t>
      </w:r>
    </w:p>
    <w:p>
      <w:pPr>
        <w:pStyle w:val="NormalWeb"/>
        <w:shd w:val="clear" w:color="auto" w:fill="FFFFFF"/>
        <w:spacing w:before="0" w:beforeAutospacing="0" w:after="0" w:afterAutospacing="0"/>
        <w:ind w:firstLine="640" w:firstLineChars="200"/>
        <w:jc w:val="both"/>
        <w:outlineLvl w:val="0"/>
        <w:rPr>
          <w:rFonts w:ascii="Times New Roman" w:eastAsia="方正仿宋简体" w:hAnsi="Times New Roman" w:cs="Times New Roman"/>
          <w:sz w:val="32"/>
          <w:szCs w:val="32"/>
        </w:rPr>
      </w:pPr>
      <w:r>
        <w:rPr>
          <w:rFonts w:ascii="Times New Roman" w:eastAsia="方正仿宋简体" w:hAnsi="Times New Roman" w:cs="Times New Roman"/>
          <w:sz w:val="32"/>
          <w:szCs w:val="32"/>
        </w:rPr>
        <w:t>在统筹考虑区域教师数量、结构等情况的基础上，根据编制限额、教学需要和岗位要求，一是加强学校领导班子建设，补齐教师缺口，2018年任免校长2人，副校长10人（免职3人，任职7人），先后招聘乡村幼儿园志愿者教师90名，事业单位统一招考47名（小学教师12名，初中教师23名，幼儿园教师11名。），自主招聘高中教师8人，使具有相应资格的优秀大中专毕业生到教学一线工作，为中小学、乡村幼儿园教育注入了新鲜血液。制定全县中小学教师流动管理体制，通过竞聘方式选拔15名乡镇教师到城区学校任教，进一步优化合理配置全县教师资源。二是根据上级相关政策及要求，按相应年龄、疾病、能力等情况，办理教职工正常退休手续1人，上报审批67人教职工的提前退休申请及手续65人，办理调动手续5人，办理病休手续4件。三是根据2018年专业技术人员职称改革文件及政策要求，完成本年度中小学职称初级评审工作。2018年共晋升教师专业技术职务资格209人。其中，晋升二级教师职务的48人，认定44人，一级教师职务资格的45人，推荐45，认定44人，高级教师职务资格150人， 推荐141人，认定121人。推荐参评州级专业技术人员学科带头人教师5人，通过评审1人。推荐申报3人参加云南省村20年及以上优秀教师并得到表彰。</w:t>
      </w:r>
    </w:p>
    <w:p>
      <w:pPr>
        <w:widowControl/>
        <w:ind w:firstLine="640"/>
        <w:jc w:val="left"/>
        <w:rPr>
          <w:rFonts w:eastAsia="方正仿宋简体"/>
          <w:sz w:val="32"/>
          <w:szCs w:val="32"/>
        </w:rPr>
      </w:pPr>
      <w:r>
        <w:rPr>
          <w:rFonts w:eastAsia="方正仿宋简体"/>
          <w:sz w:val="32"/>
          <w:szCs w:val="32"/>
        </w:rPr>
        <w:t>2</w:t>
      </w:r>
      <w:r>
        <w:rPr>
          <w:rFonts w:eastAsia="方正仿宋简体" w:hint="eastAsia"/>
          <w:sz w:val="32"/>
          <w:szCs w:val="32"/>
        </w:rPr>
        <w:t>．</w:t>
      </w:r>
      <w:r>
        <w:rPr>
          <w:rFonts w:eastAsia="方正仿宋简体"/>
          <w:sz w:val="32"/>
          <w:szCs w:val="32"/>
        </w:rPr>
        <w:t>加大教研师训力度，提高教育教学质量。</w:t>
      </w:r>
    </w:p>
    <w:p>
      <w:pPr>
        <w:ind w:firstLine="640" w:firstLineChars="200"/>
        <w:rPr>
          <w:rFonts w:eastAsia="方正仿宋简体"/>
          <w:sz w:val="32"/>
          <w:szCs w:val="32"/>
        </w:rPr>
      </w:pPr>
      <w:r>
        <w:rPr>
          <w:rFonts w:eastAsia="方正仿宋简体"/>
          <w:sz w:val="32"/>
          <w:szCs w:val="32"/>
        </w:rPr>
        <w:t>教师发展中心始终以促进教师专业化发展，提升教育教学质量为重点，以促进教师转变教育理念，改进教学方式，提高专业化水平为抓手，一是抓实常规管理，规范教育行为，完成了对全县中小学、幼儿园开学及放假视导工作，并从学期工作计划、课程设置、校本研训、日常教学等方面进行了全面深入的调研及指导工作；二是下移教研重心，做实校本教研，</w:t>
      </w:r>
      <w:r>
        <w:rPr>
          <w:rFonts w:eastAsia="方正仿宋简体" w:hAnsi="方正仿宋简体"/>
          <w:sz w:val="32"/>
          <w:szCs w:val="32"/>
        </w:rPr>
        <w:t>本年度共选派研训者</w:t>
      </w:r>
      <w:r>
        <w:rPr>
          <w:rFonts w:eastAsia="方正仿宋简体"/>
          <w:sz w:val="32"/>
          <w:szCs w:val="32"/>
        </w:rPr>
        <w:t>20</w:t>
      </w:r>
      <w:r>
        <w:rPr>
          <w:rFonts w:eastAsia="方正仿宋简体" w:hAnsi="方正仿宋简体"/>
          <w:sz w:val="32"/>
          <w:szCs w:val="32"/>
        </w:rPr>
        <w:t>人次，下校指导校本教科研工作每人</w:t>
      </w:r>
      <w:r>
        <w:rPr>
          <w:rFonts w:eastAsia="方正仿宋简体"/>
          <w:sz w:val="32"/>
          <w:szCs w:val="32"/>
        </w:rPr>
        <w:t>50</w:t>
      </w:r>
      <w:r>
        <w:rPr>
          <w:rFonts w:eastAsia="方正仿宋简体" w:hAnsi="方正仿宋简体"/>
          <w:sz w:val="32"/>
          <w:szCs w:val="32"/>
        </w:rPr>
        <w:t>多天次，同时指导</w:t>
      </w:r>
      <w:r>
        <w:rPr>
          <w:rFonts w:eastAsia="方正仿宋简体"/>
          <w:sz w:val="32"/>
          <w:szCs w:val="32"/>
        </w:rPr>
        <w:t>各学校结合教育科研月组织了教师基本功大赛、口算大赛、汉子听写大赛等丰富多彩的校本研训活动，富有实效的教育科研活动有力促进了学校教育教学质量的提高；三是认真开展了2018年中小学学业水平测试质量检测和分析，掌握全县教育发展水平和动态；四是认真履行“研究、策划、指导、服务、培训、管理”的工作职责，组织开展多途径、多形式的学习培训，不断改进教师工作方式，提升工作效能，为全县中小学教师的专业化发展搭建平台。年内共组织参加了</w:t>
      </w:r>
      <w:r>
        <w:rPr>
          <w:rFonts w:eastAsia="方正仿宋简体"/>
          <w:bCs/>
          <w:sz w:val="32"/>
          <w:szCs w:val="32"/>
        </w:rPr>
        <w:t>“结伴互助促成长，携手共创新优质”培训600多人次，</w:t>
      </w:r>
      <w:r>
        <w:rPr>
          <w:rFonts w:eastAsia="方正仿宋简体"/>
          <w:sz w:val="32"/>
          <w:szCs w:val="32"/>
        </w:rPr>
        <w:t>统编教材教研员培训300人次、国培骨干教师及校园长培训80人次，累计参加培训人员980多人次。五是遵循“因地制宜、区域统筹、政策引导、城乡互动”的原则，制定并试点性实施《维西县教育局关于开展教育系统校园长、副校园长、教师交流制度实施办法（试行）》，2018年县内校园长交流2人，县内教师交流18人，“三区三州”项目省内教师交流60人，选派到我县支教交流教师27人，促进教师的交流互助与共同提高。</w:t>
      </w:r>
    </w:p>
    <w:p>
      <w:pPr>
        <w:widowControl/>
        <w:ind w:firstLine="640"/>
        <w:jc w:val="left"/>
        <w:rPr>
          <w:rFonts w:eastAsia="方正仿宋简体"/>
          <w:sz w:val="32"/>
          <w:szCs w:val="32"/>
        </w:rPr>
      </w:pPr>
      <w:r>
        <w:rPr>
          <w:rFonts w:eastAsia="方正仿宋简体"/>
          <w:sz w:val="32"/>
          <w:szCs w:val="32"/>
        </w:rPr>
        <w:t>3</w:t>
      </w:r>
      <w:r>
        <w:rPr>
          <w:rFonts w:eastAsia="方正仿宋简体" w:hint="eastAsia"/>
          <w:sz w:val="32"/>
          <w:szCs w:val="32"/>
        </w:rPr>
        <w:t>．</w:t>
      </w:r>
      <w:r>
        <w:rPr>
          <w:rFonts w:eastAsia="方正仿宋简体"/>
          <w:sz w:val="32"/>
          <w:szCs w:val="32"/>
        </w:rPr>
        <w:t>重视党风廉政建设，加强师德师风教育。</w:t>
      </w:r>
    </w:p>
    <w:p>
      <w:pPr>
        <w:ind w:firstLine="640" w:firstLineChars="200"/>
        <w:rPr>
          <w:rFonts w:eastAsia="方正仿宋简体"/>
          <w:sz w:val="32"/>
          <w:szCs w:val="32"/>
        </w:rPr>
      </w:pPr>
      <w:r>
        <w:rPr>
          <w:rFonts w:eastAsia="方正仿宋简体"/>
          <w:sz w:val="32"/>
          <w:szCs w:val="32"/>
        </w:rPr>
        <w:t>2018年，教育局党工委以学习贯彻党的十九大精神为统领，一是以</w:t>
      </w:r>
      <w:r>
        <w:rPr>
          <w:rFonts w:eastAsia="方正仿宋简体"/>
          <w:color w:val="000000"/>
          <w:sz w:val="32"/>
          <w:szCs w:val="32"/>
        </w:rPr>
        <w:t>学习型党组织建设为抓手，</w:t>
      </w:r>
      <w:r>
        <w:rPr>
          <w:rFonts w:eastAsia="方正仿宋简体"/>
          <w:color w:val="333333"/>
          <w:sz w:val="32"/>
          <w:szCs w:val="32"/>
        </w:rPr>
        <w:t>认真制定县教育局“两学一做”常态化制度化学习计划，完善学习制度，定期开展十九大精神、扶贫工作会议精神等学习活动，全年共组织学习40余场次；二是组织开展</w:t>
      </w:r>
      <w:r>
        <w:rPr>
          <w:rFonts w:eastAsia="方正仿宋简体"/>
          <w:bCs/>
          <w:color w:val="666666"/>
          <w:kern w:val="0"/>
          <w:sz w:val="32"/>
          <w:szCs w:val="32"/>
        </w:rPr>
        <w:t>“万名党员进党校”</w:t>
      </w:r>
      <w:r>
        <w:rPr>
          <w:rFonts w:eastAsia="方正仿宋简体"/>
          <w:color w:val="333333"/>
          <w:sz w:val="32"/>
          <w:szCs w:val="32"/>
        </w:rPr>
        <w:t>培训活动，</w:t>
      </w:r>
      <w:r>
        <w:rPr>
          <w:rFonts w:eastAsia="方正仿宋简体"/>
          <w:color w:val="333333"/>
          <w:kern w:val="0"/>
          <w:sz w:val="32"/>
          <w:szCs w:val="32"/>
        </w:rPr>
        <w:t>教育工委委员、各基层学校党组织470余名党员参加培训，</w:t>
      </w:r>
      <w:r>
        <w:rPr>
          <w:rFonts w:eastAsia="方正仿宋简体"/>
          <w:color w:val="333333"/>
          <w:sz w:val="32"/>
          <w:szCs w:val="32"/>
        </w:rPr>
        <w:t>组织选派690名党员参加各类党务工作及党风廉政知识培训，党员培训率达100%；三是</w:t>
      </w:r>
      <w:r>
        <w:rPr>
          <w:rFonts w:eastAsia="方正仿宋简体"/>
          <w:color w:val="000000"/>
          <w:sz w:val="32"/>
          <w:szCs w:val="32"/>
        </w:rPr>
        <w:t>以基层党建巩固年为抓手，推进党支部规范化建设工作，截至目前</w:t>
      </w:r>
      <w:r>
        <w:rPr>
          <w:rFonts w:eastAsia="方正仿宋简体"/>
          <w:color w:val="333333"/>
          <w:spacing w:val="8"/>
          <w:kern w:val="0"/>
          <w:sz w:val="32"/>
          <w:szCs w:val="32"/>
        </w:rPr>
        <w:t>50个基层党组织都实施达标创建工作，15个支部完成了达标创建工作；四是</w:t>
      </w:r>
      <w:r>
        <w:rPr>
          <w:rFonts w:eastAsia="方正仿宋简体"/>
          <w:bCs/>
          <w:color w:val="000000"/>
          <w:spacing w:val="8"/>
          <w:kern w:val="0"/>
          <w:sz w:val="32"/>
          <w:szCs w:val="32"/>
        </w:rPr>
        <w:t>以做好基础党务工作为抓手，规范党组织机构建设，本年度</w:t>
      </w:r>
      <w:r>
        <w:rPr>
          <w:rFonts w:eastAsia="方正仿宋简体"/>
          <w:color w:val="333333"/>
          <w:spacing w:val="8"/>
          <w:kern w:val="0"/>
          <w:sz w:val="32"/>
          <w:szCs w:val="32"/>
        </w:rPr>
        <w:t>完成12个支部换届，分类定级党组织50个，评定先进党组织5个、一般性党组织40个、指导督促5个软涣散党组织完成整改；五是结合“四美”创建活动，组织开展了</w:t>
      </w:r>
      <w:r>
        <w:rPr>
          <w:rFonts w:eastAsia="方正仿宋简体"/>
          <w:bCs/>
          <w:color w:val="000000"/>
          <w:sz w:val="32"/>
          <w:szCs w:val="32"/>
        </w:rPr>
        <w:t>青年教师歌手大赛、“深入开展两学一做学习教育制度化常态化、争做最美教师”主题征文等活动</w:t>
      </w:r>
      <w:r>
        <w:rPr>
          <w:rFonts w:eastAsia="方正仿宋简体"/>
          <w:sz w:val="32"/>
          <w:szCs w:val="32"/>
        </w:rPr>
        <w:t>，</w:t>
      </w:r>
      <w:r>
        <w:rPr>
          <w:rFonts w:eastAsia="方正仿宋简体"/>
          <w:color w:val="333333"/>
          <w:spacing w:val="8"/>
          <w:kern w:val="0"/>
          <w:sz w:val="32"/>
          <w:szCs w:val="32"/>
        </w:rPr>
        <w:t>进一步强化</w:t>
      </w:r>
      <w:r>
        <w:rPr>
          <w:rFonts w:eastAsia="方正仿宋简体"/>
          <w:sz w:val="32"/>
          <w:szCs w:val="32"/>
        </w:rPr>
        <w:t>师德师风教育活动，同时表彰了三个优秀党组织， 22名优秀共产党员，16名优秀党务工作者，充分发挥党员示范引领带动作用；六是</w:t>
      </w:r>
      <w:r>
        <w:rPr>
          <w:rFonts w:eastAsia="方正仿宋简体"/>
          <w:color w:val="000000"/>
          <w:spacing w:val="8"/>
          <w:kern w:val="0"/>
          <w:sz w:val="32"/>
          <w:szCs w:val="32"/>
        </w:rPr>
        <w:t>以全面从严治党为抓手，</w:t>
      </w:r>
      <w:r>
        <w:rPr>
          <w:rFonts w:eastAsia="方正仿宋简体"/>
          <w:color w:val="2F2F2F"/>
          <w:kern w:val="0"/>
          <w:sz w:val="32"/>
          <w:szCs w:val="32"/>
          <w:shd w:val="clear" w:color="auto" w:fill="FFFFFF"/>
        </w:rPr>
        <w:t>引导教育系统全体党员牢固树立“抓好党风廉政建设是本职，不抓党风廉政建设是失职，抓不好党风廉政建设是不称职”的理念，严格落实“三重一大”制度，不定期召开专题民主生活会，不定期对分管股室学校开展廉政教育、廉政谈话，定期开展教育收费专项检查治理，不断</w:t>
      </w:r>
      <w:r>
        <w:rPr>
          <w:rFonts w:eastAsia="方正仿宋简体"/>
          <w:color w:val="000000"/>
          <w:spacing w:val="8"/>
          <w:kern w:val="0"/>
          <w:sz w:val="32"/>
          <w:szCs w:val="32"/>
        </w:rPr>
        <w:t>打造教育系统风清气正良好氛围</w:t>
      </w:r>
      <w:r>
        <w:rPr>
          <w:rFonts w:eastAsia="方正仿宋简体"/>
          <w:color w:val="2F2F2F"/>
          <w:sz w:val="32"/>
          <w:szCs w:val="32"/>
          <w:shd w:val="clear" w:color="auto" w:fill="FFFFFF"/>
        </w:rPr>
        <w:t>。</w:t>
      </w:r>
    </w:p>
    <w:p>
      <w:pPr>
        <w:widowControl/>
        <w:ind w:firstLine="480" w:firstLineChars="150"/>
        <w:jc w:val="left"/>
        <w:rPr>
          <w:rFonts w:eastAsia="方正仿宋简体"/>
          <w:b/>
          <w:kern w:val="0"/>
          <w:sz w:val="32"/>
          <w:szCs w:val="32"/>
        </w:rPr>
      </w:pPr>
      <w:r>
        <w:rPr>
          <w:rFonts w:eastAsia="方正仿宋简体" w:hint="eastAsia"/>
          <w:b/>
          <w:kern w:val="0"/>
          <w:sz w:val="32"/>
          <w:szCs w:val="32"/>
        </w:rPr>
        <w:t>(</w:t>
      </w:r>
      <w:r>
        <w:rPr>
          <w:rFonts w:eastAsia="方正仿宋简体" w:hint="eastAsia"/>
          <w:b/>
          <w:kern w:val="0"/>
          <w:sz w:val="32"/>
          <w:szCs w:val="32"/>
          <w:lang w:val="en-US" w:eastAsia="zh-CN"/>
        </w:rPr>
        <w:t>7</w:t>
      </w:r>
      <w:r>
        <w:rPr>
          <w:rFonts w:eastAsia="方正仿宋简体" w:hint="eastAsia"/>
          <w:b/>
          <w:kern w:val="0"/>
          <w:sz w:val="32"/>
          <w:szCs w:val="32"/>
        </w:rPr>
        <w:t>)结合实际求实效，促进教育信息化。</w:t>
      </w:r>
    </w:p>
    <w:p>
      <w:pPr>
        <w:widowControl/>
        <w:ind w:firstLine="640"/>
        <w:jc w:val="left"/>
        <w:rPr>
          <w:rFonts w:eastAsia="方正仿宋简体"/>
          <w:sz w:val="32"/>
          <w:szCs w:val="32"/>
        </w:rPr>
      </w:pPr>
      <w:r>
        <w:rPr>
          <w:rFonts w:eastAsia="方正仿宋简体"/>
          <w:sz w:val="32"/>
          <w:szCs w:val="32"/>
        </w:rPr>
        <w:t>按照教育部《教育信息化十年发展规划（2011—2020年）》要求，自2016年4月启动了教育信息化项目建设工作以来，维西县建设覆盖了15个中学、中心校，涉及51个教学单位。电子白板覆盖率达100%，20M带宽的光纤网络实现班班通。</w:t>
      </w:r>
    </w:p>
    <w:p>
      <w:pPr>
        <w:widowControl/>
        <w:jc w:val="left"/>
        <w:rPr>
          <w:rFonts w:eastAsia="方正仿宋简体"/>
          <w:sz w:val="32"/>
          <w:szCs w:val="32"/>
        </w:rPr>
      </w:pPr>
      <w:r>
        <w:rPr>
          <w:rFonts w:eastAsia="方正仿宋简体"/>
          <w:sz w:val="32"/>
          <w:szCs w:val="32"/>
        </w:rPr>
        <w:t>为不断提高教育信息化应用能力和服务水平，本年度开展了</w:t>
      </w:r>
      <w:r>
        <w:rPr>
          <w:rFonts w:eastAsia="方正仿宋简体"/>
          <w:color w:val="212121"/>
          <w:kern w:val="0"/>
          <w:sz w:val="32"/>
          <w:szCs w:val="32"/>
        </w:rPr>
        <w:t>中小学教育技术装备管理应用指导检查及《云南教育技术装备管理系统》实验教学模块操作送培进校活动，累计培训103人,</w:t>
      </w:r>
      <w:r>
        <w:rPr>
          <w:rFonts w:eastAsia="方正仿宋简体"/>
          <w:sz w:val="32"/>
          <w:szCs w:val="32"/>
        </w:rPr>
        <w:t>积极搭建各种信息化应用平台，组织选派578人参加技术应用提升培训,在国家平台和云南省教育资源公共服务平台，开展“一师一优课”“</w:t>
      </w:r>
      <w:r>
        <w:rPr>
          <w:rFonts w:eastAsia="方正仿宋简体" w:hint="eastAsia"/>
          <w:sz w:val="32"/>
          <w:szCs w:val="32"/>
        </w:rPr>
        <w:t>一课一名师</w:t>
      </w:r>
      <w:r>
        <w:rPr>
          <w:rFonts w:eastAsia="方正仿宋简体"/>
          <w:sz w:val="32"/>
          <w:szCs w:val="32"/>
        </w:rPr>
        <w:t>”晒课活动和技能培训活动，促进了优质数字教育资源的开发与共享,参与云南省第二届3D打印作品创作大赛，共选送3D打印作品17件，获奖4件，提高了学校教师应用3D打印技术的能力和水平, 促进了信息技术与学科课堂教学相融合。</w:t>
      </w:r>
    </w:p>
    <w:p>
      <w:pPr>
        <w:widowControl/>
        <w:ind w:firstLine="640"/>
        <w:jc w:val="left"/>
        <w:rPr>
          <w:rFonts w:eastAsia="方正仿宋简体"/>
          <w:b/>
          <w:kern w:val="0"/>
          <w:sz w:val="32"/>
          <w:szCs w:val="32"/>
        </w:rPr>
      </w:pPr>
      <w:r>
        <w:rPr>
          <w:rFonts w:eastAsia="方正仿宋简体" w:hint="eastAsia"/>
          <w:b/>
          <w:kern w:val="0"/>
          <w:sz w:val="32"/>
          <w:szCs w:val="32"/>
        </w:rPr>
        <w:t>（</w:t>
      </w:r>
      <w:r>
        <w:rPr>
          <w:rFonts w:eastAsia="方正仿宋简体" w:hint="eastAsia"/>
          <w:b/>
          <w:kern w:val="0"/>
          <w:sz w:val="32"/>
          <w:szCs w:val="32"/>
          <w:lang w:val="en-US" w:eastAsia="zh-CN"/>
        </w:rPr>
        <w:t>8</w:t>
      </w:r>
      <w:r>
        <w:rPr>
          <w:rFonts w:eastAsia="方正仿宋简体" w:hint="eastAsia"/>
          <w:b/>
          <w:kern w:val="0"/>
          <w:sz w:val="32"/>
          <w:szCs w:val="32"/>
        </w:rPr>
        <w:t>）围绕安全抓整改，营造氛围促落实。</w:t>
      </w:r>
    </w:p>
    <w:p>
      <w:pPr>
        <w:ind w:firstLine="640"/>
        <w:rPr>
          <w:rFonts w:eastAsia="方正仿宋简体"/>
          <w:b/>
          <w:color w:val="333333"/>
          <w:sz w:val="32"/>
          <w:szCs w:val="32"/>
          <w:shd w:val="clear" w:color="auto" w:fill="FFFFFF"/>
        </w:rPr>
      </w:pPr>
      <w:r>
        <w:rPr>
          <w:rFonts w:eastAsia="方正仿宋简体"/>
          <w:color w:val="333333"/>
          <w:sz w:val="32"/>
          <w:szCs w:val="32"/>
          <w:shd w:val="clear" w:color="auto" w:fill="FFFFFF"/>
        </w:rPr>
        <w:t>1</w:t>
      </w:r>
      <w:r>
        <w:rPr>
          <w:rFonts w:eastAsia="方正仿宋简体" w:hAnsi="方正仿宋简体" w:hint="eastAsia"/>
          <w:color w:val="333333"/>
          <w:sz w:val="32"/>
          <w:szCs w:val="32"/>
          <w:shd w:val="clear" w:color="auto" w:fill="FFFFFF"/>
        </w:rPr>
        <w:t>．</w:t>
      </w:r>
      <w:r>
        <w:rPr>
          <w:rFonts w:eastAsia="方正仿宋简体" w:hAnsi="方正仿宋简体"/>
          <w:color w:val="333333"/>
          <w:sz w:val="32"/>
          <w:szCs w:val="32"/>
          <w:shd w:val="clear" w:color="auto" w:fill="FFFFFF"/>
        </w:rPr>
        <w:t>强化领导，明确责任。我县建立了从县委政府到教育主管部门到乡镇党委政府，再到校园负责人和家长的</w:t>
      </w:r>
      <w:r>
        <w:rPr>
          <w:rFonts w:eastAsia="方正仿宋简体"/>
          <w:color w:val="333333"/>
          <w:sz w:val="32"/>
          <w:szCs w:val="32"/>
          <w:shd w:val="clear" w:color="auto" w:fill="FFFFFF"/>
        </w:rPr>
        <w:t>“</w:t>
      </w:r>
      <w:r>
        <w:rPr>
          <w:rFonts w:eastAsia="方正仿宋简体" w:hAnsi="方正仿宋简体"/>
          <w:color w:val="333333"/>
          <w:sz w:val="32"/>
          <w:szCs w:val="32"/>
          <w:shd w:val="clear" w:color="auto" w:fill="FFFFFF"/>
        </w:rPr>
        <w:t>五长</w:t>
      </w:r>
      <w:r>
        <w:rPr>
          <w:rFonts w:eastAsia="方正仿宋简体"/>
          <w:color w:val="333333"/>
          <w:sz w:val="32"/>
          <w:szCs w:val="32"/>
          <w:shd w:val="clear" w:color="auto" w:fill="FFFFFF"/>
        </w:rPr>
        <w:t>”</w:t>
      </w:r>
      <w:r>
        <w:rPr>
          <w:rFonts w:eastAsia="方正仿宋简体" w:hAnsi="方正仿宋简体"/>
          <w:color w:val="333333"/>
          <w:sz w:val="32"/>
          <w:szCs w:val="32"/>
          <w:shd w:val="clear" w:color="auto" w:fill="FFFFFF"/>
        </w:rPr>
        <w:t>责任制，运用双线管理体制，层层签订消防、防溺水、防汛、平安校园工作责任状，压实安全责任。召开两次全县校园安全工作专题会议，分析校园安全情势，通报安全情况，研究部署安全工作，逐级落实安全责任，各相关部门共同参与，做到了安排部署、宣传教育、隐患排查、整改措施、责任追究等</w:t>
      </w:r>
      <w:r>
        <w:rPr>
          <w:rFonts w:eastAsia="方正仿宋简体"/>
          <w:color w:val="333333"/>
          <w:sz w:val="32"/>
          <w:szCs w:val="32"/>
          <w:shd w:val="clear" w:color="auto" w:fill="FFFFFF"/>
        </w:rPr>
        <w:t>“</w:t>
      </w:r>
      <w:r>
        <w:rPr>
          <w:rFonts w:eastAsia="方正仿宋简体" w:hAnsi="方正仿宋简体"/>
          <w:color w:val="333333"/>
          <w:sz w:val="32"/>
          <w:szCs w:val="32"/>
          <w:shd w:val="clear" w:color="auto" w:fill="FFFFFF"/>
        </w:rPr>
        <w:t>五个到位</w:t>
      </w:r>
      <w:r>
        <w:rPr>
          <w:rFonts w:eastAsia="方正仿宋简体"/>
          <w:color w:val="333333"/>
          <w:sz w:val="32"/>
          <w:szCs w:val="32"/>
          <w:shd w:val="clear" w:color="auto" w:fill="FFFFFF"/>
        </w:rPr>
        <w:t>”</w:t>
      </w:r>
      <w:r>
        <w:rPr>
          <w:rFonts w:eastAsia="方正仿宋简体" w:hAnsi="方正仿宋简体"/>
          <w:color w:val="333333"/>
          <w:sz w:val="32"/>
          <w:szCs w:val="32"/>
          <w:shd w:val="clear" w:color="auto" w:fill="FFFFFF"/>
        </w:rPr>
        <w:t>。</w:t>
      </w:r>
    </w:p>
    <w:p>
      <w:pPr>
        <w:ind w:firstLine="800" w:firstLineChars="250"/>
        <w:rPr>
          <w:rFonts w:eastAsia="方正仿宋简体"/>
          <w:color w:val="333333"/>
          <w:sz w:val="32"/>
          <w:szCs w:val="32"/>
          <w:shd w:val="clear" w:color="auto" w:fill="FFFFFF"/>
        </w:rPr>
      </w:pPr>
      <w:r>
        <w:rPr>
          <w:rFonts w:eastAsia="方正仿宋简体"/>
          <w:color w:val="333333"/>
          <w:sz w:val="32"/>
          <w:szCs w:val="32"/>
          <w:shd w:val="clear" w:color="auto" w:fill="FFFFFF"/>
        </w:rPr>
        <w:t>2</w:t>
      </w:r>
      <w:r>
        <w:rPr>
          <w:rFonts w:eastAsia="方正仿宋简体" w:hAnsi="方正仿宋简体" w:hint="eastAsia"/>
          <w:color w:val="333333"/>
          <w:sz w:val="32"/>
          <w:szCs w:val="32"/>
          <w:shd w:val="clear" w:color="auto" w:fill="FFFFFF"/>
        </w:rPr>
        <w:t>．</w:t>
      </w:r>
      <w:r>
        <w:rPr>
          <w:rFonts w:eastAsia="方正仿宋简体" w:hAnsi="方正仿宋简体"/>
          <w:color w:val="333333"/>
          <w:sz w:val="32"/>
          <w:szCs w:val="32"/>
          <w:shd w:val="clear" w:color="auto" w:fill="FFFFFF"/>
        </w:rPr>
        <w:t>健全安全管理网络，狠抓校园安全排查整改。</w:t>
      </w:r>
      <w:r>
        <w:rPr>
          <w:rFonts w:eastAsia="方正仿宋简体"/>
          <w:color w:val="333333"/>
          <w:sz w:val="32"/>
          <w:szCs w:val="32"/>
          <w:shd w:val="clear" w:color="auto" w:fill="FFFFFF"/>
        </w:rPr>
        <w:t xml:space="preserve"> </w:t>
      </w:r>
      <w:r>
        <w:rPr>
          <w:rFonts w:eastAsia="方正仿宋简体" w:hAnsi="方正仿宋简体"/>
          <w:color w:val="333333"/>
          <w:sz w:val="32"/>
          <w:szCs w:val="32"/>
          <w:shd w:val="clear" w:color="auto" w:fill="FFFFFF"/>
        </w:rPr>
        <w:t>一是</w:t>
      </w:r>
      <w:r>
        <w:rPr>
          <w:rFonts w:eastAsia="方正仿宋简体" w:hAnsi="方正仿宋简体"/>
          <w:sz w:val="32"/>
          <w:szCs w:val="32"/>
        </w:rPr>
        <w:t>做好应急管理工作。成立突发公共事件应急领导小组，确保发生突发事件时，第一时间有人管、信息同、情况明。加强科学先期处置、采取最佳救援等各项应急工作。教育局带动学校做好山洪、泥石流、滑坡等灾害的防御工作，</w:t>
      </w:r>
      <w:r>
        <w:rPr>
          <w:rFonts w:eastAsia="方正仿宋简体"/>
          <w:color w:val="393A35"/>
          <w:kern w:val="0"/>
          <w:sz w:val="32"/>
          <w:szCs w:val="32"/>
        </w:rPr>
        <w:t>在 3.12、5.29、十九大会议期间等敏感节点，“五一”“十一”等节假日，</w:t>
      </w:r>
      <w:r>
        <w:rPr>
          <w:rFonts w:eastAsia="方正仿宋简体" w:hAnsi="方正仿宋简体"/>
          <w:sz w:val="32"/>
          <w:szCs w:val="32"/>
        </w:rPr>
        <w:t>加强校园应急值守，严格执行每天零报告制度，确保师生安全及校园和谐稳定</w:t>
      </w:r>
      <w:r>
        <w:rPr>
          <w:rFonts w:eastAsia="方正仿宋简体" w:hAnsi="方正仿宋简体" w:hint="eastAsia"/>
          <w:sz w:val="32"/>
          <w:szCs w:val="32"/>
        </w:rPr>
        <w:t>；</w:t>
      </w:r>
      <w:r>
        <w:rPr>
          <w:rFonts w:eastAsia="方正仿宋简体" w:hAnsi="方正仿宋简体"/>
          <w:bCs/>
          <w:sz w:val="32"/>
          <w:szCs w:val="32"/>
        </w:rPr>
        <w:t>二是狠抓校园安全排查整改。联合安监、公安、消防、市场监管局、执法局等相关部门，多次从制度建设，设施设备、电路、体育设施、周边防溺水环境、安全教育、交通安全、食品卫生等方面的校园及周边安全工作开展自查与现场排查，做到问题不论大小，隐患不分明暗，第一时间发现，第一时间整改，平时注重抓小处、抓细处、抓暗处，将安全工作抓早、抓细、抓实、抓死、抓严。全年开展了</w:t>
      </w:r>
      <w:r>
        <w:rPr>
          <w:rFonts w:eastAsia="方正仿宋简体"/>
          <w:sz w:val="32"/>
          <w:szCs w:val="32"/>
        </w:rPr>
        <w:t>安全生产大检查活动6次， 开学安全督查4次， 教育系统扫黄打非专项行动1次，消防安全专项整治活动2次，累计排查出一般安全隐患6</w:t>
      </w:r>
      <w:r>
        <w:rPr>
          <w:rFonts w:eastAsia="方正仿宋简体" w:hint="eastAsia"/>
          <w:sz w:val="32"/>
          <w:szCs w:val="32"/>
        </w:rPr>
        <w:t>5</w:t>
      </w:r>
      <w:r>
        <w:rPr>
          <w:rFonts w:eastAsia="方正仿宋简体"/>
          <w:sz w:val="32"/>
          <w:szCs w:val="32"/>
        </w:rPr>
        <w:t>条，已整改</w:t>
      </w:r>
      <w:r>
        <w:rPr>
          <w:rFonts w:eastAsia="方正仿宋简体" w:hint="eastAsia"/>
          <w:sz w:val="32"/>
          <w:szCs w:val="32"/>
        </w:rPr>
        <w:t>65</w:t>
      </w:r>
      <w:r>
        <w:rPr>
          <w:rFonts w:eastAsia="方正仿宋简体"/>
          <w:sz w:val="32"/>
          <w:szCs w:val="32"/>
        </w:rPr>
        <w:t>条，重大危险化学药品安全隐患3条，未整改3条，地质灾害安全隐患2条，已经列入整改项目2条，已经整改1条，未整改1条，下发整改通知书28份</w:t>
      </w:r>
      <w:r>
        <w:rPr>
          <w:rFonts w:eastAsia="方正仿宋简体" w:hint="eastAsia"/>
          <w:sz w:val="32"/>
          <w:szCs w:val="32"/>
        </w:rPr>
        <w:t>，</w:t>
      </w:r>
      <w:r>
        <w:rPr>
          <w:rFonts w:eastAsia="方正仿宋简体"/>
          <w:sz w:val="32"/>
          <w:szCs w:val="32"/>
        </w:rPr>
        <w:t>已经整改26份。同时积极会同相关部门制定学校安全风险清单，建立动态监测和数据搜集、分析机制，及时为学校提供安全风险提示，不断净化校园及周边安全环境</w:t>
      </w:r>
      <w:r>
        <w:rPr>
          <w:rFonts w:eastAsia="方正仿宋简体" w:hint="eastAsia"/>
          <w:sz w:val="32"/>
          <w:szCs w:val="32"/>
        </w:rPr>
        <w:t>；</w:t>
      </w:r>
      <w:r>
        <w:rPr>
          <w:rFonts w:eastAsia="方正仿宋简体" w:hAnsi="方正仿宋简体"/>
          <w:bCs/>
          <w:sz w:val="32"/>
          <w:szCs w:val="32"/>
        </w:rPr>
        <w:t>三是加强安全警示教育，营造良好的校园安全氛围。为营造良好的安全教育氛围，一方面联合公安、司法、禁毒委等部门</w:t>
      </w:r>
      <w:r>
        <w:rPr>
          <w:rFonts w:eastAsia="方正仿宋简体"/>
          <w:sz w:val="32"/>
          <w:szCs w:val="32"/>
        </w:rPr>
        <w:t>开展“法治进校园”、“安全防范进校园”、 “健康人生、绿色无毒”演讲比赛等活动，发放禁毒防艾宣传资料近8</w:t>
      </w:r>
      <w:r>
        <w:rPr>
          <w:rFonts w:eastAsia="方正仿宋简体" w:hint="eastAsia"/>
          <w:sz w:val="32"/>
          <w:szCs w:val="32"/>
        </w:rPr>
        <w:t>万</w:t>
      </w:r>
      <w:r>
        <w:rPr>
          <w:rFonts w:eastAsia="方正仿宋简体"/>
          <w:sz w:val="32"/>
          <w:szCs w:val="32"/>
        </w:rPr>
        <w:t>册。另一方面通过课堂教学、专愿讲座、主题班会、主题活动、编发手册、参观实践、国旗下讲话等多种形式，开展校园预防欺凌和暴力专题教育，</w:t>
      </w:r>
      <w:r>
        <w:rPr>
          <w:rFonts w:eastAsia="方正仿宋简体" w:hAnsi="方正仿宋简体"/>
          <w:bCs/>
          <w:sz w:val="32"/>
          <w:szCs w:val="32"/>
        </w:rPr>
        <w:t>同时还创造性地开展了安全知识讲座、安全演示训练等安全预防教育，使学生接受了比较系统的防溺水、防交通事故、防触电、防食物中毒、防病、防体育运动伤害、防火、防盗、防震、防骗、拒毒防艾等安全知识和技能。</w:t>
      </w:r>
    </w:p>
    <w:p>
      <w:pPr>
        <w:spacing w:line="600" w:lineRule="exact"/>
        <w:ind w:firstLine="600" w:firstLineChars="200"/>
        <w:rPr>
          <w:rFonts w:ascii="黑体" w:eastAsia="黑体" w:hAnsi="黑体" w:hint="eastAsia"/>
          <w:sz w:val="30"/>
          <w:szCs w:val="30"/>
        </w:rPr>
      </w:pPr>
      <w:r>
        <w:rPr>
          <w:rFonts w:ascii="黑体" w:eastAsia="黑体" w:hAnsi="黑体" w:hint="eastAsia"/>
          <w:sz w:val="30"/>
          <w:szCs w:val="30"/>
        </w:rPr>
        <w:t>二、部门基本情况</w:t>
      </w:r>
    </w:p>
    <w:p>
      <w:pPr>
        <w:spacing w:line="600" w:lineRule="exact"/>
        <w:ind w:firstLine="600" w:firstLineChars="200"/>
        <w:rPr>
          <w:rFonts w:ascii="楷体" w:eastAsia="楷体" w:hAnsi="楷体" w:hint="eastAsia"/>
          <w:sz w:val="30"/>
          <w:szCs w:val="30"/>
        </w:rPr>
      </w:pPr>
      <w:r>
        <w:rPr>
          <w:rFonts w:ascii="楷体" w:eastAsia="楷体" w:hAnsi="楷体" w:hint="eastAsia"/>
          <w:sz w:val="30"/>
          <w:szCs w:val="30"/>
        </w:rPr>
        <w:t>（一）部门决算单位构成</w:t>
      </w:r>
    </w:p>
    <w:p>
      <w:pPr>
        <w:spacing w:line="600" w:lineRule="exact"/>
        <w:ind w:firstLine="600" w:firstLineChars="200"/>
        <w:rPr>
          <w:rFonts w:ascii="仿宋_GB2312" w:eastAsia="仿宋_GB2312" w:hint="eastAsia"/>
          <w:sz w:val="30"/>
          <w:szCs w:val="30"/>
        </w:rPr>
      </w:pPr>
      <w:r>
        <w:rPr>
          <w:rFonts w:ascii="仿宋_GB2312" w:eastAsia="仿宋_GB2312" w:hint="eastAsia"/>
          <w:sz w:val="30"/>
          <w:szCs w:val="30"/>
        </w:rPr>
        <w:t>纳入</w:t>
      </w:r>
      <w:r>
        <w:rPr>
          <w:rFonts w:ascii="仿宋_GB2312" w:eastAsia="仿宋_GB2312" w:hint="eastAsia"/>
          <w:sz w:val="30"/>
          <w:szCs w:val="30"/>
          <w:lang w:val="en-US" w:eastAsia="zh-CN"/>
        </w:rPr>
        <w:t>维西县教育局2018</w:t>
      </w:r>
      <w:r>
        <w:rPr>
          <w:rFonts w:ascii="仿宋_GB2312" w:eastAsia="仿宋_GB2312" w:hint="eastAsia"/>
          <w:sz w:val="30"/>
          <w:szCs w:val="30"/>
        </w:rPr>
        <w:t>年度部门决算编报的单位共</w:t>
      </w:r>
      <w:r>
        <w:rPr>
          <w:rFonts w:ascii="仿宋_GB2312" w:eastAsia="仿宋_GB2312" w:hint="eastAsia"/>
          <w:sz w:val="30"/>
          <w:szCs w:val="30"/>
          <w:lang w:val="en-US" w:eastAsia="zh-CN"/>
        </w:rPr>
        <w:t>1</w:t>
      </w:r>
      <w:r>
        <w:rPr>
          <w:rFonts w:ascii="仿宋_GB2312" w:eastAsia="仿宋_GB2312" w:hint="eastAsia"/>
          <w:sz w:val="30"/>
          <w:szCs w:val="30"/>
        </w:rPr>
        <w:t>个。其中：行政单位</w:t>
      </w:r>
      <w:r>
        <w:rPr>
          <w:rFonts w:ascii="仿宋_GB2312" w:eastAsia="仿宋_GB2312" w:hint="eastAsia"/>
          <w:sz w:val="30"/>
          <w:szCs w:val="30"/>
          <w:lang w:val="en-US" w:eastAsia="zh-CN"/>
        </w:rPr>
        <w:t>1</w:t>
      </w:r>
      <w:r>
        <w:rPr>
          <w:rFonts w:ascii="仿宋_GB2312" w:eastAsia="仿宋_GB2312" w:hint="eastAsia"/>
          <w:sz w:val="30"/>
          <w:szCs w:val="30"/>
        </w:rPr>
        <w:t>个，参照公务员法管理的事业单位</w:t>
      </w:r>
      <w:r>
        <w:rPr>
          <w:rFonts w:ascii="仿宋_GB2312" w:eastAsia="仿宋_GB2312" w:hint="eastAsia"/>
          <w:bCs/>
          <w:sz w:val="30"/>
          <w:szCs w:val="30"/>
          <w:lang w:val="en-US" w:eastAsia="zh-CN"/>
        </w:rPr>
        <w:t>0</w:t>
      </w:r>
      <w:r>
        <w:rPr>
          <w:rFonts w:ascii="仿宋_GB2312" w:eastAsia="仿宋_GB2312" w:hint="eastAsia"/>
          <w:sz w:val="30"/>
          <w:szCs w:val="30"/>
        </w:rPr>
        <w:t>个，其他事业单位</w:t>
      </w:r>
      <w:r>
        <w:rPr>
          <w:rFonts w:ascii="仿宋_GB2312" w:eastAsia="仿宋_GB2312" w:hint="eastAsia"/>
          <w:sz w:val="30"/>
          <w:szCs w:val="30"/>
          <w:lang w:val="en-US" w:eastAsia="zh-CN"/>
        </w:rPr>
        <w:t>0</w:t>
      </w:r>
      <w:r>
        <w:rPr>
          <w:rFonts w:ascii="仿宋_GB2312" w:eastAsia="仿宋_GB2312" w:hint="eastAsia"/>
          <w:sz w:val="30"/>
          <w:szCs w:val="30"/>
        </w:rPr>
        <w:t>个。</w:t>
      </w:r>
    </w:p>
    <w:p>
      <w:pPr>
        <w:ind w:firstLine="600" w:firstLineChars="200"/>
        <w:rPr>
          <w:rFonts w:ascii="楷体" w:eastAsia="楷体" w:hAnsi="楷体" w:hint="eastAsia"/>
          <w:sz w:val="30"/>
          <w:szCs w:val="30"/>
        </w:rPr>
      </w:pPr>
      <w:r>
        <w:rPr>
          <w:rFonts w:ascii="楷体" w:eastAsia="楷体" w:hAnsi="楷体" w:hint="eastAsia"/>
          <w:sz w:val="30"/>
          <w:szCs w:val="30"/>
        </w:rPr>
        <w:t>（二）部门人员和车辆的编制及</w:t>
      </w:r>
      <w:r>
        <w:rPr>
          <w:rFonts w:ascii="楷体" w:eastAsia="楷体" w:hAnsi="楷体" w:hint="eastAsia"/>
          <w:sz w:val="30"/>
          <w:szCs w:val="30"/>
          <w:highlight w:val="none"/>
        </w:rPr>
        <w:t>实有</w:t>
      </w:r>
      <w:r>
        <w:rPr>
          <w:rFonts w:ascii="楷体" w:eastAsia="楷体" w:hAnsi="楷体" w:hint="eastAsia"/>
          <w:sz w:val="30"/>
          <w:szCs w:val="30"/>
        </w:rPr>
        <w:t xml:space="preserve">情况 </w:t>
      </w:r>
    </w:p>
    <w:p>
      <w:pPr>
        <w:spacing w:line="600" w:lineRule="exact"/>
        <w:ind w:firstLine="600" w:firstLineChars="200"/>
        <w:rPr>
          <w:rFonts w:ascii="仿宋_GB2312" w:eastAsia="仿宋_GB2312" w:hAnsi="宋体" w:cs="Arial" w:hint="eastAsia"/>
          <w:kern w:val="0"/>
          <w:sz w:val="30"/>
          <w:szCs w:val="30"/>
        </w:rPr>
      </w:pPr>
      <w:r>
        <w:rPr>
          <w:rFonts w:ascii="仿宋_GB2312" w:eastAsia="仿宋_GB2312" w:hint="eastAsia"/>
          <w:sz w:val="30"/>
          <w:szCs w:val="30"/>
          <w:lang w:val="en-US" w:eastAsia="zh-CN"/>
        </w:rPr>
        <w:t>维西县</w:t>
      </w:r>
      <w:r>
        <w:rPr>
          <w:rFonts w:ascii="仿宋_GB2312" w:eastAsia="仿宋_GB2312" w:hint="eastAsia"/>
          <w:sz w:val="30"/>
          <w:szCs w:val="30"/>
        </w:rPr>
        <w:t>年末实有人员编制</w:t>
      </w:r>
      <w:r>
        <w:rPr>
          <w:rFonts w:ascii="仿宋_GB2312" w:eastAsia="仿宋_GB2312" w:hint="eastAsia"/>
          <w:sz w:val="30"/>
          <w:szCs w:val="30"/>
          <w:lang w:val="en-US" w:eastAsia="zh-CN"/>
        </w:rPr>
        <w:t>26</w:t>
      </w:r>
      <w:r>
        <w:rPr>
          <w:rFonts w:ascii="仿宋_GB2312" w:eastAsia="仿宋_GB2312" w:hAnsi="宋体" w:cs="Arial" w:hint="eastAsia"/>
          <w:kern w:val="0"/>
          <w:sz w:val="30"/>
          <w:szCs w:val="30"/>
        </w:rPr>
        <w:t>人。其中：行政编制</w:t>
      </w:r>
      <w:r>
        <w:rPr>
          <w:rFonts w:ascii="仿宋_GB2312" w:eastAsia="仿宋_GB2312" w:hint="eastAsia"/>
          <w:sz w:val="30"/>
          <w:szCs w:val="30"/>
          <w:lang w:val="en-US" w:eastAsia="zh-CN"/>
        </w:rPr>
        <w:t>13</w:t>
      </w:r>
      <w:r>
        <w:rPr>
          <w:rFonts w:ascii="仿宋_GB2312" w:eastAsia="仿宋_GB2312" w:hAnsi="宋体" w:cs="Arial" w:hint="eastAsia"/>
          <w:kern w:val="0"/>
          <w:sz w:val="30"/>
          <w:szCs w:val="30"/>
        </w:rPr>
        <w:t>人（含行政工勤编制</w:t>
      </w:r>
      <w:r>
        <w:rPr>
          <w:rFonts w:ascii="仿宋_GB2312" w:eastAsia="仿宋_GB2312" w:hint="eastAsia"/>
          <w:sz w:val="30"/>
          <w:szCs w:val="30"/>
          <w:lang w:val="en-US" w:eastAsia="zh-CN"/>
        </w:rPr>
        <w:t>2</w:t>
      </w:r>
      <w:r>
        <w:rPr>
          <w:rFonts w:ascii="仿宋_GB2312" w:eastAsia="仿宋_GB2312" w:hAnsi="宋体" w:cs="Arial" w:hint="eastAsia"/>
          <w:kern w:val="0"/>
          <w:sz w:val="30"/>
          <w:szCs w:val="30"/>
        </w:rPr>
        <w:t>人），事业编制</w:t>
      </w:r>
      <w:r>
        <w:rPr>
          <w:rFonts w:ascii="仿宋_GB2312" w:eastAsia="仿宋_GB2312" w:hint="eastAsia"/>
          <w:sz w:val="30"/>
          <w:szCs w:val="30"/>
          <w:lang w:val="en-US" w:eastAsia="zh-CN"/>
        </w:rPr>
        <w:t>13</w:t>
      </w:r>
      <w:r>
        <w:rPr>
          <w:rFonts w:ascii="仿宋_GB2312" w:eastAsia="仿宋_GB2312" w:hAnsi="宋体" w:cs="Arial" w:hint="eastAsia"/>
          <w:kern w:val="0"/>
          <w:sz w:val="30"/>
          <w:szCs w:val="30"/>
        </w:rPr>
        <w:t>人；在职在编实有行政人员</w:t>
      </w:r>
      <w:r>
        <w:rPr>
          <w:rFonts w:ascii="仿宋_GB2312" w:eastAsia="仿宋_GB2312" w:hint="eastAsia"/>
          <w:sz w:val="30"/>
          <w:szCs w:val="30"/>
          <w:lang w:val="en-US" w:eastAsia="zh-CN"/>
        </w:rPr>
        <w:t>13</w:t>
      </w:r>
      <w:r>
        <w:rPr>
          <w:rFonts w:ascii="仿宋_GB2312" w:eastAsia="仿宋_GB2312" w:hAnsi="宋体" w:cs="Arial" w:hint="eastAsia"/>
          <w:kern w:val="0"/>
          <w:sz w:val="30"/>
          <w:szCs w:val="30"/>
        </w:rPr>
        <w:t>人（含行政工勤人员</w:t>
      </w:r>
      <w:r>
        <w:rPr>
          <w:rFonts w:ascii="仿宋_GB2312" w:eastAsia="仿宋_GB2312" w:hint="eastAsia"/>
          <w:sz w:val="30"/>
          <w:szCs w:val="30"/>
          <w:lang w:val="en-US" w:eastAsia="zh-CN"/>
        </w:rPr>
        <w:t>2</w:t>
      </w:r>
      <w:r>
        <w:rPr>
          <w:rFonts w:ascii="仿宋_GB2312" w:eastAsia="仿宋_GB2312" w:hAnsi="宋体" w:cs="Arial" w:hint="eastAsia"/>
          <w:kern w:val="0"/>
          <w:sz w:val="30"/>
          <w:szCs w:val="30"/>
        </w:rPr>
        <w:t>人）</w:t>
      </w:r>
      <w:r>
        <w:rPr>
          <w:rFonts w:ascii="仿宋_GB2312" w:eastAsia="仿宋_GB2312" w:hAnsi="宋体" w:cs="Arial" w:hint="eastAsia"/>
          <w:kern w:val="0"/>
          <w:sz w:val="30"/>
          <w:szCs w:val="30"/>
          <w:lang w:eastAsia="zh-CN"/>
        </w:rPr>
        <w:t>，</w:t>
      </w:r>
      <w:r>
        <w:rPr>
          <w:rFonts w:ascii="仿宋_GB2312" w:eastAsia="仿宋_GB2312" w:hAnsi="宋体" w:cs="Arial" w:hint="eastAsia"/>
          <w:kern w:val="0"/>
          <w:sz w:val="30"/>
          <w:szCs w:val="30"/>
          <w:lang w:val="en-US" w:eastAsia="zh-CN"/>
        </w:rPr>
        <w:t>享受优惠政策5人</w:t>
      </w:r>
      <w:r>
        <w:rPr>
          <w:rFonts w:ascii="仿宋_GB2312" w:eastAsia="仿宋_GB2312" w:hAnsi="宋体" w:cs="Arial" w:hint="eastAsia"/>
          <w:kern w:val="0"/>
          <w:sz w:val="30"/>
          <w:szCs w:val="30"/>
        </w:rPr>
        <w:t>，事业人员</w:t>
      </w:r>
      <w:r>
        <w:rPr>
          <w:rFonts w:ascii="仿宋_GB2312" w:eastAsia="仿宋_GB2312" w:hint="eastAsia"/>
          <w:sz w:val="30"/>
          <w:szCs w:val="30"/>
          <w:lang w:val="en-US" w:eastAsia="zh-CN"/>
        </w:rPr>
        <w:t>13</w:t>
      </w:r>
      <w:r>
        <w:rPr>
          <w:rFonts w:ascii="仿宋_GB2312" w:eastAsia="仿宋_GB2312" w:hAnsi="宋体" w:cs="Arial" w:hint="eastAsia"/>
          <w:kern w:val="0"/>
          <w:sz w:val="30"/>
          <w:szCs w:val="30"/>
        </w:rPr>
        <w:t>人。</w:t>
      </w:r>
    </w:p>
    <w:p>
      <w:pPr>
        <w:spacing w:line="600" w:lineRule="exact"/>
        <w:ind w:firstLine="600" w:firstLineChars="200"/>
        <w:rPr>
          <w:rFonts w:ascii="仿宋_GB2312" w:eastAsia="仿宋_GB2312" w:hAnsi="宋体" w:cs="Arial" w:hint="eastAsia"/>
          <w:kern w:val="0"/>
          <w:sz w:val="30"/>
          <w:szCs w:val="30"/>
        </w:rPr>
      </w:pPr>
      <w:r>
        <w:rPr>
          <w:rFonts w:ascii="仿宋_GB2312" w:eastAsia="仿宋_GB2312" w:hAnsi="宋体" w:cs="Arial" w:hint="eastAsia"/>
          <w:kern w:val="0"/>
          <w:sz w:val="30"/>
          <w:szCs w:val="30"/>
        </w:rPr>
        <w:t>离退休人员</w:t>
      </w:r>
      <w:r>
        <w:rPr>
          <w:rFonts w:ascii="仿宋_GB2312" w:eastAsia="仿宋_GB2312" w:hint="eastAsia"/>
          <w:sz w:val="30"/>
          <w:szCs w:val="30"/>
          <w:lang w:val="en-US" w:eastAsia="zh-CN"/>
        </w:rPr>
        <w:t>25</w:t>
      </w:r>
      <w:r>
        <w:rPr>
          <w:rFonts w:ascii="仿宋_GB2312" w:eastAsia="仿宋_GB2312" w:hAnsi="宋体" w:cs="Arial" w:hint="eastAsia"/>
          <w:kern w:val="0"/>
          <w:sz w:val="30"/>
          <w:szCs w:val="30"/>
        </w:rPr>
        <w:t>人。其中：离休</w:t>
      </w:r>
      <w:r>
        <w:rPr>
          <w:rFonts w:ascii="仿宋_GB2312" w:eastAsia="仿宋_GB2312" w:hint="eastAsia"/>
          <w:sz w:val="30"/>
          <w:szCs w:val="30"/>
          <w:lang w:val="en-US" w:eastAsia="zh-CN"/>
        </w:rPr>
        <w:t>0</w:t>
      </w:r>
      <w:r>
        <w:rPr>
          <w:rFonts w:ascii="仿宋_GB2312" w:eastAsia="仿宋_GB2312" w:hAnsi="宋体" w:cs="Arial" w:hint="eastAsia"/>
          <w:kern w:val="0"/>
          <w:sz w:val="30"/>
          <w:szCs w:val="30"/>
        </w:rPr>
        <w:t>人，退休</w:t>
      </w:r>
      <w:r>
        <w:rPr>
          <w:rFonts w:ascii="仿宋_GB2312" w:eastAsia="仿宋_GB2312" w:hint="eastAsia"/>
          <w:sz w:val="30"/>
          <w:szCs w:val="30"/>
          <w:lang w:val="en-US" w:eastAsia="zh-CN"/>
        </w:rPr>
        <w:t>25</w:t>
      </w:r>
      <w:r>
        <w:rPr>
          <w:rFonts w:ascii="仿宋_GB2312" w:eastAsia="仿宋_GB2312" w:hAnsi="宋体" w:cs="Arial" w:hint="eastAsia"/>
          <w:kern w:val="0"/>
          <w:sz w:val="30"/>
          <w:szCs w:val="30"/>
        </w:rPr>
        <w:t>人。</w:t>
      </w:r>
    </w:p>
    <w:p>
      <w:pPr>
        <w:spacing w:line="600" w:lineRule="exact"/>
        <w:ind w:firstLine="600" w:firstLineChars="200"/>
        <w:rPr>
          <w:rFonts w:ascii="仿宋_GB2312" w:eastAsia="仿宋_GB2312" w:hAnsi="宋体" w:cs="Arial" w:hint="eastAsia"/>
          <w:kern w:val="0"/>
          <w:sz w:val="30"/>
          <w:szCs w:val="30"/>
        </w:rPr>
      </w:pPr>
      <w:r>
        <w:rPr>
          <w:rFonts w:ascii="仿宋_GB2312" w:eastAsia="仿宋_GB2312" w:hAnsi="宋体" w:cs="Arial" w:hint="eastAsia"/>
          <w:kern w:val="0"/>
          <w:sz w:val="30"/>
          <w:szCs w:val="30"/>
        </w:rPr>
        <w:t>实有车辆编制</w:t>
      </w:r>
      <w:r>
        <w:rPr>
          <w:rFonts w:ascii="仿宋_GB2312" w:eastAsia="仿宋_GB2312" w:hint="eastAsia"/>
          <w:sz w:val="30"/>
          <w:szCs w:val="30"/>
          <w:lang w:val="en-US" w:eastAsia="zh-CN"/>
        </w:rPr>
        <w:t>3</w:t>
      </w:r>
      <w:r>
        <w:rPr>
          <w:rFonts w:ascii="仿宋_GB2312" w:eastAsia="仿宋_GB2312" w:hAnsi="宋体" w:cs="Arial" w:hint="eastAsia"/>
          <w:kern w:val="0"/>
          <w:sz w:val="30"/>
          <w:szCs w:val="30"/>
        </w:rPr>
        <w:t>辆，在编实有车辆</w:t>
      </w:r>
      <w:r>
        <w:rPr>
          <w:rFonts w:ascii="仿宋_GB2312" w:eastAsia="仿宋_GB2312" w:hint="eastAsia"/>
          <w:sz w:val="30"/>
          <w:szCs w:val="30"/>
          <w:lang w:val="en-US" w:eastAsia="zh-CN"/>
        </w:rPr>
        <w:t>2</w:t>
      </w:r>
      <w:r>
        <w:rPr>
          <w:rFonts w:ascii="仿宋_GB2312" w:eastAsia="仿宋_GB2312" w:hAnsi="宋体" w:cs="Arial" w:hint="eastAsia"/>
          <w:kern w:val="0"/>
          <w:sz w:val="30"/>
          <w:szCs w:val="30"/>
        </w:rPr>
        <w:t>辆。</w:t>
      </w:r>
    </w:p>
    <w:p>
      <w:pPr>
        <w:spacing w:line="600" w:lineRule="exact"/>
        <w:ind w:firstLine="600" w:firstLineChars="200"/>
        <w:rPr>
          <w:rFonts w:ascii="仿宋_GB2312" w:eastAsia="仿宋_GB2312" w:hAnsi="Arial" w:cs="Arial" w:hint="eastAsia"/>
          <w:kern w:val="0"/>
          <w:sz w:val="30"/>
          <w:szCs w:val="30"/>
        </w:rPr>
      </w:pPr>
    </w:p>
    <w:p>
      <w:pPr>
        <w:jc w:val="center"/>
        <w:rPr>
          <w:rFonts w:ascii="黑体" w:eastAsia="黑体" w:hAnsi="黑体" w:hint="eastAsia"/>
          <w:sz w:val="32"/>
          <w:szCs w:val="32"/>
        </w:rPr>
      </w:pPr>
      <w:r>
        <w:rPr>
          <w:rFonts w:ascii="黑体" w:eastAsia="黑体" w:hAnsi="黑体" w:hint="eastAsia"/>
          <w:sz w:val="32"/>
          <w:szCs w:val="32"/>
        </w:rPr>
        <w:t>第二部分</w:t>
      </w:r>
      <w:r>
        <w:rPr>
          <w:rFonts w:ascii="黑体" w:eastAsia="黑体" w:hAnsi="黑体" w:hint="eastAsia"/>
          <w:sz w:val="32"/>
          <w:szCs w:val="32"/>
          <w:lang w:val="en-US" w:eastAsia="zh-CN"/>
        </w:rPr>
        <w:t>2018</w:t>
      </w:r>
      <w:r>
        <w:rPr>
          <w:rFonts w:ascii="黑体" w:eastAsia="黑体" w:hAnsi="黑体" w:hint="eastAsia"/>
          <w:sz w:val="32"/>
          <w:szCs w:val="32"/>
        </w:rPr>
        <w:t>年度部门决算表</w:t>
      </w:r>
    </w:p>
    <w:p>
      <w:pPr>
        <w:spacing w:line="600" w:lineRule="exact"/>
        <w:ind w:firstLine="600" w:firstLineChars="200"/>
        <w:jc w:val="center"/>
        <w:rPr>
          <w:rFonts w:ascii="仿宋_GB2312" w:eastAsia="仿宋_GB2312" w:hint="eastAsia"/>
          <w:sz w:val="30"/>
          <w:szCs w:val="30"/>
        </w:rPr>
      </w:pPr>
      <w:r>
        <w:rPr>
          <w:rFonts w:ascii="仿宋_GB2312" w:eastAsia="仿宋_GB2312" w:hint="eastAsia"/>
          <w:sz w:val="30"/>
          <w:szCs w:val="30"/>
        </w:rPr>
        <w:t>（详见附件）</w:t>
      </w:r>
    </w:p>
    <w:p>
      <w:pPr>
        <w:spacing w:line="600" w:lineRule="exact"/>
        <w:ind w:firstLine="600" w:firstLineChars="200"/>
        <w:jc w:val="center"/>
        <w:rPr>
          <w:rFonts w:ascii="仿宋_GB2312" w:eastAsia="仿宋_GB2312" w:hint="eastAsia"/>
          <w:sz w:val="30"/>
          <w:szCs w:val="30"/>
        </w:rPr>
      </w:pPr>
    </w:p>
    <w:p>
      <w:pPr>
        <w:jc w:val="center"/>
        <w:rPr>
          <w:rFonts w:ascii="黑体" w:eastAsia="黑体" w:hAnsi="黑体" w:hint="eastAsia"/>
          <w:sz w:val="32"/>
          <w:szCs w:val="32"/>
        </w:rPr>
      </w:pPr>
      <w:r>
        <w:rPr>
          <w:rFonts w:ascii="黑体" w:eastAsia="黑体" w:hAnsi="黑体" w:hint="eastAsia"/>
          <w:sz w:val="32"/>
          <w:szCs w:val="32"/>
        </w:rPr>
        <w:t>第三部</w:t>
      </w:r>
      <w:r>
        <w:rPr>
          <w:rFonts w:ascii="黑体" w:eastAsia="黑体" w:hAnsi="黑体" w:hint="eastAsia"/>
          <w:sz w:val="32"/>
          <w:szCs w:val="32"/>
          <w:lang w:eastAsia="zh-CN"/>
        </w:rPr>
        <w:t>分</w:t>
      </w:r>
      <w:r>
        <w:rPr>
          <w:rFonts w:ascii="黑体" w:eastAsia="黑体" w:hAnsi="黑体" w:hint="eastAsia"/>
          <w:sz w:val="32"/>
          <w:szCs w:val="32"/>
        </w:rPr>
        <w:t xml:space="preserve">  </w:t>
      </w:r>
      <w:r>
        <w:rPr>
          <w:rFonts w:ascii="黑体" w:eastAsia="黑体" w:hAnsi="黑体" w:hint="eastAsia"/>
          <w:sz w:val="32"/>
          <w:szCs w:val="32"/>
          <w:lang w:val="en-US" w:eastAsia="zh-CN"/>
        </w:rPr>
        <w:t>2018</w:t>
      </w:r>
      <w:r>
        <w:rPr>
          <w:rFonts w:ascii="黑体" w:eastAsia="黑体" w:hAnsi="黑体" w:hint="eastAsia"/>
          <w:sz w:val="32"/>
          <w:szCs w:val="32"/>
        </w:rPr>
        <w:t>年度部门决算情况说明</w:t>
      </w:r>
    </w:p>
    <w:p>
      <w:pPr>
        <w:ind w:firstLine="600" w:firstLineChars="200"/>
        <w:jc w:val="left"/>
        <w:rPr>
          <w:rFonts w:ascii="黑体" w:eastAsia="黑体" w:hAnsi="黑体" w:hint="eastAsia"/>
          <w:sz w:val="30"/>
          <w:szCs w:val="30"/>
        </w:rPr>
      </w:pPr>
      <w:r>
        <w:rPr>
          <w:rFonts w:ascii="黑体" w:eastAsia="黑体" w:hAnsi="黑体" w:hint="eastAsia"/>
          <w:sz w:val="30"/>
          <w:szCs w:val="30"/>
        </w:rPr>
        <w:t>一、收入决算情况说明</w:t>
      </w:r>
    </w:p>
    <w:p>
      <w:pPr>
        <w:widowControl/>
        <w:snapToGrid w:val="0"/>
        <w:spacing w:before="100" w:after="100" w:line="600" w:lineRule="exact"/>
        <w:ind w:firstLine="538"/>
        <w:jc w:val="left"/>
        <w:rPr>
          <w:rFonts w:ascii="仿宋_GB2312" w:eastAsia="仿宋_GB2312" w:hint="eastAsia"/>
          <w:sz w:val="30"/>
          <w:szCs w:val="30"/>
        </w:rPr>
      </w:pPr>
      <w:r>
        <w:rPr>
          <w:rFonts w:ascii="仿宋_GB2312" w:eastAsia="仿宋_GB2312" w:hint="eastAsia"/>
          <w:sz w:val="30"/>
          <w:szCs w:val="30"/>
          <w:lang w:val="en-US" w:eastAsia="zh-CN"/>
        </w:rPr>
        <w:t>维西县教育局2018</w:t>
      </w:r>
      <w:r>
        <w:rPr>
          <w:rFonts w:ascii="仿宋_GB2312" w:eastAsia="仿宋_GB2312" w:hint="eastAsia"/>
          <w:sz w:val="30"/>
          <w:szCs w:val="30"/>
        </w:rPr>
        <w:t>年度收入合计</w:t>
      </w:r>
      <w:r>
        <w:rPr>
          <w:rFonts w:ascii="仿宋_GB2312" w:eastAsia="仿宋_GB2312" w:hint="eastAsia"/>
          <w:sz w:val="30"/>
          <w:szCs w:val="30"/>
          <w:lang w:val="en-US" w:eastAsia="zh-CN"/>
        </w:rPr>
        <w:t>18482.3</w:t>
      </w:r>
      <w:r>
        <w:rPr>
          <w:rFonts w:ascii="仿宋_GB2312" w:eastAsia="仿宋_GB2312" w:hint="eastAsia"/>
          <w:sz w:val="30"/>
          <w:szCs w:val="30"/>
        </w:rPr>
        <w:t>万元。其中：财政拨款收入</w:t>
      </w:r>
      <w:r>
        <w:rPr>
          <w:rFonts w:ascii="仿宋_GB2312" w:eastAsia="仿宋_GB2312" w:hint="eastAsia"/>
          <w:sz w:val="30"/>
          <w:szCs w:val="30"/>
          <w:lang w:val="en-US" w:eastAsia="zh-CN"/>
        </w:rPr>
        <w:t>15771.68</w:t>
      </w:r>
      <w:r>
        <w:rPr>
          <w:rFonts w:ascii="仿宋_GB2312" w:eastAsia="仿宋_GB2312" w:hint="eastAsia"/>
          <w:sz w:val="30"/>
          <w:szCs w:val="30"/>
        </w:rPr>
        <w:t>万元，占总收入的</w:t>
      </w:r>
      <w:r>
        <w:rPr>
          <w:rFonts w:ascii="仿宋_GB2312" w:eastAsia="仿宋_GB2312" w:hint="eastAsia"/>
          <w:sz w:val="30"/>
          <w:szCs w:val="30"/>
          <w:lang w:val="en-US" w:eastAsia="zh-CN"/>
        </w:rPr>
        <w:t>85.33</w:t>
      </w:r>
      <w:r>
        <w:rPr>
          <w:rFonts w:ascii="仿宋_GB2312" w:eastAsia="仿宋_GB2312" w:hint="eastAsia"/>
          <w:sz w:val="30"/>
          <w:szCs w:val="30"/>
        </w:rPr>
        <w:t>%；上级补助收入</w:t>
      </w:r>
      <w:r>
        <w:rPr>
          <w:rFonts w:ascii="仿宋_GB2312" w:eastAsia="仿宋_GB2312" w:hint="eastAsia"/>
          <w:sz w:val="30"/>
          <w:szCs w:val="30"/>
          <w:lang w:val="en-US" w:eastAsia="zh-CN"/>
        </w:rPr>
        <w:t>0</w:t>
      </w:r>
      <w:r>
        <w:rPr>
          <w:rFonts w:ascii="仿宋_GB2312" w:eastAsia="仿宋_GB2312" w:hint="eastAsia"/>
          <w:sz w:val="30"/>
          <w:szCs w:val="30"/>
        </w:rPr>
        <w:t>万元，占总收入的</w:t>
      </w:r>
      <w:r>
        <w:rPr>
          <w:rFonts w:ascii="仿宋_GB2312" w:eastAsia="仿宋_GB2312" w:hint="eastAsia"/>
          <w:sz w:val="30"/>
          <w:szCs w:val="30"/>
          <w:lang w:val="en-US" w:eastAsia="zh-CN"/>
        </w:rPr>
        <w:t>0</w:t>
      </w:r>
      <w:r>
        <w:rPr>
          <w:rFonts w:ascii="仿宋_GB2312" w:eastAsia="仿宋_GB2312" w:hint="eastAsia"/>
          <w:sz w:val="30"/>
          <w:szCs w:val="30"/>
        </w:rPr>
        <w:t>%；事业收入</w:t>
      </w:r>
      <w:r>
        <w:rPr>
          <w:rFonts w:ascii="仿宋_GB2312" w:eastAsia="仿宋_GB2312" w:hint="eastAsia"/>
          <w:sz w:val="30"/>
          <w:szCs w:val="30"/>
          <w:lang w:val="en-US" w:eastAsia="zh-CN"/>
        </w:rPr>
        <w:t>0</w:t>
      </w:r>
      <w:r>
        <w:rPr>
          <w:rFonts w:ascii="仿宋_GB2312" w:eastAsia="仿宋_GB2312" w:hint="eastAsia"/>
          <w:sz w:val="30"/>
          <w:szCs w:val="30"/>
        </w:rPr>
        <w:t>万元，占总收入的</w:t>
      </w:r>
      <w:r>
        <w:rPr>
          <w:rFonts w:ascii="仿宋_GB2312" w:eastAsia="仿宋_GB2312" w:hint="eastAsia"/>
          <w:sz w:val="30"/>
          <w:szCs w:val="30"/>
          <w:lang w:val="en-US" w:eastAsia="zh-CN"/>
        </w:rPr>
        <w:t>0</w:t>
      </w:r>
      <w:r>
        <w:rPr>
          <w:rFonts w:ascii="仿宋_GB2312" w:eastAsia="仿宋_GB2312" w:hint="eastAsia"/>
          <w:sz w:val="30"/>
          <w:szCs w:val="30"/>
        </w:rPr>
        <w:t>%；经营收入</w:t>
      </w:r>
      <w:r>
        <w:rPr>
          <w:rFonts w:ascii="仿宋_GB2312" w:eastAsia="仿宋_GB2312" w:hint="eastAsia"/>
          <w:sz w:val="30"/>
          <w:szCs w:val="30"/>
          <w:lang w:val="en-US" w:eastAsia="zh-CN"/>
        </w:rPr>
        <w:t>0</w:t>
      </w:r>
      <w:r>
        <w:rPr>
          <w:rFonts w:ascii="仿宋_GB2312" w:eastAsia="仿宋_GB2312" w:hint="eastAsia"/>
          <w:sz w:val="30"/>
          <w:szCs w:val="30"/>
        </w:rPr>
        <w:t>万元，占总收入的</w:t>
      </w:r>
      <w:r>
        <w:rPr>
          <w:rFonts w:ascii="仿宋_GB2312" w:eastAsia="仿宋_GB2312" w:hint="eastAsia"/>
          <w:sz w:val="30"/>
          <w:szCs w:val="30"/>
          <w:lang w:val="en-US" w:eastAsia="zh-CN"/>
        </w:rPr>
        <w:t>0</w:t>
      </w:r>
      <w:r>
        <w:rPr>
          <w:rFonts w:ascii="仿宋_GB2312" w:eastAsia="仿宋_GB2312" w:hint="eastAsia"/>
          <w:sz w:val="30"/>
          <w:szCs w:val="30"/>
        </w:rPr>
        <w:t>%；附属单位缴款收入</w:t>
      </w:r>
      <w:r>
        <w:rPr>
          <w:rFonts w:ascii="仿宋_GB2312" w:eastAsia="仿宋_GB2312" w:hint="eastAsia"/>
          <w:sz w:val="30"/>
          <w:szCs w:val="30"/>
          <w:lang w:val="en-US" w:eastAsia="zh-CN"/>
        </w:rPr>
        <w:t>0</w:t>
      </w:r>
      <w:r>
        <w:rPr>
          <w:rFonts w:ascii="仿宋_GB2312" w:eastAsia="仿宋_GB2312" w:hint="eastAsia"/>
          <w:sz w:val="30"/>
          <w:szCs w:val="30"/>
        </w:rPr>
        <w:t>万元，占总收入的</w:t>
      </w:r>
      <w:r>
        <w:rPr>
          <w:rFonts w:ascii="仿宋_GB2312" w:eastAsia="仿宋_GB2312" w:hint="eastAsia"/>
          <w:sz w:val="30"/>
          <w:szCs w:val="30"/>
          <w:lang w:val="en-US" w:eastAsia="zh-CN"/>
        </w:rPr>
        <w:t>0</w:t>
      </w:r>
      <w:r>
        <w:rPr>
          <w:rFonts w:ascii="仿宋_GB2312" w:eastAsia="仿宋_GB2312" w:hint="eastAsia"/>
          <w:sz w:val="30"/>
          <w:szCs w:val="30"/>
        </w:rPr>
        <w:t>%；其他收入</w:t>
      </w:r>
      <w:r>
        <w:rPr>
          <w:rFonts w:ascii="仿宋_GB2312" w:eastAsia="仿宋_GB2312" w:hint="eastAsia"/>
          <w:sz w:val="30"/>
          <w:szCs w:val="30"/>
          <w:lang w:val="en-US" w:eastAsia="zh-CN"/>
        </w:rPr>
        <w:t>2710.61</w:t>
      </w:r>
      <w:r>
        <w:rPr>
          <w:rFonts w:ascii="仿宋_GB2312" w:eastAsia="仿宋_GB2312" w:hint="eastAsia"/>
          <w:sz w:val="30"/>
          <w:szCs w:val="30"/>
        </w:rPr>
        <w:t>万元，占总收入的</w:t>
      </w:r>
      <w:r>
        <w:rPr>
          <w:rFonts w:ascii="仿宋_GB2312" w:eastAsia="仿宋_GB2312" w:hint="eastAsia"/>
          <w:sz w:val="30"/>
          <w:szCs w:val="30"/>
          <w:lang w:val="en-US" w:eastAsia="zh-CN"/>
        </w:rPr>
        <w:t>14.67</w:t>
      </w:r>
      <w:r>
        <w:rPr>
          <w:rFonts w:ascii="仿宋_GB2312" w:eastAsia="仿宋_GB2312" w:hint="eastAsia"/>
          <w:sz w:val="30"/>
          <w:szCs w:val="30"/>
        </w:rPr>
        <w:t>%。</w:t>
      </w:r>
    </w:p>
    <w:p>
      <w:pPr>
        <w:widowControl/>
        <w:snapToGrid w:val="0"/>
        <w:spacing w:before="100" w:after="100" w:line="600" w:lineRule="exact"/>
        <w:ind w:firstLine="538"/>
        <w:jc w:val="left"/>
        <w:rPr>
          <w:rFonts w:ascii="仿宋_GB2312" w:eastAsia="仿宋_GB2312" w:hint="eastAsia"/>
          <w:sz w:val="30"/>
          <w:szCs w:val="30"/>
        </w:rPr>
      </w:pPr>
      <w:r>
        <w:rPr>
          <w:rFonts w:ascii="仿宋_GB2312" w:eastAsia="仿宋_GB2312" w:hAnsi="仿宋" w:cs="Times New Roman" w:hint="eastAsia"/>
          <w:color w:val="000000"/>
          <w:sz w:val="32"/>
          <w:szCs w:val="32"/>
          <w:lang w:eastAsia="zh-CN"/>
        </w:rPr>
        <w:t>本年收入本年度18482.</w:t>
      </w:r>
      <w:r>
        <w:rPr>
          <w:rFonts w:ascii="仿宋_GB2312" w:eastAsia="仿宋_GB2312" w:hAnsi="仿宋" w:cs="Times New Roman" w:hint="eastAsia"/>
          <w:color w:val="000000"/>
          <w:sz w:val="32"/>
          <w:szCs w:val="32"/>
          <w:lang w:val="en-US" w:eastAsia="zh-CN"/>
        </w:rPr>
        <w:t>3</w:t>
      </w:r>
      <w:r>
        <w:rPr>
          <w:rFonts w:ascii="仿宋_GB2312" w:eastAsia="仿宋_GB2312" w:hAnsi="仿宋" w:cs="Times New Roman" w:hint="eastAsia"/>
          <w:color w:val="000000"/>
          <w:sz w:val="32"/>
          <w:szCs w:val="32"/>
          <w:lang w:eastAsia="zh-CN"/>
        </w:rPr>
        <w:t>万元，2017年8720.</w:t>
      </w:r>
      <w:r>
        <w:rPr>
          <w:rFonts w:ascii="仿宋_GB2312" w:eastAsia="仿宋_GB2312" w:hAnsi="仿宋" w:cs="Times New Roman" w:hint="eastAsia"/>
          <w:color w:val="000000"/>
          <w:sz w:val="32"/>
          <w:szCs w:val="32"/>
          <w:lang w:val="en-US" w:eastAsia="zh-CN"/>
        </w:rPr>
        <w:t>7</w:t>
      </w:r>
      <w:r>
        <w:rPr>
          <w:rFonts w:ascii="仿宋_GB2312" w:eastAsia="仿宋_GB2312" w:hAnsi="仿宋" w:cs="Times New Roman" w:hint="eastAsia"/>
          <w:color w:val="000000"/>
          <w:sz w:val="32"/>
          <w:szCs w:val="32"/>
          <w:lang w:eastAsia="zh-CN"/>
        </w:rPr>
        <w:t>万元，比上年增</w:t>
      </w:r>
      <w:r>
        <w:rPr>
          <w:rFonts w:ascii="仿宋_GB2312" w:eastAsia="仿宋_GB2312" w:hAnsi="仿宋" w:cs="Times New Roman" w:hint="eastAsia"/>
          <w:color w:val="000000"/>
          <w:sz w:val="32"/>
          <w:szCs w:val="32"/>
          <w:lang w:val="en-US" w:eastAsia="zh-CN"/>
        </w:rPr>
        <w:t>加</w:t>
      </w:r>
      <w:r>
        <w:rPr>
          <w:rFonts w:ascii="仿宋_GB2312" w:eastAsia="仿宋_GB2312" w:hAnsi="仿宋" w:cs="Times New Roman" w:hint="eastAsia"/>
          <w:color w:val="000000"/>
          <w:sz w:val="32"/>
          <w:szCs w:val="32"/>
          <w:lang w:eastAsia="zh-CN"/>
        </w:rPr>
        <w:t>9761.6</w:t>
      </w:r>
      <w:r>
        <w:rPr>
          <w:rFonts w:ascii="仿宋_GB2312" w:eastAsia="仿宋_GB2312" w:hAnsi="仿宋" w:cs="Times New Roman" w:hint="eastAsia"/>
          <w:color w:val="000000"/>
          <w:sz w:val="32"/>
          <w:szCs w:val="32"/>
          <w:lang w:val="en-US" w:eastAsia="zh-CN"/>
        </w:rPr>
        <w:t>万元</w:t>
      </w:r>
      <w:r>
        <w:rPr>
          <w:rFonts w:ascii="仿宋_GB2312" w:eastAsia="仿宋_GB2312" w:hAnsi="仿宋" w:cs="Times New Roman" w:hint="eastAsia"/>
          <w:color w:val="000000"/>
          <w:sz w:val="32"/>
          <w:szCs w:val="32"/>
          <w:lang w:eastAsia="zh-CN"/>
        </w:rPr>
        <w:t>，增减比列为111.94</w:t>
      </w:r>
      <w:r>
        <w:rPr>
          <w:rFonts w:ascii="仿宋_GB2312" w:eastAsia="仿宋_GB2312" w:hAnsi="仿宋" w:cs="Times New Roman" w:hint="eastAsia"/>
          <w:color w:val="000000"/>
          <w:sz w:val="32"/>
          <w:szCs w:val="32"/>
          <w:lang w:val="en-US" w:eastAsia="zh-CN"/>
        </w:rPr>
        <w:t>%</w:t>
      </w:r>
      <w:r>
        <w:rPr>
          <w:rFonts w:ascii="仿宋_GB2312" w:eastAsia="仿宋_GB2312" w:hAnsi="仿宋" w:cs="Times New Roman" w:hint="eastAsia"/>
          <w:color w:val="000000"/>
          <w:sz w:val="32"/>
          <w:szCs w:val="32"/>
          <w:lang w:eastAsia="zh-CN"/>
        </w:rPr>
        <w:t>，原因为：本年开始下达三区三州项目资金，导致收入增加。</w:t>
      </w:r>
    </w:p>
    <w:p>
      <w:pPr>
        <w:ind w:firstLine="600" w:firstLineChars="200"/>
        <w:jc w:val="left"/>
        <w:rPr>
          <w:rFonts w:ascii="黑体" w:eastAsia="黑体" w:hAnsi="黑体" w:hint="eastAsia"/>
          <w:sz w:val="30"/>
          <w:szCs w:val="30"/>
        </w:rPr>
      </w:pPr>
      <w:r>
        <w:drawing>
          <wp:inline distT="0" distB="0" distL="114300" distR="114300">
            <wp:extent cx="6350000" cy="6235700"/>
            <wp:effectExtent l="0" t="0" r="12700" b="12700"/>
            <wp:docPr id="2" name="Drawing 5" descr="收入结构分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795345" name="Drawing 5" descr="收入结构分析"/>
                    <pic:cNvPicPr>
                      <a:picLocks noChangeAspect="1"/>
                    </pic:cNvPicPr>
                  </pic:nvPicPr>
                  <pic:blipFill>
                    <a:blip xmlns:r="http://schemas.openxmlformats.org/officeDocument/2006/relationships" r:embed="rId5"/>
                    <a:stretch>
                      <a:fillRect/>
                    </a:stretch>
                  </pic:blipFill>
                  <pic:spPr>
                    <a:xfrm>
                      <a:off x="0" y="0"/>
                      <a:ext cx="6350000" cy="6235700"/>
                    </a:xfrm>
                    <a:prstGeom prst="rect">
                      <a:avLst/>
                    </a:prstGeom>
                    <a:noFill/>
                    <a:ln>
                      <a:noFill/>
                    </a:ln>
                  </pic:spPr>
                </pic:pic>
              </a:graphicData>
            </a:graphic>
          </wp:inline>
        </w:drawing>
      </w:r>
      <w:r>
        <w:rPr>
          <w:rFonts w:ascii="黑体" w:eastAsia="黑体" w:hAnsi="黑体" w:hint="eastAsia"/>
          <w:sz w:val="30"/>
          <w:szCs w:val="30"/>
        </w:rPr>
        <w:t>二、支出决算情况说明</w:t>
      </w:r>
    </w:p>
    <w:p>
      <w:pPr>
        <w:ind w:firstLine="709"/>
        <w:rPr>
          <w:rFonts w:ascii="仿宋_GB2312" w:eastAsia="仿宋_GB2312" w:hAnsi="宋体" w:cs="Arial" w:hint="eastAsia"/>
          <w:kern w:val="0"/>
          <w:sz w:val="30"/>
          <w:szCs w:val="30"/>
        </w:rPr>
      </w:pPr>
      <w:r>
        <w:rPr>
          <w:rFonts w:ascii="仿宋_GB2312" w:eastAsia="仿宋_GB2312" w:hint="eastAsia"/>
          <w:sz w:val="30"/>
          <w:szCs w:val="30"/>
          <w:lang w:val="en-US" w:eastAsia="zh-CN"/>
        </w:rPr>
        <w:t>维西县教育局2018</w:t>
      </w:r>
      <w:r>
        <w:rPr>
          <w:rFonts w:ascii="仿宋_GB2312" w:eastAsia="仿宋_GB2312" w:hint="eastAsia"/>
          <w:sz w:val="30"/>
          <w:szCs w:val="30"/>
        </w:rPr>
        <w:t>年度支出合计</w:t>
      </w:r>
      <w:r>
        <w:rPr>
          <w:rFonts w:ascii="仿宋_GB2312" w:eastAsia="仿宋_GB2312" w:hint="eastAsia"/>
          <w:sz w:val="30"/>
          <w:szCs w:val="30"/>
          <w:lang w:val="en-US" w:eastAsia="zh-CN"/>
        </w:rPr>
        <w:t>11666.87</w:t>
      </w:r>
      <w:r>
        <w:rPr>
          <w:rFonts w:ascii="仿宋_GB2312" w:eastAsia="仿宋_GB2312" w:hint="eastAsia"/>
          <w:sz w:val="30"/>
          <w:szCs w:val="30"/>
        </w:rPr>
        <w:t>万元。其中：</w:t>
      </w:r>
      <w:r>
        <w:rPr>
          <w:rFonts w:ascii="仿宋_GB2312" w:eastAsia="仿宋_GB2312" w:hAnsi="宋体" w:cs="Arial" w:hint="eastAsia"/>
          <w:kern w:val="0"/>
          <w:sz w:val="30"/>
          <w:szCs w:val="30"/>
        </w:rPr>
        <w:t>基本支出</w:t>
      </w:r>
      <w:r>
        <w:rPr>
          <w:rFonts w:ascii="仿宋_GB2312" w:eastAsia="仿宋_GB2312" w:hint="eastAsia"/>
          <w:sz w:val="30"/>
          <w:szCs w:val="30"/>
          <w:lang w:val="en-US" w:eastAsia="zh-CN"/>
        </w:rPr>
        <w:t>4386.18</w:t>
      </w:r>
      <w:r>
        <w:rPr>
          <w:rFonts w:ascii="仿宋_GB2312" w:eastAsia="仿宋_GB2312" w:hAnsi="宋体" w:cs="Arial" w:hint="eastAsia"/>
          <w:kern w:val="0"/>
          <w:sz w:val="30"/>
          <w:szCs w:val="30"/>
        </w:rPr>
        <w:t>万元，占总支出的</w:t>
      </w:r>
      <w:r>
        <w:rPr>
          <w:rFonts w:ascii="仿宋_GB2312" w:eastAsia="仿宋_GB2312" w:hint="eastAsia"/>
          <w:sz w:val="30"/>
          <w:szCs w:val="30"/>
          <w:lang w:val="en-US" w:eastAsia="zh-CN"/>
        </w:rPr>
        <w:t>38</w:t>
      </w:r>
      <w:r>
        <w:rPr>
          <w:rFonts w:ascii="仿宋_GB2312" w:eastAsia="仿宋_GB2312" w:hAnsi="宋体" w:cs="Arial" w:hint="eastAsia"/>
          <w:kern w:val="0"/>
          <w:sz w:val="30"/>
          <w:szCs w:val="30"/>
        </w:rPr>
        <w:t>％；项目支出</w:t>
      </w:r>
      <w:r>
        <w:rPr>
          <w:rFonts w:ascii="仿宋_GB2312" w:eastAsia="仿宋_GB2312" w:hint="eastAsia"/>
          <w:sz w:val="30"/>
          <w:szCs w:val="30"/>
          <w:lang w:val="en-US" w:eastAsia="zh-CN"/>
        </w:rPr>
        <w:t>7280.69</w:t>
      </w:r>
      <w:r>
        <w:rPr>
          <w:rFonts w:ascii="仿宋_GB2312" w:eastAsia="仿宋_GB2312" w:hAnsi="宋体" w:cs="Arial" w:hint="eastAsia"/>
          <w:kern w:val="0"/>
          <w:sz w:val="30"/>
          <w:szCs w:val="30"/>
        </w:rPr>
        <w:t>万元，占总支出的</w:t>
      </w:r>
      <w:r>
        <w:rPr>
          <w:rFonts w:ascii="仿宋_GB2312" w:eastAsia="仿宋_GB2312" w:hint="eastAsia"/>
          <w:sz w:val="30"/>
          <w:szCs w:val="30"/>
          <w:lang w:val="en-US" w:eastAsia="zh-CN"/>
        </w:rPr>
        <w:t>62</w:t>
      </w:r>
      <w:r>
        <w:rPr>
          <w:rFonts w:ascii="仿宋_GB2312" w:eastAsia="仿宋_GB2312" w:hAnsi="宋体" w:cs="Arial" w:hint="eastAsia"/>
          <w:kern w:val="0"/>
          <w:sz w:val="30"/>
          <w:szCs w:val="30"/>
        </w:rPr>
        <w:t>％。</w:t>
      </w:r>
    </w:p>
    <w:p>
      <w:pPr>
        <w:ind w:firstLine="709"/>
        <w:rPr>
          <w:rFonts w:ascii="仿宋_GB2312" w:eastAsia="仿宋_GB2312" w:hAnsi="仿宋" w:cs="Times New Roman" w:hint="eastAsia"/>
          <w:color w:val="000000"/>
          <w:sz w:val="32"/>
          <w:szCs w:val="32"/>
          <w:lang w:eastAsia="zh-CN"/>
        </w:rPr>
      </w:pPr>
      <w:r>
        <w:rPr>
          <w:rFonts w:ascii="仿宋_GB2312" w:eastAsia="仿宋_GB2312" w:hAnsi="仿宋" w:cs="Times New Roman" w:hint="eastAsia"/>
          <w:color w:val="000000"/>
          <w:sz w:val="32"/>
          <w:szCs w:val="32"/>
          <w:lang w:eastAsia="zh-CN"/>
        </w:rPr>
        <w:t>本年支出本年度11666.87万元，2017年29109.79万元，比上年增减-17442.92万元，增减比列为-59.92%，原因为：本年建设项目比2017年少，三区三州项目还在做前期，使得本年支出减少；</w:t>
      </w:r>
    </w:p>
    <w:p>
      <w:pPr>
        <w:ind w:firstLine="960" w:firstLineChars="300"/>
        <w:rPr>
          <w:rFonts w:ascii="仿宋_GB2312" w:eastAsia="仿宋_GB2312" w:hAnsi="仿宋" w:hint="eastAsia"/>
          <w:sz w:val="32"/>
          <w:szCs w:val="32"/>
          <w:lang w:val="en-US" w:eastAsia="zh-CN"/>
        </w:rPr>
      </w:pPr>
      <w:r>
        <w:drawing>
          <wp:anchor distT="0" distB="0" distL="114300" distR="114300" simplePos="0" relativeHeight="251658240" behindDoc="1" locked="0" layoutInCell="1" allowOverlap="1">
            <wp:simplePos x="0" y="0"/>
            <wp:positionH relativeFrom="column">
              <wp:posOffset>160655</wp:posOffset>
            </wp:positionH>
            <wp:positionV relativeFrom="paragraph">
              <wp:posOffset>151765</wp:posOffset>
            </wp:positionV>
            <wp:extent cx="4572000" cy="2355215"/>
            <wp:effectExtent l="4445" t="4445" r="14605" b="21590"/>
            <wp:wrapTight wrapText="bothSides">
              <wp:wrapPolygon>
                <wp:start x="21591" y="-2"/>
                <wp:lineTo x="0" y="0"/>
                <wp:lineTo x="0" y="21600"/>
                <wp:lineTo x="21591" y="21602"/>
                <wp:lineTo x="8" y="21602"/>
                <wp:lineTo x="21599" y="21600"/>
                <wp:lineTo x="21599" y="0"/>
                <wp:lineTo x="8" y="-2"/>
                <wp:lineTo x="21591" y="-2"/>
              </wp:wrapPolygon>
            </wp:wrapTight>
            <wp:docPr id="1"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anchor>
        </w:drawing>
      </w:r>
    </w:p>
    <w:p>
      <w:pPr>
        <w:spacing w:line="600" w:lineRule="exact"/>
        <w:ind w:firstLine="600" w:firstLineChars="200"/>
        <w:rPr>
          <w:rFonts w:ascii="仿宋_GB2312" w:eastAsia="仿宋_GB2312" w:hAnsi="宋体" w:cs="Arial" w:hint="eastAsia"/>
          <w:kern w:val="0"/>
          <w:sz w:val="30"/>
          <w:szCs w:val="30"/>
        </w:rPr>
      </w:pPr>
    </w:p>
    <w:p>
      <w:pPr>
        <w:widowControl/>
        <w:snapToGrid w:val="0"/>
        <w:spacing w:before="100" w:after="100" w:line="600" w:lineRule="exact"/>
        <w:ind w:firstLine="600" w:firstLineChars="200"/>
        <w:jc w:val="left"/>
        <w:rPr>
          <w:rFonts w:ascii="楷体" w:eastAsia="楷体" w:hAnsi="楷体" w:hint="eastAsia"/>
          <w:sz w:val="30"/>
          <w:szCs w:val="30"/>
        </w:rPr>
      </w:pPr>
      <w:r>
        <w:rPr>
          <w:rFonts w:ascii="楷体" w:eastAsia="楷体" w:hAnsi="楷体" w:hint="eastAsia"/>
          <w:sz w:val="30"/>
          <w:szCs w:val="30"/>
        </w:rPr>
        <w:t>（一）基本支出情况</w:t>
      </w:r>
    </w:p>
    <w:p>
      <w:pPr>
        <w:ind w:firstLine="709"/>
        <w:rPr>
          <w:rFonts w:ascii="仿宋_GB2312" w:eastAsia="仿宋_GB2312" w:hint="eastAsia"/>
          <w:sz w:val="30"/>
          <w:szCs w:val="30"/>
        </w:rPr>
      </w:pPr>
      <w:r>
        <w:rPr>
          <w:rFonts w:ascii="仿宋_GB2312" w:eastAsia="仿宋_GB2312" w:hint="eastAsia"/>
          <w:sz w:val="30"/>
          <w:szCs w:val="30"/>
          <w:lang w:val="en-US" w:eastAsia="zh-CN"/>
        </w:rPr>
        <w:t>2018</w:t>
      </w:r>
      <w:r>
        <w:rPr>
          <w:rFonts w:ascii="仿宋_GB2312" w:eastAsia="仿宋_GB2312" w:hint="eastAsia"/>
          <w:sz w:val="30"/>
          <w:szCs w:val="30"/>
        </w:rPr>
        <w:t>年度用于保障</w:t>
      </w:r>
      <w:r>
        <w:rPr>
          <w:rFonts w:ascii="仿宋_GB2312" w:eastAsia="仿宋_GB2312" w:hint="eastAsia"/>
          <w:sz w:val="30"/>
          <w:szCs w:val="30"/>
          <w:lang w:val="en-US" w:eastAsia="zh-CN"/>
        </w:rPr>
        <w:t>教育局</w:t>
      </w:r>
      <w:r>
        <w:rPr>
          <w:rFonts w:ascii="仿宋_GB2312" w:eastAsia="仿宋_GB2312" w:hint="eastAsia"/>
          <w:sz w:val="30"/>
          <w:szCs w:val="30"/>
        </w:rPr>
        <w:t>机关正常运转的日常支出</w:t>
      </w:r>
      <w:r>
        <w:rPr>
          <w:rFonts w:ascii="仿宋_GB2312" w:eastAsia="仿宋_GB2312" w:hint="eastAsia"/>
          <w:sz w:val="30"/>
          <w:szCs w:val="30"/>
          <w:lang w:val="en-US" w:eastAsia="zh-CN"/>
        </w:rPr>
        <w:t>4386.18</w:t>
      </w:r>
      <w:r>
        <w:rPr>
          <w:rFonts w:ascii="仿宋_GB2312" w:eastAsia="仿宋_GB2312" w:hint="eastAsia"/>
          <w:sz w:val="30"/>
          <w:szCs w:val="30"/>
        </w:rPr>
        <w:t>万元。</w:t>
      </w:r>
    </w:p>
    <w:p>
      <w:pPr>
        <w:ind w:firstLine="709"/>
        <w:rPr>
          <w:rFonts w:ascii="仿宋_GB2312" w:eastAsia="仿宋_GB2312" w:hAnsi="仿宋" w:cs="Times New Roman" w:hint="eastAsia"/>
          <w:color w:val="000000"/>
          <w:sz w:val="32"/>
          <w:szCs w:val="32"/>
          <w:lang w:eastAsia="zh-CN"/>
        </w:rPr>
      </w:pPr>
      <w:r>
        <w:rPr>
          <w:rFonts w:ascii="仿宋_GB2312" w:eastAsia="仿宋_GB2312" w:hAnsi="仿宋" w:cs="Times New Roman" w:hint="eastAsia"/>
          <w:color w:val="000000"/>
          <w:sz w:val="32"/>
          <w:szCs w:val="32"/>
          <w:lang w:eastAsia="zh-CN"/>
        </w:rPr>
        <w:t>基本支出本年度4386.1</w:t>
      </w:r>
      <w:r>
        <w:rPr>
          <w:rFonts w:ascii="仿宋_GB2312" w:eastAsia="仿宋_GB2312" w:hAnsi="仿宋" w:cs="Times New Roman" w:hint="eastAsia"/>
          <w:color w:val="000000"/>
          <w:sz w:val="32"/>
          <w:szCs w:val="32"/>
          <w:lang w:val="en-US" w:eastAsia="zh-CN"/>
        </w:rPr>
        <w:t>8</w:t>
      </w:r>
      <w:r>
        <w:rPr>
          <w:rFonts w:ascii="仿宋_GB2312" w:eastAsia="仿宋_GB2312" w:hAnsi="仿宋" w:cs="Times New Roman" w:hint="eastAsia"/>
          <w:color w:val="000000"/>
          <w:sz w:val="32"/>
          <w:szCs w:val="32"/>
          <w:lang w:eastAsia="zh-CN"/>
        </w:rPr>
        <w:t>万元，2017年9082.05万元，比上年增减-4695.87万元，增减比列为-51.71%，原因为：上年将2018年学生生活费提前列支，使本年支出减少；</w:t>
      </w:r>
    </w:p>
    <w:p>
      <w:pPr>
        <w:widowControl/>
        <w:snapToGrid w:val="0"/>
        <w:spacing w:before="100" w:after="100" w:line="600" w:lineRule="exact"/>
        <w:ind w:firstLine="600" w:firstLineChars="200"/>
        <w:jc w:val="left"/>
        <w:rPr>
          <w:rFonts w:ascii="仿宋_GB2312" w:eastAsia="仿宋_GB2312" w:hint="eastAsia"/>
          <w:sz w:val="30"/>
          <w:szCs w:val="30"/>
        </w:rPr>
      </w:pPr>
      <w:r>
        <w:rPr>
          <w:rFonts w:ascii="仿宋_GB2312" w:eastAsia="仿宋_GB2312" w:hint="eastAsia"/>
          <w:sz w:val="30"/>
          <w:szCs w:val="30"/>
          <w:lang w:val="en-US" w:eastAsia="zh-CN"/>
        </w:rPr>
        <w:t>基本支出</w:t>
      </w:r>
      <w:r>
        <w:rPr>
          <w:rFonts w:ascii="仿宋_GB2312" w:eastAsia="仿宋_GB2312" w:hint="eastAsia"/>
          <w:sz w:val="30"/>
          <w:szCs w:val="30"/>
        </w:rPr>
        <w:t>包括基本工资、津贴补贴等人员经费支出占基本支出的</w:t>
      </w:r>
      <w:r>
        <w:rPr>
          <w:rFonts w:ascii="仿宋_GB2312" w:eastAsia="仿宋_GB2312" w:hint="eastAsia"/>
          <w:sz w:val="30"/>
          <w:szCs w:val="30"/>
          <w:lang w:val="en-US" w:eastAsia="zh-CN"/>
        </w:rPr>
        <w:t>98</w:t>
      </w:r>
      <w:r>
        <w:rPr>
          <w:rFonts w:ascii="仿宋_GB2312" w:eastAsia="仿宋_GB2312" w:hint="eastAsia"/>
          <w:sz w:val="30"/>
          <w:szCs w:val="30"/>
        </w:rPr>
        <w:t>％；办公费、印刷费、水电费、办公设备购置等日常公用经费占基本支出的</w:t>
      </w:r>
      <w:r>
        <w:rPr>
          <w:rFonts w:ascii="仿宋_GB2312" w:eastAsia="仿宋_GB2312" w:hint="eastAsia"/>
          <w:sz w:val="30"/>
          <w:szCs w:val="30"/>
          <w:lang w:val="en-US" w:eastAsia="zh-CN"/>
        </w:rPr>
        <w:t>2</w:t>
      </w:r>
      <w:r>
        <w:rPr>
          <w:rFonts w:ascii="仿宋_GB2312" w:eastAsia="仿宋_GB2312" w:hint="eastAsia"/>
          <w:sz w:val="30"/>
          <w:szCs w:val="30"/>
        </w:rPr>
        <w:t>％。</w:t>
      </w:r>
    </w:p>
    <w:p>
      <w:pPr>
        <w:widowControl/>
        <w:snapToGrid w:val="0"/>
        <w:spacing w:before="100" w:after="100" w:line="600" w:lineRule="exact"/>
        <w:ind w:firstLine="600" w:firstLineChars="200"/>
        <w:jc w:val="left"/>
        <w:rPr>
          <w:rFonts w:ascii="楷体" w:eastAsia="楷体" w:hAnsi="楷体" w:hint="eastAsia"/>
          <w:sz w:val="30"/>
          <w:szCs w:val="30"/>
        </w:rPr>
      </w:pPr>
      <w:r>
        <w:rPr>
          <w:rFonts w:ascii="楷体" w:eastAsia="楷体" w:hAnsi="楷体" w:hint="eastAsia"/>
          <w:sz w:val="30"/>
          <w:szCs w:val="30"/>
        </w:rPr>
        <w:t>（二）项目支出情况</w:t>
      </w:r>
    </w:p>
    <w:p>
      <w:pPr>
        <w:ind w:firstLine="709"/>
        <w:rPr>
          <w:rFonts w:ascii="仿宋_GB2312" w:eastAsia="仿宋_GB2312" w:hAnsi="仿宋" w:cs="Times New Roman" w:hint="eastAsia"/>
          <w:color w:val="000000"/>
          <w:sz w:val="32"/>
          <w:szCs w:val="32"/>
          <w:lang w:eastAsia="zh-CN"/>
        </w:rPr>
      </w:pPr>
      <w:r>
        <w:rPr>
          <w:rFonts w:ascii="仿宋_GB2312" w:eastAsia="仿宋_GB2312" w:hint="eastAsia"/>
          <w:sz w:val="30"/>
          <w:szCs w:val="30"/>
          <w:lang w:val="en-US" w:eastAsia="zh-CN"/>
        </w:rPr>
        <w:t>2018</w:t>
      </w:r>
      <w:r>
        <w:rPr>
          <w:rFonts w:ascii="仿宋_GB2312" w:eastAsia="仿宋_GB2312" w:hint="eastAsia"/>
          <w:sz w:val="30"/>
          <w:szCs w:val="30"/>
        </w:rPr>
        <w:t>年度用于保障机构、下属事业单位等机构为完成特定的行政工作任务或事业发展目标，用于专项业务工作的经费支出</w:t>
      </w:r>
      <w:r>
        <w:rPr>
          <w:rFonts w:ascii="仿宋_GB2312" w:eastAsia="仿宋_GB2312" w:hint="eastAsia"/>
          <w:sz w:val="30"/>
          <w:szCs w:val="30"/>
          <w:lang w:val="en-US" w:eastAsia="zh-CN"/>
        </w:rPr>
        <w:t>7280.69</w:t>
      </w:r>
      <w:r>
        <w:rPr>
          <w:rFonts w:ascii="仿宋_GB2312" w:eastAsia="仿宋_GB2312" w:hint="eastAsia"/>
          <w:sz w:val="30"/>
          <w:szCs w:val="30"/>
        </w:rPr>
        <w:t>万元</w:t>
      </w:r>
      <w:r>
        <w:rPr>
          <w:rFonts w:ascii="仿宋_GB2312" w:eastAsia="仿宋_GB2312" w:hint="eastAsia"/>
          <w:sz w:val="30"/>
          <w:szCs w:val="30"/>
          <w:lang w:val="en-US" w:eastAsia="zh-CN"/>
        </w:rPr>
        <w:t>,</w:t>
      </w:r>
      <w:r>
        <w:rPr>
          <w:rFonts w:ascii="仿宋_GB2312" w:eastAsia="仿宋_GB2312" w:hAnsi="仿宋" w:cs="Times New Roman" w:hint="eastAsia"/>
          <w:color w:val="000000"/>
          <w:sz w:val="32"/>
          <w:szCs w:val="32"/>
          <w:lang w:eastAsia="zh-CN"/>
        </w:rPr>
        <w:t>2017年20027.74</w:t>
      </w:r>
      <w:r>
        <w:rPr>
          <w:rFonts w:ascii="仿宋_GB2312" w:eastAsia="仿宋_GB2312" w:hAnsi="仿宋" w:cs="Times New Roman" w:hint="eastAsia"/>
          <w:color w:val="000000"/>
          <w:sz w:val="32"/>
          <w:szCs w:val="32"/>
          <w:lang w:val="en-US" w:eastAsia="zh-CN"/>
        </w:rPr>
        <w:t xml:space="preserve"> </w:t>
      </w:r>
      <w:r>
        <w:rPr>
          <w:rFonts w:ascii="仿宋_GB2312" w:eastAsia="仿宋_GB2312" w:hAnsi="仿宋" w:cs="Times New Roman" w:hint="eastAsia"/>
          <w:color w:val="000000"/>
          <w:sz w:val="32"/>
          <w:szCs w:val="32"/>
          <w:lang w:eastAsia="zh-CN"/>
        </w:rPr>
        <w:t>万元，比上年增减-12747.0</w:t>
      </w:r>
      <w:r>
        <w:rPr>
          <w:rFonts w:ascii="仿宋_GB2312" w:eastAsia="仿宋_GB2312" w:hAnsi="仿宋" w:cs="Times New Roman" w:hint="eastAsia"/>
          <w:color w:val="000000"/>
          <w:sz w:val="32"/>
          <w:szCs w:val="32"/>
          <w:lang w:val="en-US" w:eastAsia="zh-CN"/>
        </w:rPr>
        <w:t>5</w:t>
      </w:r>
      <w:r>
        <w:rPr>
          <w:rFonts w:ascii="仿宋_GB2312" w:eastAsia="仿宋_GB2312" w:hAnsi="仿宋" w:cs="Times New Roman" w:hint="eastAsia"/>
          <w:color w:val="000000"/>
          <w:sz w:val="32"/>
          <w:szCs w:val="32"/>
          <w:lang w:eastAsia="zh-CN"/>
        </w:rPr>
        <w:t>万元，增减比列为-63.65%，原因为：本年建设项目比2017年少，三区三州项目还在做前期，使得本年支出减少；</w:t>
      </w:r>
    </w:p>
    <w:p>
      <w:pPr>
        <w:widowControl/>
        <w:snapToGrid w:val="0"/>
        <w:spacing w:before="100" w:after="100" w:line="600" w:lineRule="exact"/>
        <w:ind w:firstLine="600" w:firstLineChars="200"/>
        <w:jc w:val="left"/>
        <w:rPr>
          <w:rFonts w:ascii="黑体" w:eastAsia="黑体" w:hAnsi="黑体" w:hint="eastAsia"/>
          <w:sz w:val="30"/>
          <w:szCs w:val="30"/>
        </w:rPr>
      </w:pPr>
      <w:r>
        <w:rPr>
          <w:rFonts w:ascii="黑体" w:eastAsia="黑体" w:hAnsi="黑体" w:hint="eastAsia"/>
          <w:sz w:val="30"/>
          <w:szCs w:val="30"/>
        </w:rPr>
        <w:t>三、一般公共预算财政拨款支出决算情况说明</w:t>
      </w:r>
    </w:p>
    <w:p>
      <w:pPr>
        <w:widowControl/>
        <w:snapToGrid w:val="0"/>
        <w:spacing w:before="100" w:after="100" w:line="600" w:lineRule="exact"/>
        <w:jc w:val="left"/>
        <w:rPr>
          <w:rFonts w:ascii="楷体" w:eastAsia="楷体" w:hAnsi="楷体" w:hint="eastAsia"/>
          <w:sz w:val="30"/>
          <w:szCs w:val="30"/>
          <w:lang w:val="en-US" w:eastAsia="zh-CN"/>
        </w:rPr>
      </w:pPr>
      <w:r>
        <w:rPr>
          <w:rFonts w:ascii="楷体" w:eastAsia="楷体" w:hAnsi="楷体" w:hint="eastAsia"/>
          <w:sz w:val="30"/>
          <w:szCs w:val="30"/>
        </w:rPr>
        <w:t>（一）一般公共预算财政拨款支出决算总体</w:t>
      </w:r>
      <w:r>
        <w:rPr>
          <w:rFonts w:ascii="楷体" w:eastAsia="楷体" w:hAnsi="楷体" w:hint="eastAsia"/>
          <w:sz w:val="30"/>
          <w:szCs w:val="30"/>
          <w:lang w:val="en-US" w:eastAsia="zh-CN"/>
        </w:rPr>
        <w:t>情况</w:t>
      </w:r>
      <w:bookmarkStart w:id="0" w:name="_GoBack"/>
      <w:bookmarkEnd w:id="0"/>
    </w:p>
    <w:p>
      <w:pPr>
        <w:ind w:firstLine="709"/>
        <w:rPr>
          <w:rFonts w:ascii="仿宋_GB2312" w:eastAsia="仿宋_GB2312" w:hint="eastAsia"/>
          <w:sz w:val="30"/>
          <w:szCs w:val="30"/>
          <w:lang w:val="en-US" w:eastAsia="zh-CN"/>
        </w:rPr>
      </w:pPr>
      <w:r>
        <w:rPr>
          <w:rFonts w:ascii="仿宋_GB2312" w:eastAsia="仿宋_GB2312" w:hint="eastAsia"/>
          <w:sz w:val="30"/>
          <w:szCs w:val="30"/>
          <w:lang w:val="en-US" w:eastAsia="zh-CN"/>
        </w:rPr>
        <w:t>维西县教育局2018年度一般公共预算财政拨款支出9337.99万元,占本年支出合计的80%。2017年一般公共预算财政拨款支出29006.79万元，比上年减少19668.8万元，降幅为67.8%，变动原因为：三区三州项目还在做前期，无法在本年支出，还有部分资金在年底下达无法在本年支出，导致结余资金增加。</w:t>
      </w:r>
    </w:p>
    <w:p>
      <w:pPr>
        <w:widowControl/>
        <w:snapToGrid w:val="0"/>
        <w:spacing w:before="100" w:after="100" w:line="600" w:lineRule="exact"/>
        <w:jc w:val="left"/>
        <w:rPr>
          <w:rFonts w:ascii="楷体" w:eastAsia="楷体" w:hAnsi="楷体" w:hint="eastAsia"/>
          <w:sz w:val="30"/>
          <w:szCs w:val="30"/>
        </w:rPr>
      </w:pPr>
      <w:r>
        <w:rPr>
          <w:rFonts w:ascii="楷体" w:eastAsia="楷体" w:hAnsi="楷体" w:hint="eastAsia"/>
          <w:sz w:val="30"/>
          <w:szCs w:val="30"/>
        </w:rPr>
        <w:t>（二）一般公共预算财政拨款支出决算具体情况</w:t>
      </w:r>
      <w:r>
        <w:rPr>
          <w:rFonts w:ascii="楷体" w:eastAsia="楷体" w:hAnsi="楷体" w:hint="eastAsia"/>
          <w:sz w:val="30"/>
          <w:szCs w:val="30"/>
        </w:rPr>
        <w:tab/>
      </w:r>
      <w:r>
        <w:rPr>
          <w:rFonts w:ascii="楷体" w:eastAsia="楷体" w:hAnsi="楷体" w:hint="eastAsia"/>
          <w:sz w:val="30"/>
          <w:szCs w:val="30"/>
        </w:rPr>
        <w:tab/>
      </w:r>
      <w:r>
        <w:rPr>
          <w:rFonts w:ascii="楷体" w:eastAsia="楷体" w:hAnsi="楷体" w:hint="eastAsia"/>
          <w:sz w:val="30"/>
          <w:szCs w:val="30"/>
        </w:rPr>
        <w:tab/>
      </w:r>
    </w:p>
    <w:p>
      <w:pPr>
        <w:widowControl/>
        <w:snapToGrid w:val="0"/>
        <w:spacing w:before="100" w:after="100" w:line="360" w:lineRule="auto"/>
        <w:ind w:firstLine="600" w:firstLineChars="200"/>
        <w:jc w:val="left"/>
        <w:rPr>
          <w:rFonts w:ascii="仿宋_GB2312" w:eastAsia="仿宋_GB2312" w:hAnsi="宋体" w:cs="Arial" w:hint="eastAsia"/>
          <w:kern w:val="0"/>
          <w:sz w:val="30"/>
          <w:szCs w:val="30"/>
        </w:rPr>
      </w:pPr>
      <w:r>
        <w:rPr>
          <w:rFonts w:ascii="仿宋_GB2312" w:eastAsia="仿宋_GB2312" w:hAnsi="宋体" w:cs="Arial" w:hint="eastAsia"/>
          <w:kern w:val="0"/>
          <w:sz w:val="30"/>
          <w:szCs w:val="30"/>
        </w:rPr>
        <w:t>1.</w:t>
      </w:r>
      <w:r>
        <w:rPr>
          <w:rFonts w:ascii="仿宋_GB2312" w:eastAsia="仿宋_GB2312" w:hAnsi="宋体" w:cs="Arial" w:hint="eastAsia"/>
          <w:kern w:val="0"/>
          <w:sz w:val="30"/>
          <w:szCs w:val="30"/>
          <w:lang w:val="en-US" w:eastAsia="zh-CN"/>
        </w:rPr>
        <w:t>教育</w:t>
      </w:r>
      <w:r>
        <w:rPr>
          <w:rFonts w:ascii="仿宋_GB2312" w:eastAsia="仿宋_GB2312" w:hint="eastAsia"/>
          <w:sz w:val="30"/>
          <w:szCs w:val="30"/>
        </w:rPr>
        <w:t>支出</w:t>
      </w:r>
      <w:r>
        <w:rPr>
          <w:rFonts w:ascii="仿宋_GB2312" w:eastAsia="仿宋_GB2312" w:hAnsi="宋体" w:cs="Arial" w:hint="eastAsia"/>
          <w:kern w:val="0"/>
          <w:sz w:val="30"/>
          <w:szCs w:val="30"/>
          <w:lang w:val="en-US" w:eastAsia="zh-CN"/>
        </w:rPr>
        <w:t>8348.25</w:t>
      </w:r>
      <w:r>
        <w:rPr>
          <w:rFonts w:ascii="仿宋_GB2312" w:eastAsia="仿宋_GB2312" w:hAnsi="宋体" w:cs="Arial" w:hint="eastAsia"/>
          <w:kern w:val="0"/>
          <w:sz w:val="30"/>
          <w:szCs w:val="30"/>
        </w:rPr>
        <w:t>万元，</w:t>
      </w:r>
      <w:r>
        <w:rPr>
          <w:rFonts w:ascii="仿宋_GB2312" w:eastAsia="仿宋_GB2312" w:hint="eastAsia"/>
          <w:sz w:val="30"/>
          <w:szCs w:val="30"/>
        </w:rPr>
        <w:t>占一般公共预算财政拨款总支出的</w:t>
      </w:r>
      <w:r>
        <w:rPr>
          <w:rFonts w:ascii="仿宋_GB2312" w:eastAsia="仿宋_GB2312" w:hint="eastAsia"/>
          <w:sz w:val="30"/>
          <w:szCs w:val="30"/>
          <w:lang w:val="en-US" w:eastAsia="zh-CN"/>
        </w:rPr>
        <w:t>89</w:t>
      </w:r>
      <w:r>
        <w:rPr>
          <w:rFonts w:ascii="仿宋_GB2312" w:eastAsia="仿宋_GB2312" w:hint="eastAsia"/>
          <w:sz w:val="30"/>
          <w:szCs w:val="30"/>
        </w:rPr>
        <w:t>%。</w:t>
      </w:r>
      <w:r>
        <w:rPr>
          <w:rFonts w:ascii="仿宋_GB2312" w:eastAsia="仿宋_GB2312" w:hAnsi="宋体" w:cs="Arial" w:hint="eastAsia"/>
          <w:kern w:val="0"/>
          <w:sz w:val="30"/>
          <w:szCs w:val="30"/>
        </w:rPr>
        <w:t>主要用于</w:t>
      </w:r>
      <w:r>
        <w:rPr>
          <w:rFonts w:ascii="仿宋_GB2312" w:eastAsia="仿宋_GB2312" w:hAnsi="宋体" w:cs="Arial" w:hint="eastAsia"/>
          <w:kern w:val="0"/>
          <w:sz w:val="30"/>
          <w:szCs w:val="30"/>
          <w:lang w:val="en-US" w:eastAsia="zh-CN"/>
        </w:rPr>
        <w:t>我县各级各类学校的学生公用经费，建设及维修改造资金，还有专项用于学校的各类资金</w:t>
      </w:r>
      <w:r>
        <w:rPr>
          <w:rFonts w:ascii="仿宋_GB2312" w:eastAsia="仿宋_GB2312" w:hAnsi="宋体" w:cs="Arial" w:hint="eastAsia"/>
          <w:kern w:val="0"/>
          <w:sz w:val="30"/>
          <w:szCs w:val="30"/>
        </w:rPr>
        <w:t>；</w:t>
      </w:r>
    </w:p>
    <w:p>
      <w:pPr>
        <w:widowControl/>
        <w:snapToGrid w:val="0"/>
        <w:spacing w:before="100" w:after="100" w:line="360" w:lineRule="auto"/>
        <w:ind w:firstLine="600" w:firstLineChars="200"/>
        <w:jc w:val="left"/>
        <w:rPr>
          <w:rFonts w:ascii="仿宋_GB2312" w:eastAsia="仿宋_GB2312" w:hAnsi="宋体" w:cs="Arial" w:hint="eastAsia"/>
          <w:kern w:val="0"/>
          <w:sz w:val="30"/>
          <w:szCs w:val="30"/>
        </w:rPr>
      </w:pPr>
      <w:r>
        <w:rPr>
          <w:rFonts w:ascii="仿宋_GB2312" w:eastAsia="仿宋_GB2312" w:hAnsi="宋体" w:cs="Arial" w:hint="eastAsia"/>
          <w:kern w:val="0"/>
          <w:sz w:val="30"/>
          <w:szCs w:val="30"/>
        </w:rPr>
        <w:t>2.</w:t>
      </w:r>
      <w:r>
        <w:rPr>
          <w:rFonts w:ascii="仿宋_GB2312" w:eastAsia="仿宋_GB2312" w:hAnsi="宋体" w:cs="Arial" w:hint="eastAsia"/>
          <w:kern w:val="0"/>
          <w:sz w:val="30"/>
          <w:szCs w:val="30"/>
          <w:lang w:val="en-US" w:eastAsia="zh-CN"/>
        </w:rPr>
        <w:t>社会保障和就业支出74.23</w:t>
      </w:r>
      <w:r>
        <w:rPr>
          <w:rFonts w:ascii="仿宋_GB2312" w:eastAsia="仿宋_GB2312" w:hAnsi="宋体" w:cs="Arial" w:hint="eastAsia"/>
          <w:kern w:val="0"/>
          <w:sz w:val="30"/>
          <w:szCs w:val="30"/>
        </w:rPr>
        <w:t>万元，</w:t>
      </w:r>
      <w:r>
        <w:rPr>
          <w:rFonts w:ascii="仿宋_GB2312" w:eastAsia="仿宋_GB2312" w:hint="eastAsia"/>
          <w:sz w:val="30"/>
          <w:szCs w:val="30"/>
        </w:rPr>
        <w:t>占一般公共预算财政拨款总支出的</w:t>
      </w:r>
      <w:r>
        <w:rPr>
          <w:rFonts w:ascii="仿宋_GB2312" w:eastAsia="仿宋_GB2312" w:hint="eastAsia"/>
          <w:sz w:val="30"/>
          <w:szCs w:val="30"/>
          <w:lang w:val="en-US" w:eastAsia="zh-CN"/>
        </w:rPr>
        <w:t>0.8</w:t>
      </w:r>
      <w:r>
        <w:rPr>
          <w:rFonts w:ascii="仿宋_GB2312" w:eastAsia="仿宋_GB2312" w:hint="eastAsia"/>
          <w:sz w:val="30"/>
          <w:szCs w:val="30"/>
        </w:rPr>
        <w:t>%。</w:t>
      </w:r>
      <w:r>
        <w:rPr>
          <w:rFonts w:ascii="仿宋_GB2312" w:eastAsia="仿宋_GB2312" w:hAnsi="宋体" w:cs="Arial" w:hint="eastAsia"/>
          <w:kern w:val="0"/>
          <w:sz w:val="30"/>
          <w:szCs w:val="30"/>
        </w:rPr>
        <w:t>主要用于</w:t>
      </w:r>
      <w:r>
        <w:rPr>
          <w:rFonts w:ascii="仿宋_GB2312" w:eastAsia="仿宋_GB2312" w:hAnsi="宋体" w:cs="Arial" w:hint="eastAsia"/>
          <w:kern w:val="0"/>
          <w:sz w:val="30"/>
          <w:szCs w:val="30"/>
          <w:lang w:val="en-US" w:eastAsia="zh-CN"/>
        </w:rPr>
        <w:t>教育局机关在职在岗人员的养老保险的上缴</w:t>
      </w:r>
      <w:r>
        <w:rPr>
          <w:rFonts w:ascii="仿宋_GB2312" w:eastAsia="仿宋_GB2312" w:hAnsi="宋体" w:cs="Arial" w:hint="eastAsia"/>
          <w:kern w:val="0"/>
          <w:sz w:val="30"/>
          <w:szCs w:val="30"/>
        </w:rPr>
        <w:t>；</w:t>
      </w:r>
    </w:p>
    <w:p>
      <w:pPr>
        <w:widowControl/>
        <w:snapToGrid w:val="0"/>
        <w:spacing w:before="100" w:after="100" w:line="360" w:lineRule="auto"/>
        <w:ind w:firstLine="600" w:firstLineChars="200"/>
        <w:jc w:val="left"/>
        <w:rPr>
          <w:rFonts w:ascii="仿宋_GB2312" w:eastAsia="仿宋_GB2312" w:hAnsi="宋体" w:cs="Arial" w:hint="eastAsia"/>
          <w:kern w:val="0"/>
          <w:sz w:val="30"/>
          <w:szCs w:val="30"/>
        </w:rPr>
      </w:pPr>
      <w:r>
        <w:rPr>
          <w:rFonts w:ascii="仿宋_GB2312" w:eastAsia="仿宋_GB2312" w:hAnsi="宋体" w:cs="Arial" w:hint="eastAsia"/>
          <w:kern w:val="0"/>
          <w:sz w:val="30"/>
          <w:szCs w:val="30"/>
        </w:rPr>
        <w:t>3.</w:t>
      </w:r>
      <w:r>
        <w:rPr>
          <w:rFonts w:ascii="仿宋_GB2312" w:eastAsia="仿宋_GB2312" w:hAnsi="宋体" w:cs="Arial" w:hint="eastAsia"/>
          <w:kern w:val="0"/>
          <w:sz w:val="30"/>
          <w:szCs w:val="30"/>
          <w:lang w:val="en-US" w:eastAsia="zh-CN"/>
        </w:rPr>
        <w:t>医疗卫生与计划生育支出42.87</w:t>
      </w:r>
      <w:r>
        <w:rPr>
          <w:rFonts w:ascii="仿宋_GB2312" w:eastAsia="仿宋_GB2312" w:hAnsi="宋体" w:cs="Arial" w:hint="eastAsia"/>
          <w:kern w:val="0"/>
          <w:sz w:val="30"/>
          <w:szCs w:val="30"/>
        </w:rPr>
        <w:t>万元，</w:t>
      </w:r>
      <w:r>
        <w:rPr>
          <w:rFonts w:ascii="仿宋_GB2312" w:eastAsia="仿宋_GB2312" w:hint="eastAsia"/>
          <w:sz w:val="30"/>
          <w:szCs w:val="30"/>
        </w:rPr>
        <w:t>占一般公共预算财政拨款总支出的</w:t>
      </w:r>
      <w:r>
        <w:rPr>
          <w:rFonts w:ascii="仿宋_GB2312" w:eastAsia="仿宋_GB2312" w:hint="eastAsia"/>
          <w:sz w:val="30"/>
          <w:szCs w:val="30"/>
          <w:lang w:val="en-US" w:eastAsia="zh-CN"/>
        </w:rPr>
        <w:t>0.6</w:t>
      </w:r>
      <w:r>
        <w:rPr>
          <w:rFonts w:ascii="仿宋_GB2312" w:eastAsia="仿宋_GB2312" w:hint="eastAsia"/>
          <w:sz w:val="30"/>
          <w:szCs w:val="30"/>
        </w:rPr>
        <w:t>%。</w:t>
      </w:r>
      <w:r>
        <w:rPr>
          <w:rFonts w:ascii="仿宋_GB2312" w:eastAsia="仿宋_GB2312" w:hint="eastAsia"/>
          <w:sz w:val="30"/>
          <w:szCs w:val="30"/>
          <w:lang w:val="en-US" w:eastAsia="zh-CN"/>
        </w:rPr>
        <w:t>主要用于</w:t>
      </w:r>
      <w:r>
        <w:rPr>
          <w:rFonts w:ascii="仿宋_GB2312" w:eastAsia="仿宋_GB2312" w:hAnsi="宋体" w:cs="Arial" w:hint="eastAsia"/>
          <w:kern w:val="0"/>
          <w:sz w:val="30"/>
          <w:szCs w:val="30"/>
          <w:lang w:val="en-US" w:eastAsia="zh-CN"/>
        </w:rPr>
        <w:t>教育局机关在职在岗人员的医疗保险的上缴</w:t>
      </w:r>
      <w:r>
        <w:rPr>
          <w:rFonts w:ascii="仿宋_GB2312" w:eastAsia="仿宋_GB2312" w:hAnsi="宋体" w:cs="Arial" w:hint="eastAsia"/>
          <w:kern w:val="0"/>
          <w:sz w:val="30"/>
          <w:szCs w:val="30"/>
        </w:rPr>
        <w:t>；</w:t>
      </w:r>
    </w:p>
    <w:p>
      <w:pPr>
        <w:widowControl/>
        <w:snapToGrid w:val="0"/>
        <w:spacing w:before="100" w:after="100" w:line="360" w:lineRule="auto"/>
        <w:ind w:firstLine="600" w:firstLineChars="200"/>
        <w:jc w:val="left"/>
        <w:rPr>
          <w:rFonts w:ascii="仿宋_GB2312" w:eastAsia="仿宋_GB2312" w:hAnsi="宋体" w:cs="Arial" w:hint="eastAsia"/>
          <w:kern w:val="0"/>
          <w:sz w:val="30"/>
          <w:szCs w:val="30"/>
        </w:rPr>
      </w:pPr>
      <w:r>
        <w:rPr>
          <w:rFonts w:ascii="仿宋_GB2312" w:eastAsia="仿宋_GB2312" w:hAnsi="宋体" w:cs="Arial" w:hint="eastAsia"/>
          <w:kern w:val="0"/>
          <w:sz w:val="30"/>
          <w:szCs w:val="30"/>
        </w:rPr>
        <w:t>4.</w:t>
      </w:r>
      <w:r>
        <w:rPr>
          <w:rFonts w:ascii="仿宋_GB2312" w:eastAsia="仿宋_GB2312" w:hAnsi="宋体" w:cs="Arial" w:hint="eastAsia"/>
          <w:kern w:val="0"/>
          <w:sz w:val="30"/>
          <w:szCs w:val="30"/>
          <w:lang w:val="en-US" w:eastAsia="zh-CN"/>
        </w:rPr>
        <w:t>农林水支出827.53</w:t>
      </w:r>
      <w:r>
        <w:rPr>
          <w:rFonts w:ascii="仿宋_GB2312" w:eastAsia="仿宋_GB2312" w:hAnsi="宋体" w:cs="Arial" w:hint="eastAsia"/>
          <w:kern w:val="0"/>
          <w:sz w:val="30"/>
          <w:szCs w:val="30"/>
        </w:rPr>
        <w:t>万元，</w:t>
      </w:r>
      <w:r>
        <w:rPr>
          <w:rFonts w:ascii="仿宋_GB2312" w:eastAsia="仿宋_GB2312" w:hint="eastAsia"/>
          <w:sz w:val="30"/>
          <w:szCs w:val="30"/>
        </w:rPr>
        <w:t>占一般公共预算财政拨款总支出的</w:t>
      </w:r>
      <w:r>
        <w:rPr>
          <w:rFonts w:ascii="仿宋_GB2312" w:eastAsia="仿宋_GB2312" w:hint="eastAsia"/>
          <w:sz w:val="30"/>
          <w:szCs w:val="30"/>
          <w:lang w:val="en-US" w:eastAsia="zh-CN"/>
        </w:rPr>
        <w:t>9</w:t>
      </w:r>
      <w:r>
        <w:rPr>
          <w:rFonts w:ascii="仿宋_GB2312" w:eastAsia="仿宋_GB2312" w:hint="eastAsia"/>
          <w:sz w:val="30"/>
          <w:szCs w:val="30"/>
        </w:rPr>
        <w:t>%。</w:t>
      </w:r>
      <w:r>
        <w:rPr>
          <w:rFonts w:ascii="仿宋_GB2312" w:eastAsia="仿宋_GB2312" w:hAnsi="宋体" w:cs="Arial" w:hint="eastAsia"/>
          <w:kern w:val="0"/>
          <w:sz w:val="30"/>
          <w:szCs w:val="30"/>
        </w:rPr>
        <w:t>主要用于</w:t>
      </w:r>
      <w:r>
        <w:rPr>
          <w:rFonts w:ascii="仿宋_GB2312" w:eastAsia="仿宋_GB2312" w:hAnsi="仿宋" w:hint="eastAsia"/>
          <w:sz w:val="32"/>
          <w:szCs w:val="32"/>
          <w:lang w:val="en-US" w:eastAsia="zh-CN"/>
        </w:rPr>
        <w:t>学前教育建设和CD级危房拆除重建及活动板房安装建设资金</w:t>
      </w:r>
      <w:r>
        <w:rPr>
          <w:rFonts w:ascii="仿宋_GB2312" w:eastAsia="仿宋_GB2312" w:hAnsi="宋体" w:cs="Arial" w:hint="eastAsia"/>
          <w:kern w:val="0"/>
          <w:sz w:val="30"/>
          <w:szCs w:val="30"/>
        </w:rPr>
        <w:t>；</w:t>
      </w:r>
    </w:p>
    <w:p>
      <w:pPr>
        <w:widowControl/>
        <w:snapToGrid w:val="0"/>
        <w:spacing w:before="100" w:after="100" w:line="360" w:lineRule="auto"/>
        <w:ind w:firstLine="600" w:firstLineChars="200"/>
        <w:jc w:val="left"/>
        <w:rPr>
          <w:rFonts w:ascii="仿宋_GB2312" w:eastAsia="仿宋_GB2312" w:hAnsi="宋体" w:cs="Arial" w:hint="eastAsia"/>
          <w:kern w:val="0"/>
          <w:sz w:val="30"/>
          <w:szCs w:val="30"/>
        </w:rPr>
      </w:pPr>
      <w:r>
        <w:rPr>
          <w:rFonts w:ascii="仿宋_GB2312" w:eastAsia="仿宋_GB2312" w:hAnsi="宋体" w:cs="Arial" w:hint="eastAsia"/>
          <w:kern w:val="0"/>
          <w:sz w:val="30"/>
          <w:szCs w:val="30"/>
          <w:lang w:val="en-US" w:eastAsia="zh-CN"/>
        </w:rPr>
        <w:t>5</w:t>
      </w:r>
      <w:r>
        <w:rPr>
          <w:rFonts w:ascii="仿宋_GB2312" w:eastAsia="仿宋_GB2312" w:hAnsi="宋体" w:cs="Arial" w:hint="eastAsia"/>
          <w:kern w:val="0"/>
          <w:sz w:val="30"/>
          <w:szCs w:val="30"/>
        </w:rPr>
        <w:t>.</w:t>
      </w:r>
      <w:r>
        <w:rPr>
          <w:rFonts w:ascii="仿宋_GB2312" w:eastAsia="仿宋_GB2312" w:hAnsi="宋体" w:cs="Arial" w:hint="eastAsia"/>
          <w:kern w:val="0"/>
          <w:sz w:val="30"/>
          <w:szCs w:val="30"/>
          <w:lang w:val="en-US" w:eastAsia="zh-CN"/>
        </w:rPr>
        <w:t>住房保障支出45.1</w:t>
      </w:r>
      <w:r>
        <w:rPr>
          <w:rFonts w:ascii="仿宋_GB2312" w:eastAsia="仿宋_GB2312" w:hAnsi="宋体" w:cs="Arial" w:hint="eastAsia"/>
          <w:kern w:val="0"/>
          <w:sz w:val="30"/>
          <w:szCs w:val="30"/>
        </w:rPr>
        <w:t>万元，</w:t>
      </w:r>
      <w:r>
        <w:rPr>
          <w:rFonts w:ascii="仿宋_GB2312" w:eastAsia="仿宋_GB2312" w:hint="eastAsia"/>
          <w:sz w:val="30"/>
          <w:szCs w:val="30"/>
        </w:rPr>
        <w:t>占一般公共预算财政拨款总支出的</w:t>
      </w:r>
      <w:r>
        <w:rPr>
          <w:rFonts w:ascii="仿宋_GB2312" w:eastAsia="仿宋_GB2312" w:hint="eastAsia"/>
          <w:sz w:val="30"/>
          <w:szCs w:val="30"/>
          <w:lang w:val="en-US" w:eastAsia="zh-CN"/>
        </w:rPr>
        <w:t>0.6</w:t>
      </w:r>
      <w:r>
        <w:rPr>
          <w:rFonts w:ascii="仿宋_GB2312" w:eastAsia="仿宋_GB2312" w:hint="eastAsia"/>
          <w:sz w:val="30"/>
          <w:szCs w:val="30"/>
        </w:rPr>
        <w:t>%。</w:t>
      </w:r>
      <w:r>
        <w:rPr>
          <w:rFonts w:ascii="仿宋_GB2312" w:eastAsia="仿宋_GB2312" w:hAnsi="宋体" w:cs="Arial" w:hint="eastAsia"/>
          <w:kern w:val="0"/>
          <w:sz w:val="30"/>
          <w:szCs w:val="30"/>
        </w:rPr>
        <w:t>主要用于</w:t>
      </w:r>
      <w:r>
        <w:rPr>
          <w:rFonts w:ascii="仿宋_GB2312" w:eastAsia="仿宋_GB2312" w:hAnsi="宋体" w:cs="Arial" w:hint="eastAsia"/>
          <w:kern w:val="0"/>
          <w:sz w:val="30"/>
          <w:szCs w:val="30"/>
          <w:lang w:val="en-US" w:eastAsia="zh-CN"/>
        </w:rPr>
        <w:t>教育局机关在职在岗人员的住房公积金的上缴</w:t>
      </w:r>
      <w:r>
        <w:rPr>
          <w:rFonts w:ascii="仿宋_GB2312" w:eastAsia="仿宋_GB2312" w:hAnsi="宋体" w:cs="Arial" w:hint="eastAsia"/>
          <w:kern w:val="0"/>
          <w:sz w:val="30"/>
          <w:szCs w:val="30"/>
        </w:rPr>
        <w:t>；</w:t>
      </w:r>
      <w:r>
        <w:drawing>
          <wp:inline distT="0" distB="0" distL="114300" distR="114300">
            <wp:extent cx="4572000" cy="2743200"/>
            <wp:effectExtent l="4445" t="4445" r="14605" b="14605"/>
            <wp:docPr id="3" name="图表 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pPr>
        <w:widowControl/>
        <w:snapToGrid w:val="0"/>
        <w:spacing w:before="100" w:after="100" w:line="360" w:lineRule="auto"/>
        <w:ind w:firstLine="600" w:firstLineChars="200"/>
        <w:jc w:val="left"/>
        <w:rPr>
          <w:rFonts w:ascii="仿宋_GB2312" w:eastAsia="仿宋_GB2312" w:hAnsi="宋体" w:cs="Arial" w:hint="eastAsia"/>
          <w:kern w:val="0"/>
          <w:sz w:val="30"/>
          <w:szCs w:val="30"/>
        </w:rPr>
      </w:pPr>
    </w:p>
    <w:p>
      <w:pPr>
        <w:widowControl/>
        <w:snapToGrid w:val="0"/>
        <w:spacing w:before="100" w:after="100" w:line="360" w:lineRule="auto"/>
        <w:jc w:val="left"/>
        <w:rPr>
          <w:rFonts w:ascii="黑体" w:eastAsia="黑体" w:hAnsi="黑体" w:hint="eastAsia"/>
          <w:sz w:val="30"/>
          <w:szCs w:val="30"/>
        </w:rPr>
      </w:pPr>
      <w:r>
        <w:rPr>
          <w:rFonts w:ascii="黑体" w:eastAsia="黑体" w:hAnsi="黑体" w:hint="eastAsia"/>
          <w:sz w:val="30"/>
          <w:szCs w:val="30"/>
        </w:rPr>
        <w:t>四、一般公共预算财政拨款“三公”经费支出决算情况说明</w:t>
      </w:r>
    </w:p>
    <w:p>
      <w:pPr>
        <w:widowControl/>
        <w:snapToGrid w:val="0"/>
        <w:spacing w:before="100" w:after="100" w:line="360" w:lineRule="auto"/>
        <w:ind w:firstLine="600" w:firstLineChars="200"/>
        <w:jc w:val="left"/>
        <w:rPr>
          <w:rFonts w:ascii="楷体" w:eastAsia="楷体" w:hAnsi="楷体" w:hint="eastAsia"/>
          <w:sz w:val="30"/>
          <w:szCs w:val="30"/>
        </w:rPr>
      </w:pPr>
      <w:r>
        <w:rPr>
          <w:rFonts w:ascii="楷体" w:eastAsia="楷体" w:hAnsi="楷体" w:hint="eastAsia"/>
          <w:sz w:val="30"/>
          <w:szCs w:val="30"/>
        </w:rPr>
        <w:t>(一)</w:t>
      </w:r>
      <w:r>
        <w:rPr>
          <w:rFonts w:ascii="黑体" w:eastAsia="黑体" w:hAnsi="黑体" w:hint="eastAsia"/>
          <w:sz w:val="30"/>
          <w:szCs w:val="30"/>
        </w:rPr>
        <w:t xml:space="preserve"> </w:t>
      </w:r>
      <w:r>
        <w:rPr>
          <w:rFonts w:ascii="楷体" w:eastAsia="楷体" w:hAnsi="楷体" w:hint="eastAsia"/>
          <w:sz w:val="30"/>
          <w:szCs w:val="30"/>
        </w:rPr>
        <w:t>一般公共预算财政拨款“三公”经费支出决算总体情况</w:t>
      </w:r>
    </w:p>
    <w:p>
      <w:pPr>
        <w:widowControl/>
        <w:snapToGrid w:val="0"/>
        <w:spacing w:before="100" w:after="100" w:line="360" w:lineRule="auto"/>
        <w:ind w:firstLine="600" w:firstLineChars="200"/>
        <w:jc w:val="left"/>
        <w:rPr>
          <w:rFonts w:ascii="仿宋_GB2312" w:eastAsia="仿宋_GB2312" w:hint="eastAsia"/>
          <w:sz w:val="30"/>
          <w:szCs w:val="30"/>
        </w:rPr>
      </w:pPr>
      <w:r>
        <w:rPr>
          <w:rFonts w:ascii="仿宋_GB2312" w:eastAsia="仿宋_GB2312" w:hint="eastAsia"/>
          <w:sz w:val="30"/>
          <w:szCs w:val="30"/>
          <w:lang w:val="en-US" w:eastAsia="zh-CN"/>
        </w:rPr>
        <w:t>维西县教育局2018</w:t>
      </w:r>
      <w:r>
        <w:rPr>
          <w:rFonts w:ascii="仿宋_GB2312" w:eastAsia="仿宋_GB2312" w:hint="eastAsia"/>
          <w:sz w:val="30"/>
          <w:szCs w:val="30"/>
        </w:rPr>
        <w:t>年度一般公共预算财政拨款“三公”经费支出预算为</w:t>
      </w:r>
      <w:r>
        <w:rPr>
          <w:rFonts w:ascii="仿宋_GB2312" w:eastAsia="仿宋_GB2312" w:hint="eastAsia"/>
          <w:sz w:val="30"/>
          <w:szCs w:val="30"/>
          <w:lang w:val="en-US" w:eastAsia="zh-CN"/>
        </w:rPr>
        <w:t>13.5</w:t>
      </w:r>
      <w:r>
        <w:rPr>
          <w:rFonts w:ascii="仿宋_GB2312" w:eastAsia="仿宋_GB2312" w:hint="eastAsia"/>
          <w:sz w:val="30"/>
          <w:szCs w:val="30"/>
        </w:rPr>
        <w:t>万元，支出决算为</w:t>
      </w:r>
      <w:r>
        <w:rPr>
          <w:rFonts w:ascii="仿宋_GB2312" w:eastAsia="仿宋_GB2312" w:hint="eastAsia"/>
          <w:sz w:val="30"/>
          <w:szCs w:val="30"/>
          <w:lang w:val="en-US" w:eastAsia="zh-CN"/>
        </w:rPr>
        <w:t>8.93</w:t>
      </w:r>
      <w:r>
        <w:rPr>
          <w:rFonts w:ascii="仿宋_GB2312" w:eastAsia="仿宋_GB2312" w:hint="eastAsia"/>
          <w:sz w:val="30"/>
          <w:szCs w:val="30"/>
        </w:rPr>
        <w:t>万元，完成预算的</w:t>
      </w:r>
      <w:r>
        <w:rPr>
          <w:rFonts w:ascii="仿宋_GB2312" w:eastAsia="仿宋_GB2312" w:hint="eastAsia"/>
          <w:sz w:val="30"/>
          <w:szCs w:val="30"/>
          <w:lang w:val="en-US" w:eastAsia="zh-CN"/>
        </w:rPr>
        <w:t>66</w:t>
      </w:r>
      <w:r>
        <w:rPr>
          <w:rFonts w:ascii="仿宋_GB2312" w:eastAsia="仿宋_GB2312" w:hint="eastAsia"/>
          <w:sz w:val="30"/>
          <w:szCs w:val="30"/>
        </w:rPr>
        <w:t>%。其中：公务用车购置及运行费支出决算为</w:t>
      </w:r>
      <w:r>
        <w:rPr>
          <w:rFonts w:ascii="仿宋_GB2312" w:eastAsia="仿宋_GB2312" w:hint="eastAsia"/>
          <w:sz w:val="30"/>
          <w:szCs w:val="30"/>
          <w:lang w:val="en-US" w:eastAsia="zh-CN"/>
        </w:rPr>
        <w:t>3.79</w:t>
      </w:r>
      <w:r>
        <w:rPr>
          <w:rFonts w:ascii="仿宋_GB2312" w:eastAsia="仿宋_GB2312" w:hint="eastAsia"/>
          <w:sz w:val="30"/>
          <w:szCs w:val="30"/>
        </w:rPr>
        <w:t>万元，完成预算的</w:t>
      </w:r>
      <w:r>
        <w:rPr>
          <w:rFonts w:ascii="仿宋_GB2312" w:eastAsia="仿宋_GB2312" w:hint="eastAsia"/>
          <w:sz w:val="30"/>
          <w:szCs w:val="30"/>
          <w:lang w:val="en-US" w:eastAsia="zh-CN"/>
        </w:rPr>
        <w:t>69</w:t>
      </w:r>
      <w:r>
        <w:rPr>
          <w:rFonts w:ascii="仿宋_GB2312" w:eastAsia="仿宋_GB2312" w:hint="eastAsia"/>
          <w:sz w:val="30"/>
          <w:szCs w:val="30"/>
        </w:rPr>
        <w:t>%；公务接待费支出决算为</w:t>
      </w:r>
      <w:r>
        <w:rPr>
          <w:rFonts w:ascii="仿宋_GB2312" w:eastAsia="仿宋_GB2312" w:hint="eastAsia"/>
          <w:sz w:val="30"/>
          <w:szCs w:val="30"/>
          <w:lang w:val="en-US" w:eastAsia="zh-CN"/>
        </w:rPr>
        <w:t>5.13</w:t>
      </w:r>
      <w:r>
        <w:rPr>
          <w:rFonts w:ascii="仿宋_GB2312" w:eastAsia="仿宋_GB2312" w:hint="eastAsia"/>
          <w:sz w:val="30"/>
          <w:szCs w:val="30"/>
        </w:rPr>
        <w:t>万元，完成预算的</w:t>
      </w:r>
      <w:r>
        <w:rPr>
          <w:rFonts w:ascii="仿宋_GB2312" w:eastAsia="仿宋_GB2312" w:hint="eastAsia"/>
          <w:sz w:val="30"/>
          <w:szCs w:val="30"/>
          <w:lang w:val="en-US" w:eastAsia="zh-CN"/>
        </w:rPr>
        <w:t>64</w:t>
      </w:r>
      <w:r>
        <w:rPr>
          <w:rFonts w:ascii="仿宋_GB2312" w:eastAsia="仿宋_GB2312" w:hint="eastAsia"/>
          <w:sz w:val="30"/>
          <w:szCs w:val="30"/>
        </w:rPr>
        <w:t>%。</w:t>
      </w:r>
      <w:r>
        <w:rPr>
          <w:rFonts w:ascii="仿宋_GB2312" w:eastAsia="仿宋_GB2312" w:hint="eastAsia"/>
          <w:sz w:val="30"/>
          <w:szCs w:val="30"/>
          <w:lang w:val="en-US" w:eastAsia="zh-CN"/>
        </w:rPr>
        <w:t>2018</w:t>
      </w:r>
      <w:r>
        <w:rPr>
          <w:rFonts w:ascii="仿宋_GB2312" w:eastAsia="仿宋_GB2312" w:hint="eastAsia"/>
          <w:sz w:val="30"/>
          <w:szCs w:val="30"/>
        </w:rPr>
        <w:t>年度一般公共预算财政拨款“三公”经费支出决算数小于预算数的主要原因</w:t>
      </w:r>
      <w:r>
        <w:rPr>
          <w:rFonts w:ascii="仿宋_GB2312" w:eastAsia="仿宋_GB2312" w:hAnsi="仿宋" w:cs="Times New Roman" w:hint="eastAsia"/>
          <w:color w:val="000000"/>
          <w:sz w:val="32"/>
          <w:szCs w:val="32"/>
          <w:lang w:eastAsia="zh-CN"/>
        </w:rPr>
        <w:t>按照相关规定，厉行节约，减少三公经费支出</w:t>
      </w:r>
      <w:r>
        <w:rPr>
          <w:rFonts w:ascii="仿宋_GB2312" w:eastAsia="仿宋_GB2312" w:hint="eastAsia"/>
          <w:sz w:val="30"/>
          <w:szCs w:val="30"/>
        </w:rPr>
        <w:t>。</w:t>
      </w:r>
    </w:p>
    <w:p>
      <w:pPr>
        <w:ind w:firstLine="709"/>
        <w:rPr>
          <w:rFonts w:ascii="仿宋_GB2312" w:eastAsia="仿宋_GB2312" w:hint="eastAsia"/>
          <w:sz w:val="30"/>
          <w:szCs w:val="30"/>
        </w:rPr>
      </w:pPr>
      <w:r>
        <w:rPr>
          <w:rFonts w:ascii="仿宋_GB2312" w:eastAsia="仿宋_GB2312" w:hint="eastAsia"/>
          <w:sz w:val="30"/>
          <w:szCs w:val="30"/>
          <w:lang w:val="en-US" w:eastAsia="zh-CN"/>
        </w:rPr>
        <w:t>2018</w:t>
      </w:r>
      <w:r>
        <w:rPr>
          <w:rFonts w:ascii="仿宋_GB2312" w:eastAsia="仿宋_GB2312" w:hint="eastAsia"/>
          <w:sz w:val="30"/>
          <w:szCs w:val="30"/>
        </w:rPr>
        <w:t>年度一般公共预算财政拨款“三公”经费支出决算数比</w:t>
      </w:r>
      <w:r>
        <w:rPr>
          <w:rFonts w:ascii="仿宋_GB2312" w:eastAsia="仿宋_GB2312" w:hint="eastAsia"/>
          <w:sz w:val="30"/>
          <w:szCs w:val="30"/>
          <w:lang w:val="en-US" w:eastAsia="zh-CN"/>
        </w:rPr>
        <w:t>2017</w:t>
      </w:r>
      <w:r>
        <w:rPr>
          <w:rFonts w:ascii="仿宋_GB2312" w:eastAsia="仿宋_GB2312" w:hint="eastAsia"/>
          <w:sz w:val="30"/>
          <w:szCs w:val="30"/>
        </w:rPr>
        <w:t>年减少</w:t>
      </w:r>
      <w:r>
        <w:rPr>
          <w:rFonts w:ascii="仿宋_GB2312" w:eastAsia="仿宋_GB2312" w:hint="eastAsia"/>
          <w:sz w:val="30"/>
          <w:szCs w:val="30"/>
          <w:lang w:val="en-US" w:eastAsia="zh-CN"/>
        </w:rPr>
        <w:t>0.25</w:t>
      </w:r>
      <w:r>
        <w:rPr>
          <w:rFonts w:ascii="仿宋_GB2312" w:eastAsia="仿宋_GB2312" w:hint="eastAsia"/>
          <w:sz w:val="30"/>
          <w:szCs w:val="30"/>
        </w:rPr>
        <w:t>万元，下降</w:t>
      </w:r>
      <w:r>
        <w:rPr>
          <w:rFonts w:ascii="仿宋_GB2312" w:eastAsia="仿宋_GB2312" w:hint="eastAsia"/>
          <w:sz w:val="30"/>
          <w:szCs w:val="30"/>
          <w:lang w:val="en-US" w:eastAsia="zh-CN"/>
        </w:rPr>
        <w:t>0.22</w:t>
      </w:r>
      <w:r>
        <w:rPr>
          <w:rFonts w:ascii="仿宋_GB2312" w:eastAsia="仿宋_GB2312" w:hint="eastAsia"/>
          <w:sz w:val="30"/>
          <w:szCs w:val="30"/>
        </w:rPr>
        <w:t>%。其中：公务用车购置及运行费支出决算减少</w:t>
      </w:r>
      <w:r>
        <w:rPr>
          <w:rFonts w:ascii="仿宋_GB2312" w:eastAsia="仿宋_GB2312" w:hint="eastAsia"/>
          <w:sz w:val="30"/>
          <w:szCs w:val="30"/>
          <w:lang w:val="en-US" w:eastAsia="zh-CN"/>
        </w:rPr>
        <w:t>0.008</w:t>
      </w:r>
      <w:r>
        <w:rPr>
          <w:rFonts w:ascii="仿宋_GB2312" w:eastAsia="仿宋_GB2312" w:hint="eastAsia"/>
          <w:sz w:val="30"/>
          <w:szCs w:val="30"/>
        </w:rPr>
        <w:t>万元，下降</w:t>
      </w:r>
      <w:r>
        <w:rPr>
          <w:rFonts w:ascii="仿宋_GB2312" w:eastAsia="仿宋_GB2312" w:hint="eastAsia"/>
          <w:sz w:val="30"/>
          <w:szCs w:val="30"/>
          <w:lang w:val="en-US" w:eastAsia="zh-CN"/>
        </w:rPr>
        <w:t>0.22</w:t>
      </w:r>
      <w:r>
        <w:rPr>
          <w:rFonts w:ascii="仿宋_GB2312" w:eastAsia="仿宋_GB2312" w:hint="eastAsia"/>
          <w:sz w:val="30"/>
          <w:szCs w:val="30"/>
        </w:rPr>
        <w:t>%；公务接待费支出决算减少</w:t>
      </w:r>
      <w:r>
        <w:rPr>
          <w:rFonts w:ascii="仿宋_GB2312" w:eastAsia="仿宋_GB2312" w:hint="eastAsia"/>
          <w:sz w:val="30"/>
          <w:szCs w:val="30"/>
          <w:lang w:val="en-US" w:eastAsia="zh-CN"/>
        </w:rPr>
        <w:t>0.24</w:t>
      </w:r>
      <w:r>
        <w:rPr>
          <w:rFonts w:ascii="仿宋_GB2312" w:eastAsia="仿宋_GB2312" w:hint="eastAsia"/>
          <w:sz w:val="30"/>
          <w:szCs w:val="30"/>
        </w:rPr>
        <w:t>万元，下降</w:t>
      </w:r>
      <w:r>
        <w:rPr>
          <w:rFonts w:ascii="仿宋_GB2312" w:eastAsia="仿宋_GB2312" w:hint="eastAsia"/>
          <w:sz w:val="30"/>
          <w:szCs w:val="30"/>
          <w:lang w:val="en-US" w:eastAsia="zh-CN"/>
        </w:rPr>
        <w:t>4.42</w:t>
      </w:r>
      <w:r>
        <w:rPr>
          <w:rFonts w:ascii="仿宋_GB2312" w:eastAsia="仿宋_GB2312" w:hint="eastAsia"/>
          <w:sz w:val="30"/>
          <w:szCs w:val="30"/>
        </w:rPr>
        <w:t>%。</w:t>
      </w:r>
      <w:r>
        <w:rPr>
          <w:rFonts w:ascii="仿宋_GB2312" w:eastAsia="仿宋_GB2312" w:hint="eastAsia"/>
          <w:sz w:val="30"/>
          <w:szCs w:val="30"/>
          <w:lang w:val="en-US" w:eastAsia="zh-CN"/>
        </w:rPr>
        <w:t>2018</w:t>
      </w:r>
      <w:r>
        <w:rPr>
          <w:rFonts w:ascii="仿宋_GB2312" w:eastAsia="仿宋_GB2312" w:hint="eastAsia"/>
          <w:sz w:val="30"/>
          <w:szCs w:val="30"/>
        </w:rPr>
        <w:t>年度一般公共预算财政拨款“三公”经费支出决算减少的主要原因</w:t>
      </w:r>
      <w:r>
        <w:rPr>
          <w:rFonts w:ascii="仿宋_GB2312" w:eastAsia="仿宋_GB2312" w:hAnsi="仿宋" w:cs="Times New Roman" w:hint="eastAsia"/>
          <w:color w:val="000000"/>
          <w:sz w:val="32"/>
          <w:szCs w:val="32"/>
          <w:lang w:eastAsia="zh-CN"/>
        </w:rPr>
        <w:t>按照相关规定，厉行节约，减少三公经费支出</w:t>
      </w:r>
      <w:r>
        <w:rPr>
          <w:rFonts w:ascii="仿宋_GB2312" w:eastAsia="仿宋_GB2312" w:hint="eastAsia"/>
          <w:sz w:val="30"/>
          <w:szCs w:val="30"/>
        </w:rPr>
        <w:t>。</w:t>
      </w:r>
    </w:p>
    <w:p>
      <w:pPr>
        <w:widowControl/>
        <w:snapToGrid w:val="0"/>
        <w:spacing w:before="100" w:after="100" w:line="360" w:lineRule="auto"/>
        <w:ind w:firstLine="300" w:firstLineChars="100"/>
        <w:jc w:val="left"/>
        <w:rPr>
          <w:rFonts w:ascii="楷体" w:eastAsia="楷体" w:hAnsi="楷体" w:hint="eastAsia"/>
          <w:sz w:val="30"/>
          <w:szCs w:val="30"/>
        </w:rPr>
      </w:pPr>
      <w:r>
        <w:rPr>
          <w:rFonts w:ascii="楷体" w:eastAsia="楷体" w:hAnsi="楷体" w:hint="eastAsia"/>
          <w:sz w:val="30"/>
          <w:szCs w:val="30"/>
        </w:rPr>
        <w:t>(二)</w:t>
      </w:r>
      <w:r>
        <w:rPr>
          <w:rFonts w:ascii="仿宋_GB2312" w:eastAsia="仿宋_GB2312" w:hint="eastAsia"/>
          <w:sz w:val="30"/>
          <w:szCs w:val="30"/>
        </w:rPr>
        <w:t xml:space="preserve"> </w:t>
      </w:r>
      <w:r>
        <w:rPr>
          <w:rFonts w:ascii="楷体" w:eastAsia="楷体" w:hAnsi="楷体" w:hint="eastAsia"/>
          <w:sz w:val="30"/>
          <w:szCs w:val="30"/>
        </w:rPr>
        <w:t>一般公共预算财政拨款“三公”经费支出决算具体情况</w:t>
      </w:r>
    </w:p>
    <w:p>
      <w:pPr>
        <w:widowControl/>
        <w:snapToGrid w:val="0"/>
        <w:spacing w:before="100" w:after="100" w:line="360" w:lineRule="auto"/>
        <w:ind w:firstLine="600" w:firstLineChars="200"/>
        <w:jc w:val="left"/>
        <w:rPr>
          <w:rFonts w:ascii="仿宋_GB2312" w:eastAsia="仿宋_GB2312" w:hint="eastAsia"/>
          <w:sz w:val="30"/>
          <w:szCs w:val="30"/>
        </w:rPr>
      </w:pPr>
      <w:r>
        <w:rPr>
          <w:rFonts w:ascii="仿宋_GB2312" w:eastAsia="仿宋_GB2312" w:hint="eastAsia"/>
          <w:sz w:val="30"/>
          <w:szCs w:val="30"/>
          <w:lang w:val="en-US" w:eastAsia="zh-CN"/>
        </w:rPr>
        <w:t>2018</w:t>
      </w:r>
      <w:r>
        <w:rPr>
          <w:rFonts w:ascii="仿宋_GB2312" w:eastAsia="仿宋_GB2312" w:hint="eastAsia"/>
          <w:sz w:val="30"/>
          <w:szCs w:val="30"/>
        </w:rPr>
        <w:t>年度一般公共预算财政拨款“三公”经费支出决算中；公务用车购置及运行维护费支出</w:t>
      </w:r>
      <w:r>
        <w:rPr>
          <w:rFonts w:ascii="仿宋_GB2312" w:eastAsia="仿宋_GB2312" w:hint="eastAsia"/>
          <w:sz w:val="30"/>
          <w:szCs w:val="30"/>
          <w:lang w:val="en-US" w:eastAsia="zh-CN"/>
        </w:rPr>
        <w:t>3.79</w:t>
      </w:r>
      <w:r>
        <w:rPr>
          <w:rFonts w:ascii="仿宋_GB2312" w:eastAsia="仿宋_GB2312" w:hint="eastAsia"/>
          <w:sz w:val="30"/>
          <w:szCs w:val="30"/>
        </w:rPr>
        <w:t>万元，占</w:t>
      </w:r>
      <w:r>
        <w:rPr>
          <w:rFonts w:ascii="仿宋_GB2312" w:eastAsia="仿宋_GB2312" w:hint="eastAsia"/>
          <w:sz w:val="30"/>
          <w:szCs w:val="30"/>
          <w:lang w:val="en-US" w:eastAsia="zh-CN"/>
        </w:rPr>
        <w:t>43</w:t>
      </w:r>
      <w:r>
        <w:rPr>
          <w:rFonts w:ascii="仿宋_GB2312" w:eastAsia="仿宋_GB2312" w:hint="eastAsia"/>
          <w:sz w:val="30"/>
          <w:szCs w:val="30"/>
        </w:rPr>
        <w:t>%；公务接待费支出</w:t>
      </w:r>
      <w:r>
        <w:rPr>
          <w:rFonts w:ascii="仿宋_GB2312" w:eastAsia="仿宋_GB2312" w:hint="eastAsia"/>
          <w:sz w:val="30"/>
          <w:szCs w:val="30"/>
          <w:lang w:val="en-US" w:eastAsia="zh-CN"/>
        </w:rPr>
        <w:t>5.13</w:t>
      </w:r>
      <w:r>
        <w:rPr>
          <w:rFonts w:ascii="仿宋_GB2312" w:eastAsia="仿宋_GB2312" w:hint="eastAsia"/>
          <w:sz w:val="30"/>
          <w:szCs w:val="30"/>
        </w:rPr>
        <w:t>万元，占</w:t>
      </w:r>
      <w:r>
        <w:rPr>
          <w:rFonts w:ascii="仿宋_GB2312" w:eastAsia="仿宋_GB2312" w:hint="eastAsia"/>
          <w:sz w:val="30"/>
          <w:szCs w:val="30"/>
          <w:lang w:val="en-US" w:eastAsia="zh-CN"/>
        </w:rPr>
        <w:t>57</w:t>
      </w:r>
      <w:r>
        <w:rPr>
          <w:rFonts w:ascii="仿宋_GB2312" w:eastAsia="仿宋_GB2312" w:hint="eastAsia"/>
          <w:sz w:val="30"/>
          <w:szCs w:val="30"/>
        </w:rPr>
        <w:t>%。具体情况如下：</w:t>
      </w:r>
    </w:p>
    <w:p>
      <w:pPr>
        <w:widowControl/>
        <w:numPr>
          <w:ilvl w:val="0"/>
          <w:numId w:val="1"/>
        </w:numPr>
        <w:snapToGrid w:val="0"/>
        <w:spacing w:before="100" w:after="100" w:line="360" w:lineRule="auto"/>
        <w:ind w:firstLine="600" w:firstLineChars="200"/>
        <w:jc w:val="left"/>
        <w:rPr>
          <w:rFonts w:ascii="仿宋_GB2312" w:eastAsia="仿宋_GB2312" w:hint="eastAsia"/>
          <w:sz w:val="30"/>
          <w:szCs w:val="30"/>
        </w:rPr>
      </w:pPr>
      <w:r>
        <w:rPr>
          <w:rFonts w:ascii="仿宋_GB2312" w:eastAsia="仿宋_GB2312" w:hint="eastAsia"/>
          <w:b/>
          <w:sz w:val="30"/>
          <w:szCs w:val="30"/>
        </w:rPr>
        <w:t>因公出国（境）费</w:t>
      </w:r>
      <w:r>
        <w:rPr>
          <w:rFonts w:ascii="仿宋_GB2312" w:eastAsia="仿宋_GB2312" w:hint="eastAsia"/>
          <w:sz w:val="30"/>
          <w:szCs w:val="30"/>
        </w:rPr>
        <w:t>支出</w:t>
      </w:r>
      <w:r>
        <w:rPr>
          <w:rFonts w:ascii="仿宋_GB2312" w:eastAsia="仿宋_GB2312" w:hint="eastAsia"/>
          <w:sz w:val="30"/>
          <w:szCs w:val="30"/>
          <w:lang w:val="en-US" w:eastAsia="zh-CN"/>
        </w:rPr>
        <w:t>0</w:t>
      </w:r>
      <w:r>
        <w:rPr>
          <w:rFonts w:ascii="仿宋_GB2312" w:eastAsia="仿宋_GB2312" w:hint="eastAsia"/>
          <w:sz w:val="30"/>
          <w:szCs w:val="30"/>
        </w:rPr>
        <w:t>万元，共安排因公出国（境）团组</w:t>
      </w:r>
      <w:r>
        <w:rPr>
          <w:rFonts w:ascii="仿宋_GB2312" w:eastAsia="仿宋_GB2312" w:hint="eastAsia"/>
          <w:sz w:val="30"/>
          <w:szCs w:val="30"/>
          <w:lang w:val="en-US" w:eastAsia="zh-CN"/>
        </w:rPr>
        <w:t>0</w:t>
      </w:r>
      <w:r>
        <w:rPr>
          <w:rFonts w:ascii="仿宋_GB2312" w:eastAsia="仿宋_GB2312" w:hint="eastAsia"/>
          <w:sz w:val="30"/>
          <w:szCs w:val="30"/>
        </w:rPr>
        <w:t>个，累计</w:t>
      </w:r>
      <w:r>
        <w:rPr>
          <w:rFonts w:ascii="仿宋_GB2312" w:eastAsia="仿宋_GB2312" w:hint="eastAsia"/>
          <w:sz w:val="30"/>
          <w:szCs w:val="30"/>
          <w:lang w:val="en-US" w:eastAsia="zh-CN"/>
        </w:rPr>
        <w:t>0</w:t>
      </w:r>
      <w:r>
        <w:rPr>
          <w:rFonts w:ascii="仿宋_GB2312" w:eastAsia="仿宋_GB2312" w:hint="eastAsia"/>
          <w:sz w:val="30"/>
          <w:szCs w:val="30"/>
        </w:rPr>
        <w:t>人次。</w:t>
      </w:r>
    </w:p>
    <w:p>
      <w:pPr>
        <w:widowControl/>
        <w:numPr>
          <w:ilvl w:val="0"/>
          <w:numId w:val="0"/>
        </w:numPr>
        <w:snapToGrid w:val="0"/>
        <w:spacing w:before="100" w:after="100" w:line="360" w:lineRule="auto"/>
        <w:ind w:firstLine="600" w:firstLineChars="200"/>
        <w:jc w:val="left"/>
        <w:rPr>
          <w:rFonts w:ascii="仿宋_GB2312" w:eastAsia="仿宋_GB2312" w:hint="eastAsia"/>
          <w:sz w:val="30"/>
          <w:szCs w:val="30"/>
        </w:rPr>
      </w:pPr>
      <w:r>
        <w:rPr>
          <w:rFonts w:ascii="仿宋_GB2312" w:eastAsia="仿宋_GB2312" w:hint="eastAsia"/>
          <w:b/>
          <w:sz w:val="30"/>
          <w:szCs w:val="30"/>
        </w:rPr>
        <w:t>2. 公务用车购置及运行维护费</w:t>
      </w:r>
      <w:r>
        <w:rPr>
          <w:rFonts w:ascii="仿宋_GB2312" w:eastAsia="仿宋_GB2312" w:hint="eastAsia"/>
          <w:sz w:val="30"/>
          <w:szCs w:val="30"/>
        </w:rPr>
        <w:t>支出</w:t>
      </w:r>
      <w:r>
        <w:rPr>
          <w:rFonts w:ascii="仿宋_GB2312" w:eastAsia="仿宋_GB2312" w:hint="eastAsia"/>
          <w:sz w:val="30"/>
          <w:szCs w:val="30"/>
          <w:lang w:val="en-US" w:eastAsia="zh-CN"/>
        </w:rPr>
        <w:t>3.79</w:t>
      </w:r>
      <w:r>
        <w:rPr>
          <w:rFonts w:ascii="仿宋_GB2312" w:eastAsia="仿宋_GB2312" w:hint="eastAsia"/>
          <w:sz w:val="30"/>
          <w:szCs w:val="30"/>
        </w:rPr>
        <w:t>万元。其中：</w:t>
      </w:r>
    </w:p>
    <w:p>
      <w:pPr>
        <w:widowControl/>
        <w:snapToGrid w:val="0"/>
        <w:spacing w:before="100" w:after="100" w:line="360" w:lineRule="auto"/>
        <w:ind w:firstLine="600" w:firstLineChars="200"/>
        <w:jc w:val="left"/>
        <w:rPr>
          <w:rFonts w:ascii="仿宋_GB2312" w:eastAsia="仿宋_GB2312" w:hint="eastAsia"/>
          <w:sz w:val="30"/>
          <w:szCs w:val="30"/>
        </w:rPr>
      </w:pPr>
      <w:r>
        <w:rPr>
          <w:rFonts w:ascii="仿宋_GB2312" w:eastAsia="仿宋_GB2312" w:hint="eastAsia"/>
          <w:b/>
          <w:sz w:val="30"/>
          <w:szCs w:val="30"/>
        </w:rPr>
        <w:t>公务用车购置</w:t>
      </w:r>
      <w:r>
        <w:rPr>
          <w:rFonts w:ascii="仿宋_GB2312" w:eastAsia="仿宋_GB2312" w:hint="eastAsia"/>
          <w:sz w:val="30"/>
          <w:szCs w:val="30"/>
        </w:rPr>
        <w:t>支出</w:t>
      </w:r>
      <w:r>
        <w:rPr>
          <w:rFonts w:ascii="仿宋_GB2312" w:eastAsia="仿宋_GB2312" w:hint="eastAsia"/>
          <w:sz w:val="30"/>
          <w:szCs w:val="30"/>
          <w:lang w:val="en-US" w:eastAsia="zh-CN"/>
        </w:rPr>
        <w:t>0</w:t>
      </w:r>
      <w:r>
        <w:rPr>
          <w:rFonts w:ascii="仿宋_GB2312" w:eastAsia="仿宋_GB2312" w:hint="eastAsia"/>
          <w:sz w:val="30"/>
          <w:szCs w:val="30"/>
        </w:rPr>
        <w:t>万元，购置车辆</w:t>
      </w:r>
      <w:r>
        <w:rPr>
          <w:rFonts w:ascii="仿宋_GB2312" w:eastAsia="仿宋_GB2312" w:hint="eastAsia"/>
          <w:sz w:val="30"/>
          <w:szCs w:val="30"/>
          <w:lang w:val="en-US" w:eastAsia="zh-CN"/>
        </w:rPr>
        <w:t>0</w:t>
      </w:r>
      <w:r>
        <w:rPr>
          <w:rFonts w:ascii="仿宋_GB2312" w:eastAsia="仿宋_GB2312" w:hint="eastAsia"/>
          <w:sz w:val="30"/>
          <w:szCs w:val="30"/>
        </w:rPr>
        <w:t>辆。</w:t>
      </w:r>
    </w:p>
    <w:p>
      <w:pPr>
        <w:widowControl/>
        <w:snapToGrid w:val="0"/>
        <w:spacing w:before="100" w:after="100" w:line="360" w:lineRule="auto"/>
        <w:ind w:firstLine="600" w:firstLineChars="200"/>
        <w:jc w:val="left"/>
        <w:rPr>
          <w:rFonts w:ascii="仿宋_GB2312" w:eastAsia="仿宋_GB2312" w:hint="eastAsia"/>
          <w:sz w:val="30"/>
          <w:szCs w:val="30"/>
        </w:rPr>
      </w:pPr>
      <w:r>
        <w:rPr>
          <w:rFonts w:ascii="仿宋_GB2312" w:eastAsia="仿宋_GB2312" w:hint="eastAsia"/>
          <w:b/>
          <w:sz w:val="30"/>
          <w:szCs w:val="30"/>
        </w:rPr>
        <w:t>公务用车运行维护</w:t>
      </w:r>
      <w:r>
        <w:rPr>
          <w:rFonts w:ascii="仿宋_GB2312" w:eastAsia="仿宋_GB2312" w:hint="eastAsia"/>
          <w:sz w:val="30"/>
          <w:szCs w:val="30"/>
        </w:rPr>
        <w:t>支出</w:t>
      </w:r>
      <w:r>
        <w:rPr>
          <w:rFonts w:ascii="仿宋_GB2312" w:eastAsia="仿宋_GB2312" w:hint="eastAsia"/>
          <w:sz w:val="30"/>
          <w:szCs w:val="30"/>
          <w:lang w:val="en-US" w:eastAsia="zh-CN"/>
        </w:rPr>
        <w:t>3.79</w:t>
      </w:r>
      <w:r>
        <w:rPr>
          <w:rFonts w:ascii="仿宋_GB2312" w:eastAsia="仿宋_GB2312" w:hint="eastAsia"/>
          <w:sz w:val="30"/>
          <w:szCs w:val="30"/>
        </w:rPr>
        <w:t>万元，开支一般公共预算财政拨款的公务用车保有量为</w:t>
      </w:r>
      <w:r>
        <w:rPr>
          <w:rFonts w:ascii="仿宋_GB2312" w:eastAsia="仿宋_GB2312" w:hint="eastAsia"/>
          <w:sz w:val="30"/>
          <w:szCs w:val="30"/>
          <w:lang w:val="en-US" w:eastAsia="zh-CN"/>
        </w:rPr>
        <w:t>2</w:t>
      </w:r>
      <w:r>
        <w:rPr>
          <w:rFonts w:ascii="仿宋_GB2312" w:eastAsia="仿宋_GB2312" w:hint="eastAsia"/>
          <w:sz w:val="30"/>
          <w:szCs w:val="30"/>
        </w:rPr>
        <w:t>辆。主要用于</w:t>
      </w:r>
      <w:r>
        <w:rPr>
          <w:rFonts w:ascii="仿宋_GB2312" w:eastAsia="仿宋_GB2312" w:hint="eastAsia"/>
          <w:sz w:val="30"/>
          <w:szCs w:val="30"/>
          <w:lang w:val="en-US" w:eastAsia="zh-CN"/>
        </w:rPr>
        <w:t>教育局</w:t>
      </w:r>
      <w:r>
        <w:rPr>
          <w:rFonts w:ascii="仿宋_GB2312" w:eastAsia="仿宋_GB2312" w:hint="eastAsia"/>
          <w:sz w:val="30"/>
          <w:szCs w:val="30"/>
        </w:rPr>
        <w:t>所需车辆燃料费、维修费、过路过桥费、保险费等。</w:t>
      </w:r>
    </w:p>
    <w:p>
      <w:pPr>
        <w:widowControl/>
        <w:snapToGrid w:val="0"/>
        <w:spacing w:before="100" w:after="100" w:line="360" w:lineRule="auto"/>
        <w:ind w:firstLine="600" w:firstLineChars="200"/>
        <w:jc w:val="left"/>
        <w:rPr>
          <w:rFonts w:ascii="仿宋_GB2312" w:eastAsia="仿宋_GB2312" w:hint="eastAsia"/>
          <w:sz w:val="30"/>
          <w:szCs w:val="30"/>
        </w:rPr>
      </w:pPr>
      <w:r>
        <w:rPr>
          <w:rFonts w:ascii="仿宋_GB2312" w:eastAsia="仿宋_GB2312" w:hint="eastAsia"/>
          <w:b/>
          <w:sz w:val="30"/>
          <w:szCs w:val="30"/>
        </w:rPr>
        <w:t>3.公务接待费</w:t>
      </w:r>
      <w:r>
        <w:rPr>
          <w:rFonts w:ascii="仿宋_GB2312" w:eastAsia="仿宋_GB2312" w:hint="eastAsia"/>
          <w:sz w:val="30"/>
          <w:szCs w:val="30"/>
        </w:rPr>
        <w:t>支出</w:t>
      </w:r>
      <w:r>
        <w:rPr>
          <w:rFonts w:ascii="仿宋_GB2312" w:eastAsia="仿宋_GB2312" w:hint="eastAsia"/>
          <w:sz w:val="30"/>
          <w:szCs w:val="30"/>
          <w:lang w:val="en-US" w:eastAsia="zh-CN"/>
        </w:rPr>
        <w:t>5.13</w:t>
      </w:r>
      <w:r>
        <w:rPr>
          <w:rFonts w:ascii="仿宋_GB2312" w:eastAsia="仿宋_GB2312" w:hint="eastAsia"/>
          <w:sz w:val="30"/>
          <w:szCs w:val="30"/>
        </w:rPr>
        <w:t>万元。其中：</w:t>
      </w:r>
    </w:p>
    <w:p>
      <w:pPr>
        <w:widowControl/>
        <w:snapToGrid w:val="0"/>
        <w:spacing w:before="100" w:after="100" w:line="360" w:lineRule="auto"/>
        <w:ind w:firstLine="600" w:firstLineChars="200"/>
        <w:jc w:val="left"/>
        <w:rPr>
          <w:rFonts w:ascii="仿宋_GB2312" w:eastAsia="仿宋_GB2312" w:hint="eastAsia"/>
          <w:sz w:val="30"/>
          <w:szCs w:val="30"/>
        </w:rPr>
      </w:pPr>
      <w:r>
        <w:rPr>
          <w:rFonts w:ascii="仿宋_GB2312" w:eastAsia="仿宋_GB2312" w:hint="eastAsia"/>
          <w:b/>
          <w:sz w:val="30"/>
          <w:szCs w:val="30"/>
        </w:rPr>
        <w:t>国内接待费</w:t>
      </w:r>
      <w:r>
        <w:rPr>
          <w:rFonts w:ascii="仿宋_GB2312" w:eastAsia="仿宋_GB2312" w:hint="eastAsia"/>
          <w:sz w:val="30"/>
          <w:szCs w:val="30"/>
        </w:rPr>
        <w:t>支出</w:t>
      </w:r>
      <w:r>
        <w:rPr>
          <w:rFonts w:ascii="仿宋_GB2312" w:eastAsia="仿宋_GB2312" w:hint="eastAsia"/>
          <w:sz w:val="30"/>
          <w:szCs w:val="30"/>
          <w:lang w:val="en-US" w:eastAsia="zh-CN"/>
        </w:rPr>
        <w:t>5.13</w:t>
      </w:r>
      <w:r>
        <w:rPr>
          <w:rFonts w:ascii="仿宋_GB2312" w:eastAsia="仿宋_GB2312" w:hint="eastAsia"/>
          <w:sz w:val="30"/>
          <w:szCs w:val="30"/>
        </w:rPr>
        <w:t>万元（其中：外事接待费支出</w:t>
      </w:r>
      <w:r>
        <w:rPr>
          <w:rFonts w:ascii="仿宋_GB2312" w:eastAsia="仿宋_GB2312" w:hint="eastAsia"/>
          <w:sz w:val="30"/>
          <w:szCs w:val="30"/>
          <w:lang w:val="en-US" w:eastAsia="zh-CN"/>
        </w:rPr>
        <w:t>0</w:t>
      </w:r>
      <w:r>
        <w:rPr>
          <w:rFonts w:ascii="仿宋_GB2312" w:eastAsia="仿宋_GB2312" w:hint="eastAsia"/>
          <w:sz w:val="30"/>
          <w:szCs w:val="30"/>
        </w:rPr>
        <w:t>万元），共安排国内公务接待</w:t>
      </w:r>
      <w:r>
        <w:rPr>
          <w:rFonts w:ascii="仿宋_GB2312" w:eastAsia="仿宋_GB2312" w:hint="eastAsia"/>
          <w:sz w:val="30"/>
          <w:szCs w:val="30"/>
          <w:lang w:val="en-US" w:eastAsia="zh-CN"/>
        </w:rPr>
        <w:t>128</w:t>
      </w:r>
      <w:r>
        <w:rPr>
          <w:rFonts w:ascii="仿宋_GB2312" w:eastAsia="仿宋_GB2312" w:hint="eastAsia"/>
          <w:sz w:val="30"/>
          <w:szCs w:val="30"/>
        </w:rPr>
        <w:t>批次（其中：外事接待</w:t>
      </w:r>
      <w:r>
        <w:rPr>
          <w:rFonts w:ascii="仿宋_GB2312" w:eastAsia="仿宋_GB2312" w:hint="eastAsia"/>
          <w:sz w:val="30"/>
          <w:szCs w:val="30"/>
          <w:lang w:val="en-US" w:eastAsia="zh-CN"/>
        </w:rPr>
        <w:t>0</w:t>
      </w:r>
      <w:r>
        <w:rPr>
          <w:rFonts w:ascii="仿宋_GB2312" w:eastAsia="仿宋_GB2312" w:hint="eastAsia"/>
          <w:sz w:val="30"/>
          <w:szCs w:val="30"/>
        </w:rPr>
        <w:t>批次），接待人次</w:t>
      </w:r>
      <w:r>
        <w:rPr>
          <w:rFonts w:ascii="仿宋_GB2312" w:eastAsia="仿宋_GB2312" w:hint="eastAsia"/>
          <w:sz w:val="30"/>
          <w:szCs w:val="30"/>
          <w:lang w:val="en-US" w:eastAsia="zh-CN"/>
        </w:rPr>
        <w:t>580</w:t>
      </w:r>
      <w:r>
        <w:rPr>
          <w:rFonts w:ascii="仿宋_GB2312" w:eastAsia="仿宋_GB2312" w:hint="eastAsia"/>
          <w:sz w:val="30"/>
          <w:szCs w:val="30"/>
        </w:rPr>
        <w:t>人（其中：外事接待人次</w:t>
      </w:r>
      <w:r>
        <w:rPr>
          <w:rFonts w:ascii="仿宋_GB2312" w:eastAsia="仿宋_GB2312" w:hint="eastAsia"/>
          <w:sz w:val="30"/>
          <w:szCs w:val="30"/>
          <w:lang w:val="en-US" w:eastAsia="zh-CN"/>
        </w:rPr>
        <w:t>0</w:t>
      </w:r>
      <w:r>
        <w:rPr>
          <w:rFonts w:ascii="仿宋_GB2312" w:eastAsia="仿宋_GB2312" w:hint="eastAsia"/>
          <w:sz w:val="30"/>
          <w:szCs w:val="30"/>
        </w:rPr>
        <w:t>人）。主要用于</w:t>
      </w:r>
      <w:r>
        <w:rPr>
          <w:rFonts w:ascii="仿宋_GB2312" w:eastAsia="仿宋_GB2312" w:hint="eastAsia"/>
          <w:sz w:val="30"/>
          <w:szCs w:val="30"/>
          <w:lang w:val="en-US" w:eastAsia="zh-CN"/>
        </w:rPr>
        <w:t>2018年教育相关工作</w:t>
      </w:r>
      <w:r>
        <w:rPr>
          <w:rFonts w:ascii="仿宋_GB2312" w:eastAsia="仿宋_GB2312" w:hint="eastAsia"/>
          <w:sz w:val="30"/>
          <w:szCs w:val="30"/>
        </w:rPr>
        <w:t>发生的接待支出。</w:t>
      </w:r>
    </w:p>
    <w:p>
      <w:pPr>
        <w:widowControl/>
        <w:snapToGrid w:val="0"/>
        <w:spacing w:before="100" w:after="100" w:line="360" w:lineRule="auto"/>
        <w:ind w:firstLine="640" w:firstLineChars="200"/>
        <w:jc w:val="left"/>
        <w:rPr>
          <w:rFonts w:ascii="仿宋_GB2312" w:eastAsia="仿宋_GB2312" w:hint="eastAsia"/>
          <w:sz w:val="32"/>
          <w:szCs w:val="32"/>
        </w:rPr>
      </w:pPr>
      <w:r>
        <w:rPr>
          <w:rFonts w:ascii="黑体" w:eastAsia="黑体" w:hAnsi="黑体" w:cs="方正小标宋简体" w:hint="eastAsia"/>
          <w:sz w:val="32"/>
          <w:szCs w:val="32"/>
        </w:rPr>
        <w:t xml:space="preserve">第四部分  </w:t>
      </w:r>
      <w:r>
        <w:rPr>
          <w:rFonts w:ascii="黑体" w:eastAsia="黑体" w:hAnsi="黑体" w:hint="eastAsia"/>
          <w:sz w:val="32"/>
          <w:szCs w:val="32"/>
        </w:rPr>
        <w:t>其他重要事项及相关口径情况说明</w:t>
      </w:r>
    </w:p>
    <w:p>
      <w:pPr>
        <w:ind w:firstLine="600" w:firstLineChars="200"/>
        <w:jc w:val="left"/>
        <w:rPr>
          <w:rFonts w:ascii="黑体" w:eastAsia="黑体" w:hAnsi="黑体" w:cs="黑体" w:hint="eastAsia"/>
          <w:sz w:val="30"/>
          <w:szCs w:val="30"/>
        </w:rPr>
      </w:pPr>
      <w:r>
        <w:rPr>
          <w:rFonts w:ascii="黑体" w:eastAsia="黑体" w:hAnsi="黑体" w:cs="黑体" w:hint="eastAsia"/>
          <w:sz w:val="30"/>
          <w:szCs w:val="30"/>
        </w:rPr>
        <w:t>一</w:t>
      </w:r>
      <w:r>
        <w:rPr>
          <w:rFonts w:ascii="黑体" w:eastAsia="黑体" w:hAnsi="黑体" w:cs="黑体" w:hint="eastAsia"/>
          <w:sz w:val="30"/>
          <w:szCs w:val="30"/>
          <w:lang w:eastAsia="zh-CN"/>
        </w:rPr>
        <w:t>、</w:t>
      </w:r>
      <w:r>
        <w:rPr>
          <w:rFonts w:ascii="黑体" w:eastAsia="黑体" w:hAnsi="黑体" w:cs="黑体" w:hint="eastAsia"/>
          <w:sz w:val="30"/>
          <w:szCs w:val="30"/>
        </w:rPr>
        <w:t>机关运行经费支出情况</w:t>
      </w:r>
    </w:p>
    <w:p>
      <w:pPr>
        <w:ind w:firstLine="600" w:firstLineChars="200"/>
        <w:jc w:val="left"/>
        <w:rPr>
          <w:rFonts w:ascii="仿宋_GB2312" w:eastAsia="仿宋_GB2312" w:hAnsi="黑体" w:cs="方正小标宋简体" w:hint="default"/>
          <w:sz w:val="30"/>
          <w:szCs w:val="30"/>
          <w:lang w:val="en-US" w:eastAsia="zh-CN"/>
        </w:rPr>
      </w:pPr>
      <w:r>
        <w:rPr>
          <w:rFonts w:ascii="仿宋_GB2312" w:eastAsia="仿宋_GB2312" w:hAnsi="黑体" w:cs="方正小标宋简体" w:hint="eastAsia"/>
          <w:sz w:val="30"/>
          <w:szCs w:val="30"/>
          <w:lang w:val="en-US" w:eastAsia="zh-CN"/>
        </w:rPr>
        <w:t>维西县教育局2018</w:t>
      </w:r>
      <w:r>
        <w:rPr>
          <w:rFonts w:ascii="仿宋_GB2312" w:eastAsia="仿宋_GB2312" w:hAnsi="黑体" w:cs="方正小标宋简体" w:hint="eastAsia"/>
          <w:sz w:val="30"/>
          <w:szCs w:val="30"/>
        </w:rPr>
        <w:t>年机关运行经费支出</w:t>
      </w:r>
      <w:r>
        <w:rPr>
          <w:rFonts w:ascii="仿宋_GB2312" w:eastAsia="仿宋_GB2312" w:hAnsi="黑体" w:cs="方正小标宋简体" w:hint="eastAsia"/>
          <w:sz w:val="30"/>
          <w:szCs w:val="30"/>
          <w:lang w:val="en-US" w:eastAsia="zh-CN"/>
        </w:rPr>
        <w:t>77.62</w:t>
      </w:r>
      <w:r>
        <w:rPr>
          <w:rFonts w:ascii="仿宋_GB2312" w:eastAsia="仿宋_GB2312" w:hAnsi="黑体" w:cs="方正小标宋简体" w:hint="eastAsia"/>
          <w:sz w:val="30"/>
          <w:szCs w:val="30"/>
        </w:rPr>
        <w:t>万元，</w:t>
      </w:r>
      <w:r>
        <w:rPr>
          <w:rFonts w:ascii="仿宋_GB2312" w:eastAsia="仿宋_GB2312" w:hAnsi="仿宋" w:cs="Times New Roman" w:hint="eastAsia"/>
          <w:color w:val="000000"/>
          <w:sz w:val="32"/>
          <w:szCs w:val="32"/>
          <w:lang w:eastAsia="zh-CN"/>
        </w:rPr>
        <w:t>2017年46.1</w:t>
      </w:r>
      <w:r>
        <w:rPr>
          <w:rFonts w:ascii="仿宋_GB2312" w:eastAsia="仿宋_GB2312" w:hAnsi="仿宋" w:cs="Times New Roman" w:hint="eastAsia"/>
          <w:color w:val="000000"/>
          <w:sz w:val="32"/>
          <w:szCs w:val="32"/>
          <w:lang w:val="en-US" w:eastAsia="zh-CN"/>
        </w:rPr>
        <w:t>9</w:t>
      </w:r>
      <w:r>
        <w:rPr>
          <w:rFonts w:ascii="仿宋_GB2312" w:eastAsia="仿宋_GB2312" w:hAnsi="仿宋" w:cs="Times New Roman" w:hint="eastAsia"/>
          <w:color w:val="000000"/>
          <w:sz w:val="32"/>
          <w:szCs w:val="32"/>
          <w:lang w:eastAsia="zh-CN"/>
        </w:rPr>
        <w:t>万元，比上年增减31.43万元，增减比列为68.06%，</w:t>
      </w:r>
      <w:r>
        <w:rPr>
          <w:rFonts w:ascii="仿宋_GB2312" w:eastAsia="仿宋_GB2312" w:hAnsi="黑体" w:cs="方正小标宋简体" w:hint="eastAsia"/>
          <w:sz w:val="30"/>
          <w:szCs w:val="30"/>
        </w:rPr>
        <w:t>部门机关运行经费主要用于</w:t>
      </w:r>
      <w:r>
        <w:rPr>
          <w:rFonts w:ascii="仿宋_GB2312" w:eastAsia="仿宋_GB2312" w:hAnsi="黑体" w:cs="方正小标宋简体" w:hint="eastAsia"/>
          <w:sz w:val="30"/>
          <w:szCs w:val="30"/>
          <w:lang w:val="en-US" w:eastAsia="zh-CN"/>
        </w:rPr>
        <w:t>教育局机关的办公，出差，培训经费。</w:t>
      </w:r>
    </w:p>
    <w:p>
      <w:pPr>
        <w:widowControl/>
        <w:ind w:firstLine="600" w:firstLineChars="200"/>
        <w:rPr>
          <w:rFonts w:ascii="黑体" w:eastAsia="黑体" w:hAnsi="黑体" w:cs="黑体" w:hint="eastAsia"/>
          <w:color w:val="000000"/>
          <w:kern w:val="0"/>
          <w:sz w:val="30"/>
          <w:szCs w:val="30"/>
        </w:rPr>
      </w:pPr>
      <w:r>
        <w:rPr>
          <w:rFonts w:ascii="黑体" w:eastAsia="黑体" w:hAnsi="黑体" w:cs="黑体" w:hint="eastAsia"/>
          <w:color w:val="000000"/>
          <w:kern w:val="0"/>
          <w:sz w:val="30"/>
          <w:szCs w:val="30"/>
          <w:lang w:eastAsia="zh-CN"/>
        </w:rPr>
        <w:t>二、</w:t>
      </w:r>
      <w:r>
        <w:rPr>
          <w:rFonts w:ascii="黑体" w:eastAsia="黑体" w:hAnsi="黑体" w:cs="黑体" w:hint="eastAsia"/>
          <w:color w:val="000000"/>
          <w:kern w:val="0"/>
          <w:sz w:val="30"/>
          <w:szCs w:val="30"/>
        </w:rPr>
        <w:t>国有资产占用情况</w:t>
      </w:r>
    </w:p>
    <w:p>
      <w:pPr>
        <w:widowControl/>
        <w:ind w:firstLine="600" w:firstLineChars="200"/>
        <w:rPr>
          <w:rFonts w:ascii="宋体" w:hAnsi="宋体" w:cs="宋体"/>
          <w:color w:val="000000"/>
          <w:kern w:val="0"/>
          <w:sz w:val="30"/>
          <w:szCs w:val="30"/>
        </w:rPr>
      </w:pPr>
      <w:r>
        <w:rPr>
          <w:rFonts w:ascii="仿宋_GB2312" w:eastAsia="仿宋_GB2312" w:hAnsi="黑体" w:cs="方正小标宋简体" w:hint="eastAsia"/>
          <w:color w:val="000000"/>
          <w:kern w:val="0"/>
          <w:sz w:val="30"/>
          <w:szCs w:val="30"/>
        </w:rPr>
        <w:t>截至</w:t>
      </w:r>
      <w:r>
        <w:rPr>
          <w:rFonts w:ascii="仿宋_GB2312" w:eastAsia="仿宋_GB2312" w:hAnsi="黑体" w:cs="方正小标宋简体" w:hint="eastAsia"/>
          <w:color w:val="000000"/>
          <w:kern w:val="0"/>
          <w:sz w:val="30"/>
          <w:szCs w:val="30"/>
          <w:lang w:val="en-US" w:eastAsia="zh-CN"/>
        </w:rPr>
        <w:t>2018</w:t>
      </w:r>
      <w:r>
        <w:rPr>
          <w:rFonts w:ascii="仿宋_GB2312" w:eastAsia="仿宋_GB2312" w:hAnsi="黑体" w:cs="方正小标宋简体" w:hint="eastAsia"/>
          <w:color w:val="000000"/>
          <w:kern w:val="0"/>
          <w:sz w:val="30"/>
          <w:szCs w:val="30"/>
        </w:rPr>
        <w:t>年</w:t>
      </w:r>
      <w:r>
        <w:rPr>
          <w:rFonts w:ascii="仿宋_GB2312" w:eastAsia="仿宋_GB2312" w:hAnsi="黑体" w:cs="方正小标宋简体" w:hint="eastAsia"/>
          <w:color w:val="000000"/>
          <w:kern w:val="0"/>
          <w:sz w:val="30"/>
          <w:szCs w:val="30"/>
          <w:lang w:val="en-US" w:eastAsia="zh-CN"/>
        </w:rPr>
        <w:t>12</w:t>
      </w:r>
      <w:r>
        <w:rPr>
          <w:rFonts w:ascii="仿宋_GB2312" w:eastAsia="仿宋_GB2312" w:hAnsi="黑体" w:cs="方正小标宋简体" w:hint="eastAsia"/>
          <w:color w:val="000000"/>
          <w:kern w:val="0"/>
          <w:sz w:val="30"/>
          <w:szCs w:val="30"/>
        </w:rPr>
        <w:t>月</w:t>
      </w:r>
      <w:r>
        <w:rPr>
          <w:rFonts w:ascii="仿宋_GB2312" w:eastAsia="仿宋_GB2312" w:hAnsi="黑体" w:cs="方正小标宋简体" w:hint="eastAsia"/>
          <w:color w:val="000000"/>
          <w:kern w:val="0"/>
          <w:sz w:val="30"/>
          <w:szCs w:val="30"/>
          <w:lang w:val="en-US" w:eastAsia="zh-CN"/>
        </w:rPr>
        <w:t>31</w:t>
      </w:r>
      <w:r>
        <w:rPr>
          <w:rFonts w:ascii="仿宋_GB2312" w:eastAsia="仿宋_GB2312" w:hAnsi="黑体" w:cs="方正小标宋简体" w:hint="eastAsia"/>
          <w:color w:val="000000"/>
          <w:kern w:val="0"/>
          <w:sz w:val="30"/>
          <w:szCs w:val="30"/>
        </w:rPr>
        <w:t>日，</w:t>
      </w:r>
      <w:r>
        <w:rPr>
          <w:rFonts w:ascii="仿宋_GB2312" w:eastAsia="仿宋_GB2312" w:hAnsi="黑体" w:cs="方正小标宋简体" w:hint="eastAsia"/>
          <w:color w:val="000000"/>
          <w:kern w:val="0"/>
          <w:sz w:val="30"/>
          <w:szCs w:val="30"/>
          <w:lang w:val="en-US" w:eastAsia="zh-CN"/>
        </w:rPr>
        <w:t>维西县教育局</w:t>
      </w:r>
      <w:r>
        <w:rPr>
          <w:rFonts w:ascii="仿宋_GB2312" w:eastAsia="仿宋_GB2312" w:hAnsi="黑体" w:cs="方正小标宋简体" w:hint="eastAsia"/>
          <w:color w:val="000000"/>
          <w:kern w:val="0"/>
          <w:sz w:val="30"/>
          <w:szCs w:val="30"/>
        </w:rPr>
        <w:t>资产总额</w:t>
      </w:r>
      <w:r>
        <w:rPr>
          <w:rFonts w:ascii="仿宋_GB2312" w:eastAsia="仿宋_GB2312" w:hAnsi="黑体" w:cs="方正小标宋简体" w:hint="eastAsia"/>
          <w:color w:val="000000"/>
          <w:kern w:val="0"/>
          <w:sz w:val="30"/>
          <w:szCs w:val="30"/>
          <w:lang w:val="en-US" w:eastAsia="zh-CN"/>
        </w:rPr>
        <w:t>18919.06</w:t>
      </w:r>
      <w:r>
        <w:rPr>
          <w:rFonts w:ascii="仿宋_GB2312" w:eastAsia="仿宋_GB2312" w:hAnsi="黑体" w:cs="方正小标宋简体" w:hint="eastAsia"/>
          <w:color w:val="000000"/>
          <w:kern w:val="0"/>
          <w:sz w:val="30"/>
          <w:szCs w:val="30"/>
        </w:rPr>
        <w:t>万元，其中，流动资产</w:t>
      </w:r>
      <w:r>
        <w:rPr>
          <w:rFonts w:ascii="仿宋_GB2312" w:eastAsia="仿宋_GB2312" w:hAnsi="黑体" w:cs="方正小标宋简体" w:hint="eastAsia"/>
          <w:color w:val="000000"/>
          <w:kern w:val="0"/>
          <w:sz w:val="30"/>
          <w:szCs w:val="30"/>
          <w:lang w:val="en-US" w:eastAsia="zh-CN"/>
        </w:rPr>
        <w:t>9742.9</w:t>
      </w:r>
      <w:r>
        <w:rPr>
          <w:rFonts w:ascii="仿宋_GB2312" w:eastAsia="仿宋_GB2312" w:hAnsi="黑体" w:cs="方正小标宋简体" w:hint="eastAsia"/>
          <w:color w:val="000000"/>
          <w:kern w:val="0"/>
          <w:sz w:val="30"/>
          <w:szCs w:val="30"/>
        </w:rPr>
        <w:t>万元，固定资产</w:t>
      </w:r>
      <w:r>
        <w:rPr>
          <w:rFonts w:ascii="仿宋_GB2312" w:eastAsia="仿宋_GB2312" w:hAnsi="黑体" w:cs="方正小标宋简体" w:hint="eastAsia"/>
          <w:color w:val="000000"/>
          <w:kern w:val="0"/>
          <w:sz w:val="30"/>
          <w:szCs w:val="30"/>
          <w:lang w:val="en-US" w:eastAsia="zh-CN"/>
        </w:rPr>
        <w:t>159.86</w:t>
      </w:r>
      <w:r>
        <w:rPr>
          <w:rFonts w:ascii="仿宋_GB2312" w:eastAsia="仿宋_GB2312" w:hAnsi="黑体" w:cs="方正小标宋简体" w:hint="eastAsia"/>
          <w:color w:val="000000"/>
          <w:kern w:val="0"/>
          <w:sz w:val="30"/>
          <w:szCs w:val="30"/>
        </w:rPr>
        <w:t>万元，在建工程</w:t>
      </w:r>
      <w:r>
        <w:rPr>
          <w:rFonts w:ascii="仿宋_GB2312" w:eastAsia="仿宋_GB2312" w:hAnsi="黑体" w:cs="方正小标宋简体" w:hint="eastAsia"/>
          <w:color w:val="000000"/>
          <w:kern w:val="0"/>
          <w:sz w:val="30"/>
          <w:szCs w:val="30"/>
          <w:lang w:val="en-US" w:eastAsia="zh-CN"/>
        </w:rPr>
        <w:t>9016.29</w:t>
      </w:r>
      <w:r>
        <w:rPr>
          <w:rFonts w:ascii="仿宋_GB2312" w:eastAsia="仿宋_GB2312" w:hAnsi="黑体" w:cs="方正小标宋简体" w:hint="eastAsia"/>
          <w:color w:val="000000"/>
          <w:kern w:val="0"/>
          <w:sz w:val="30"/>
          <w:szCs w:val="30"/>
        </w:rPr>
        <w:t>万元（具体内容详见附表）。与上年相比，本年资产总额增加</w:t>
      </w:r>
      <w:r>
        <w:rPr>
          <w:rFonts w:ascii="仿宋_GB2312" w:eastAsia="仿宋_GB2312" w:hAnsi="黑体" w:cs="方正小标宋简体" w:hint="eastAsia"/>
          <w:color w:val="000000"/>
          <w:kern w:val="0"/>
          <w:sz w:val="30"/>
          <w:szCs w:val="30"/>
          <w:lang w:val="en-US" w:eastAsia="zh-CN"/>
        </w:rPr>
        <w:t>7172.55</w:t>
      </w:r>
      <w:r>
        <w:rPr>
          <w:rFonts w:ascii="仿宋_GB2312" w:eastAsia="仿宋_GB2312" w:hAnsi="黑体" w:cs="方正小标宋简体" w:hint="eastAsia"/>
          <w:color w:val="000000"/>
          <w:kern w:val="0"/>
          <w:sz w:val="30"/>
          <w:szCs w:val="30"/>
        </w:rPr>
        <w:t>万元，其中固定资产减少</w:t>
      </w:r>
      <w:r>
        <w:rPr>
          <w:rFonts w:ascii="仿宋_GB2312" w:eastAsia="仿宋_GB2312" w:hAnsi="黑体" w:cs="方正小标宋简体" w:hint="eastAsia"/>
          <w:color w:val="000000"/>
          <w:kern w:val="0"/>
          <w:sz w:val="30"/>
          <w:szCs w:val="30"/>
          <w:lang w:val="en-US" w:eastAsia="zh-CN"/>
        </w:rPr>
        <w:t>49.22</w:t>
      </w:r>
      <w:r>
        <w:rPr>
          <w:rFonts w:ascii="仿宋_GB2312" w:eastAsia="仿宋_GB2312" w:hAnsi="黑体" w:cs="方正小标宋简体" w:hint="eastAsia"/>
          <w:color w:val="000000"/>
          <w:kern w:val="0"/>
          <w:sz w:val="30"/>
          <w:szCs w:val="30"/>
        </w:rPr>
        <w:t>万元。</w:t>
      </w:r>
      <w:r>
        <w:rPr>
          <w:rFonts w:ascii="仿宋_GB2312" w:eastAsia="仿宋_GB2312" w:hAnsi="黑体" w:cs="方正小标宋简体" w:hint="eastAsia"/>
          <w:color w:val="000000"/>
          <w:kern w:val="0"/>
          <w:sz w:val="30"/>
          <w:szCs w:val="30"/>
          <w:lang w:val="en-US" w:eastAsia="zh-CN"/>
        </w:rPr>
        <w:t>划转</w:t>
      </w:r>
      <w:r>
        <w:rPr>
          <w:rFonts w:ascii="仿宋_GB2312" w:eastAsia="仿宋_GB2312" w:hAnsi="黑体" w:cs="方正小标宋简体" w:hint="eastAsia"/>
          <w:color w:val="000000"/>
          <w:kern w:val="0"/>
          <w:sz w:val="30"/>
          <w:szCs w:val="30"/>
        </w:rPr>
        <w:t>报废报损资产</w:t>
      </w:r>
      <w:r>
        <w:rPr>
          <w:rFonts w:ascii="仿宋_GB2312" w:eastAsia="仿宋_GB2312" w:hAnsi="黑体" w:cs="方正小标宋简体" w:hint="eastAsia"/>
          <w:color w:val="000000"/>
          <w:kern w:val="0"/>
          <w:sz w:val="30"/>
          <w:szCs w:val="30"/>
          <w:lang w:val="en-US" w:eastAsia="zh-CN"/>
        </w:rPr>
        <w:t>258</w:t>
      </w:r>
      <w:r>
        <w:rPr>
          <w:rFonts w:ascii="仿宋_GB2312" w:eastAsia="仿宋_GB2312" w:hAnsi="黑体" w:cs="方正小标宋简体" w:hint="eastAsia"/>
          <w:color w:val="000000"/>
          <w:kern w:val="0"/>
          <w:sz w:val="30"/>
          <w:szCs w:val="30"/>
        </w:rPr>
        <w:t>项，账面原值</w:t>
      </w:r>
      <w:r>
        <w:rPr>
          <w:rFonts w:ascii="仿宋_GB2312" w:eastAsia="仿宋_GB2312" w:hAnsi="黑体" w:cs="方正小标宋简体" w:hint="eastAsia"/>
          <w:color w:val="000000"/>
          <w:kern w:val="0"/>
          <w:sz w:val="30"/>
          <w:szCs w:val="30"/>
          <w:lang w:val="en-US" w:eastAsia="zh-CN"/>
        </w:rPr>
        <w:t>43.55</w:t>
      </w:r>
      <w:r>
        <w:rPr>
          <w:rFonts w:ascii="仿宋_GB2312" w:eastAsia="仿宋_GB2312" w:hAnsi="黑体" w:cs="方正小标宋简体" w:hint="eastAsia"/>
          <w:color w:val="000000"/>
          <w:kern w:val="0"/>
          <w:sz w:val="30"/>
          <w:szCs w:val="30"/>
        </w:rPr>
        <w:t>万元。</w:t>
      </w:r>
    </w:p>
    <w:tbl>
      <w:tblPr>
        <w:tblStyle w:val="TableNormal"/>
        <w:tblpPr w:leftFromText="180" w:rightFromText="180" w:topFromText="100" w:bottomFromText="100" w:vertAnchor="text" w:horzAnchor="page" w:tblpX="534" w:tblpY="490"/>
        <w:tblOverlap w:val="never"/>
        <w:tblW w:w="10770" w:type="dxa"/>
        <w:tblInd w:w="0" w:type="dxa"/>
        <w:tblLayout w:type="fixed"/>
        <w:tblCellMar>
          <w:top w:w="0" w:type="dxa"/>
          <w:left w:w="0" w:type="dxa"/>
          <w:bottom w:w="0" w:type="dxa"/>
          <w:right w:w="0" w:type="dxa"/>
        </w:tblCellMar>
      </w:tblPr>
      <w:tblGrid>
        <w:gridCol w:w="715"/>
        <w:gridCol w:w="546"/>
        <w:gridCol w:w="822"/>
        <w:gridCol w:w="660"/>
        <w:gridCol w:w="870"/>
        <w:gridCol w:w="450"/>
        <w:gridCol w:w="617"/>
        <w:gridCol w:w="193"/>
        <w:gridCol w:w="672"/>
        <w:gridCol w:w="331"/>
        <w:gridCol w:w="643"/>
        <w:gridCol w:w="196"/>
        <w:gridCol w:w="978"/>
        <w:gridCol w:w="979"/>
        <w:gridCol w:w="360"/>
        <w:gridCol w:w="618"/>
        <w:gridCol w:w="360"/>
        <w:gridCol w:w="142"/>
        <w:gridCol w:w="476"/>
        <w:gridCol w:w="142"/>
      </w:tblGrid>
      <w:tr>
        <w:tblPrEx>
          <w:tblW w:w="10770" w:type="dxa"/>
          <w:tblInd w:w="0" w:type="dxa"/>
          <w:tblLayout w:type="fixed"/>
          <w:tblCellMar>
            <w:top w:w="0" w:type="dxa"/>
            <w:left w:w="0" w:type="dxa"/>
            <w:bottom w:w="0" w:type="dxa"/>
            <w:right w:w="0" w:type="dxa"/>
          </w:tblCellMar>
        </w:tblPrEx>
        <w:trPr>
          <w:trHeight w:val="495"/>
        </w:trPr>
        <w:tc>
          <w:tcPr>
            <w:tcW w:w="10628" w:type="dxa"/>
            <w:gridSpan w:val="19"/>
            <w:tcBorders>
              <w:top w:val="nil"/>
              <w:left w:val="nil"/>
              <w:bottom w:val="nil"/>
              <w:right w:val="nil"/>
            </w:tcBorders>
            <w:shd w:val="clear" w:color="auto" w:fill="FFFFFF"/>
            <w:noWrap w:val="0"/>
            <w:tcMar>
              <w:top w:w="15" w:type="dxa"/>
              <w:left w:w="15" w:type="dxa"/>
              <w:bottom w:w="15" w:type="dxa"/>
              <w:right w:w="15" w:type="dxa"/>
            </w:tcMar>
            <w:vAlign w:val="center"/>
          </w:tcPr>
          <w:p>
            <w:pPr>
              <w:widowControl/>
              <w:ind w:firstLine="3000" w:firstLineChars="1000"/>
              <w:jc w:val="both"/>
              <w:textAlignment w:val="center"/>
              <w:rPr>
                <w:rFonts w:ascii="宋体" w:hAnsi="宋体" w:cs="宋体"/>
                <w:color w:val="000000"/>
                <w:kern w:val="0"/>
                <w:sz w:val="24"/>
                <w:szCs w:val="24"/>
              </w:rPr>
            </w:pPr>
            <w:r>
              <w:rPr>
                <w:rFonts w:ascii="仿宋_GB2312" w:eastAsia="仿宋_GB2312" w:hAnsi="方正小标宋_GBK" w:cs="方正小标宋_GBK" w:hint="eastAsia"/>
                <w:b/>
                <w:color w:val="000000"/>
                <w:kern w:val="0"/>
                <w:sz w:val="30"/>
                <w:szCs w:val="30"/>
                <w:lang w:bidi="ar"/>
              </w:rPr>
              <w:t>国有资产占有使用情况表</w:t>
            </w:r>
          </w:p>
        </w:tc>
        <w:tc>
          <w:tcPr>
            <w:tcW w:w="142" w:type="dxa"/>
            <w:tcBorders>
              <w:top w:val="nil"/>
              <w:left w:val="nil"/>
              <w:bottom w:val="nil"/>
              <w:right w:val="nil"/>
            </w:tcBorders>
            <w:noWrap w:val="0"/>
            <w:vAlign w:val="center"/>
          </w:tcPr>
          <w:p>
            <w:pPr>
              <w:widowControl/>
              <w:jc w:val="left"/>
              <w:rPr>
                <w:rFonts w:ascii="宋体" w:hAnsi="宋体" w:cs="宋体"/>
                <w:color w:val="000000"/>
                <w:kern w:val="0"/>
                <w:sz w:val="17"/>
                <w:szCs w:val="17"/>
              </w:rPr>
            </w:pPr>
          </w:p>
        </w:tc>
      </w:tr>
      <w:tr>
        <w:tblPrEx>
          <w:tblW w:w="10770" w:type="dxa"/>
          <w:tblInd w:w="0" w:type="dxa"/>
          <w:tblLayout w:type="fixed"/>
          <w:tblCellMar>
            <w:top w:w="0" w:type="dxa"/>
            <w:left w:w="0" w:type="dxa"/>
            <w:bottom w:w="0" w:type="dxa"/>
            <w:right w:w="0" w:type="dxa"/>
          </w:tblCellMar>
        </w:tblPrEx>
        <w:trPr>
          <w:trHeight w:val="347"/>
        </w:trPr>
        <w:tc>
          <w:tcPr>
            <w:tcW w:w="4680" w:type="dxa"/>
            <w:gridSpan w:val="7"/>
            <w:tcBorders>
              <w:top w:val="nil"/>
              <w:left w:val="nil"/>
              <w:bottom w:val="single" w:sz="4" w:space="0" w:color="808080"/>
              <w:right w:val="nil"/>
            </w:tcBorders>
            <w:shd w:val="clear" w:color="auto" w:fill="FFFFFF"/>
            <w:noWrap w:val="0"/>
            <w:tcMar>
              <w:top w:w="15" w:type="dxa"/>
              <w:left w:w="15" w:type="dxa"/>
              <w:bottom w:w="15" w:type="dxa"/>
              <w:right w:w="15" w:type="dxa"/>
            </w:tcMar>
            <w:vAlign w:val="center"/>
          </w:tcPr>
          <w:p>
            <w:pPr>
              <w:widowControl/>
              <w:jc w:val="left"/>
              <w:textAlignment w:val="center"/>
              <w:rPr>
                <w:rFonts w:ascii="宋体" w:hAnsi="宋体" w:cs="宋体"/>
                <w:color w:val="000000"/>
                <w:kern w:val="0"/>
                <w:sz w:val="24"/>
                <w:szCs w:val="24"/>
              </w:rPr>
            </w:pPr>
            <w:r>
              <w:rPr>
                <w:rFonts w:ascii="宋体" w:hAnsi="宋体" w:cs="宋体" w:hint="eastAsia"/>
                <w:color w:val="000000"/>
                <w:kern w:val="0"/>
                <w:sz w:val="20"/>
                <w:szCs w:val="20"/>
              </w:rPr>
              <w:t> </w:t>
            </w:r>
          </w:p>
        </w:tc>
        <w:tc>
          <w:tcPr>
            <w:tcW w:w="865" w:type="dxa"/>
            <w:gridSpan w:val="2"/>
            <w:tcBorders>
              <w:top w:val="nil"/>
              <w:left w:val="nil"/>
              <w:bottom w:val="single" w:sz="4" w:space="0" w:color="808080"/>
              <w:right w:val="nil"/>
            </w:tcBorders>
            <w:shd w:val="clear" w:color="auto" w:fill="FFFFFF"/>
            <w:noWrap w:val="0"/>
            <w:tcMar>
              <w:top w:w="15" w:type="dxa"/>
              <w:left w:w="15" w:type="dxa"/>
              <w:bottom w:w="15" w:type="dxa"/>
              <w:right w:w="15" w:type="dxa"/>
            </w:tcMar>
            <w:vAlign w:val="center"/>
          </w:tcPr>
          <w:p>
            <w:pPr>
              <w:widowControl/>
              <w:jc w:val="left"/>
              <w:rPr>
                <w:rFonts w:ascii="宋体" w:hAnsi="宋体" w:cs="宋体"/>
                <w:color w:val="000000"/>
                <w:kern w:val="0"/>
                <w:sz w:val="24"/>
                <w:szCs w:val="24"/>
              </w:rPr>
            </w:pPr>
            <w:r>
              <w:rPr>
                <w:rFonts w:ascii="宋体" w:hAnsi="宋体" w:cs="宋体" w:hint="eastAsia"/>
                <w:color w:val="000000"/>
                <w:kern w:val="0"/>
                <w:sz w:val="20"/>
                <w:szCs w:val="20"/>
              </w:rPr>
              <w:t> </w:t>
            </w:r>
          </w:p>
        </w:tc>
        <w:tc>
          <w:tcPr>
            <w:tcW w:w="974" w:type="dxa"/>
            <w:gridSpan w:val="2"/>
            <w:tcBorders>
              <w:top w:val="nil"/>
              <w:left w:val="nil"/>
              <w:bottom w:val="single" w:sz="4" w:space="0" w:color="808080"/>
              <w:right w:val="nil"/>
            </w:tcBorders>
            <w:shd w:val="clear" w:color="auto" w:fill="FFFFFF"/>
            <w:noWrap w:val="0"/>
            <w:tcMar>
              <w:top w:w="15" w:type="dxa"/>
              <w:left w:w="15" w:type="dxa"/>
              <w:bottom w:w="15" w:type="dxa"/>
              <w:right w:w="15" w:type="dxa"/>
            </w:tcMar>
            <w:vAlign w:val="center"/>
          </w:tcPr>
          <w:p>
            <w:pPr>
              <w:widowControl/>
              <w:jc w:val="left"/>
              <w:rPr>
                <w:rFonts w:ascii="宋体" w:hAnsi="宋体" w:cs="宋体"/>
                <w:color w:val="000000"/>
                <w:kern w:val="0"/>
                <w:sz w:val="24"/>
                <w:szCs w:val="24"/>
              </w:rPr>
            </w:pPr>
            <w:r>
              <w:rPr>
                <w:rFonts w:ascii="宋体" w:hAnsi="宋体" w:cs="宋体" w:hint="eastAsia"/>
                <w:color w:val="000000"/>
                <w:kern w:val="0"/>
                <w:sz w:val="20"/>
                <w:szCs w:val="20"/>
              </w:rPr>
              <w:t> </w:t>
            </w:r>
          </w:p>
        </w:tc>
        <w:tc>
          <w:tcPr>
            <w:tcW w:w="196" w:type="dxa"/>
            <w:tcBorders>
              <w:top w:val="nil"/>
              <w:left w:val="nil"/>
              <w:bottom w:val="single" w:sz="4" w:space="0" w:color="808080"/>
              <w:right w:val="nil"/>
            </w:tcBorders>
            <w:shd w:val="clear" w:color="auto" w:fill="FFFFFF"/>
            <w:noWrap w:val="0"/>
            <w:tcMar>
              <w:top w:w="15" w:type="dxa"/>
              <w:left w:w="15" w:type="dxa"/>
              <w:bottom w:w="15" w:type="dxa"/>
              <w:right w:w="15" w:type="dxa"/>
            </w:tcMar>
            <w:vAlign w:val="center"/>
          </w:tcPr>
          <w:p>
            <w:pPr>
              <w:widowControl/>
              <w:jc w:val="left"/>
              <w:rPr>
                <w:rFonts w:ascii="宋体" w:hAnsi="宋体" w:cs="宋体"/>
                <w:color w:val="000000"/>
                <w:kern w:val="0"/>
                <w:sz w:val="24"/>
                <w:szCs w:val="24"/>
              </w:rPr>
            </w:pPr>
            <w:r>
              <w:rPr>
                <w:rFonts w:ascii="宋体" w:hAnsi="宋体" w:cs="宋体" w:hint="eastAsia"/>
                <w:color w:val="000000"/>
                <w:kern w:val="0"/>
                <w:sz w:val="20"/>
                <w:szCs w:val="20"/>
              </w:rPr>
              <w:t> </w:t>
            </w:r>
          </w:p>
        </w:tc>
        <w:tc>
          <w:tcPr>
            <w:tcW w:w="978" w:type="dxa"/>
            <w:tcBorders>
              <w:top w:val="nil"/>
              <w:left w:val="nil"/>
              <w:bottom w:val="single" w:sz="4" w:space="0" w:color="808080"/>
              <w:right w:val="nil"/>
            </w:tcBorders>
            <w:shd w:val="clear" w:color="auto" w:fill="FFFFFF"/>
            <w:noWrap w:val="0"/>
            <w:tcMar>
              <w:top w:w="15" w:type="dxa"/>
              <w:left w:w="15" w:type="dxa"/>
              <w:bottom w:w="15" w:type="dxa"/>
              <w:right w:w="15" w:type="dxa"/>
            </w:tcMar>
            <w:vAlign w:val="center"/>
          </w:tcPr>
          <w:p>
            <w:pPr>
              <w:widowControl/>
              <w:jc w:val="left"/>
              <w:rPr>
                <w:rFonts w:ascii="宋体" w:hAnsi="宋体" w:cs="宋体"/>
                <w:color w:val="000000"/>
                <w:kern w:val="0"/>
                <w:sz w:val="24"/>
                <w:szCs w:val="24"/>
              </w:rPr>
            </w:pPr>
            <w:r>
              <w:rPr>
                <w:rFonts w:ascii="宋体" w:hAnsi="宋体" w:cs="宋体" w:hint="eastAsia"/>
                <w:color w:val="000000"/>
                <w:kern w:val="0"/>
                <w:sz w:val="20"/>
                <w:szCs w:val="20"/>
              </w:rPr>
              <w:t> </w:t>
            </w:r>
          </w:p>
        </w:tc>
        <w:tc>
          <w:tcPr>
            <w:tcW w:w="979" w:type="dxa"/>
            <w:tcBorders>
              <w:top w:val="nil"/>
              <w:left w:val="nil"/>
              <w:bottom w:val="single" w:sz="4" w:space="0" w:color="808080"/>
              <w:right w:val="nil"/>
            </w:tcBorders>
            <w:shd w:val="clear" w:color="auto" w:fill="FFFFFF"/>
            <w:noWrap w:val="0"/>
            <w:tcMar>
              <w:top w:w="15" w:type="dxa"/>
              <w:left w:w="15" w:type="dxa"/>
              <w:bottom w:w="15" w:type="dxa"/>
              <w:right w:w="15" w:type="dxa"/>
            </w:tcMar>
            <w:vAlign w:val="center"/>
          </w:tcPr>
          <w:p>
            <w:pPr>
              <w:widowControl/>
              <w:jc w:val="left"/>
              <w:rPr>
                <w:rFonts w:ascii="宋体" w:hAnsi="宋体" w:cs="宋体"/>
                <w:color w:val="000000"/>
                <w:kern w:val="0"/>
                <w:sz w:val="24"/>
                <w:szCs w:val="24"/>
              </w:rPr>
            </w:pPr>
            <w:r>
              <w:rPr>
                <w:rFonts w:ascii="宋体" w:hAnsi="宋体" w:cs="宋体" w:hint="eastAsia"/>
                <w:color w:val="000000"/>
                <w:kern w:val="0"/>
                <w:sz w:val="20"/>
                <w:szCs w:val="20"/>
              </w:rPr>
              <w:t> </w:t>
            </w:r>
          </w:p>
        </w:tc>
        <w:tc>
          <w:tcPr>
            <w:tcW w:w="1956" w:type="dxa"/>
            <w:gridSpan w:val="5"/>
            <w:tcBorders>
              <w:top w:val="nil"/>
              <w:left w:val="nil"/>
              <w:bottom w:val="single" w:sz="4" w:space="0" w:color="808080"/>
              <w:right w:val="nil"/>
            </w:tcBorders>
            <w:shd w:val="clear" w:color="auto" w:fill="FFFFFF"/>
            <w:noWrap w:val="0"/>
            <w:tcMar>
              <w:top w:w="15" w:type="dxa"/>
              <w:left w:w="15" w:type="dxa"/>
              <w:bottom w:w="15" w:type="dxa"/>
              <w:right w:w="15" w:type="dxa"/>
            </w:tcMar>
            <w:vAlign w:val="center"/>
          </w:tcPr>
          <w:p>
            <w:pPr>
              <w:widowControl/>
              <w:jc w:val="right"/>
              <w:textAlignment w:val="center"/>
              <w:rPr>
                <w:rFonts w:ascii="宋体" w:hAnsi="宋体" w:cs="宋体"/>
                <w:color w:val="000000"/>
                <w:kern w:val="0"/>
                <w:sz w:val="24"/>
                <w:szCs w:val="24"/>
              </w:rPr>
            </w:pPr>
            <w:r>
              <w:rPr>
                <w:rFonts w:ascii="宋体" w:hAnsi="宋体" w:cs="宋体" w:hint="eastAsia"/>
                <w:color w:val="000000"/>
                <w:kern w:val="0"/>
                <w:sz w:val="20"/>
                <w:szCs w:val="20"/>
                <w:lang w:bidi="ar"/>
              </w:rPr>
              <w:t>单位：万元</w:t>
            </w:r>
          </w:p>
        </w:tc>
        <w:tc>
          <w:tcPr>
            <w:tcW w:w="142" w:type="dxa"/>
            <w:tcBorders>
              <w:top w:val="nil"/>
              <w:left w:val="nil"/>
              <w:bottom w:val="nil"/>
              <w:right w:val="nil"/>
            </w:tcBorders>
            <w:noWrap w:val="0"/>
            <w:vAlign w:val="center"/>
          </w:tcPr>
          <w:p>
            <w:pPr>
              <w:widowControl/>
              <w:jc w:val="left"/>
              <w:rPr>
                <w:rFonts w:ascii="宋体" w:hAnsi="宋体" w:cs="宋体"/>
                <w:color w:val="000000"/>
                <w:kern w:val="0"/>
                <w:sz w:val="17"/>
                <w:szCs w:val="17"/>
              </w:rPr>
            </w:pPr>
          </w:p>
        </w:tc>
      </w:tr>
      <w:tr>
        <w:tblPrEx>
          <w:tblW w:w="10770" w:type="dxa"/>
          <w:tblInd w:w="0" w:type="dxa"/>
          <w:tblLayout w:type="fixed"/>
          <w:tblCellMar>
            <w:top w:w="0" w:type="dxa"/>
            <w:left w:w="0" w:type="dxa"/>
            <w:bottom w:w="0" w:type="dxa"/>
            <w:right w:w="0" w:type="dxa"/>
          </w:tblCellMar>
        </w:tblPrEx>
        <w:trPr>
          <w:trHeight w:val="415"/>
        </w:trPr>
        <w:tc>
          <w:tcPr>
            <w:tcW w:w="715" w:type="dxa"/>
            <w:vMerge w:val="restart"/>
            <w:tcBorders>
              <w:top w:val="single" w:sz="4" w:space="0" w:color="000000"/>
              <w:left w:val="single" w:sz="4" w:space="0" w:color="000000"/>
              <w:bottom w:val="single" w:sz="4" w:space="0" w:color="000000"/>
              <w:right w:val="single" w:sz="4" w:space="0" w:color="000000"/>
            </w:tcBorders>
            <w:noWrap w:val="0"/>
            <w:tcMar>
              <w:top w:w="15" w:type="dxa"/>
              <w:left w:w="15" w:type="dxa"/>
              <w:bottom w:w="15" w:type="dxa"/>
              <w:right w:w="15" w:type="dxa"/>
            </w:tcMar>
            <w:vAlign w:val="center"/>
          </w:tcPr>
          <w:p>
            <w:pPr>
              <w:widowControl/>
              <w:jc w:val="center"/>
              <w:textAlignment w:val="center"/>
              <w:rPr>
                <w:rFonts w:ascii="宋体" w:hAnsi="宋体" w:cs="宋体"/>
                <w:color w:val="000000"/>
                <w:kern w:val="0"/>
                <w:sz w:val="24"/>
                <w:szCs w:val="24"/>
              </w:rPr>
            </w:pPr>
            <w:r>
              <w:rPr>
                <w:rFonts w:ascii="宋体" w:hAnsi="宋体" w:cs="宋体" w:hint="eastAsia"/>
                <w:color w:val="000000"/>
                <w:kern w:val="0"/>
                <w:sz w:val="20"/>
                <w:szCs w:val="20"/>
                <w:lang w:bidi="ar"/>
              </w:rPr>
              <w:t>项目</w:t>
            </w:r>
          </w:p>
        </w:tc>
        <w:tc>
          <w:tcPr>
            <w:tcW w:w="546" w:type="dxa"/>
            <w:vMerge w:val="restart"/>
            <w:tcBorders>
              <w:top w:val="single" w:sz="4" w:space="0" w:color="000000"/>
              <w:left w:val="single" w:sz="4" w:space="0" w:color="000000"/>
              <w:bottom w:val="single" w:sz="4" w:space="0" w:color="000000"/>
              <w:right w:val="single" w:sz="4" w:space="0" w:color="000000"/>
            </w:tcBorders>
            <w:noWrap w:val="0"/>
            <w:tcMar>
              <w:top w:w="15" w:type="dxa"/>
              <w:left w:w="15" w:type="dxa"/>
              <w:bottom w:w="15" w:type="dxa"/>
              <w:right w:w="15" w:type="dxa"/>
            </w:tcMar>
            <w:vAlign w:val="center"/>
          </w:tcPr>
          <w:p>
            <w:pPr>
              <w:widowControl/>
              <w:jc w:val="center"/>
              <w:textAlignment w:val="center"/>
              <w:rPr>
                <w:rFonts w:ascii="宋体" w:hAnsi="宋体" w:cs="宋体"/>
                <w:color w:val="000000"/>
                <w:kern w:val="0"/>
                <w:sz w:val="24"/>
                <w:szCs w:val="24"/>
              </w:rPr>
            </w:pPr>
            <w:r>
              <w:rPr>
                <w:rFonts w:ascii="宋体" w:hAnsi="宋体" w:cs="宋体" w:hint="eastAsia"/>
                <w:color w:val="000000"/>
                <w:kern w:val="0"/>
                <w:sz w:val="20"/>
                <w:szCs w:val="20"/>
                <w:lang w:bidi="ar"/>
              </w:rPr>
              <w:t>行次</w:t>
            </w:r>
          </w:p>
        </w:tc>
        <w:tc>
          <w:tcPr>
            <w:tcW w:w="822" w:type="dxa"/>
            <w:vMerge w:val="restart"/>
            <w:tcBorders>
              <w:top w:val="single" w:sz="4" w:space="0" w:color="000000"/>
              <w:left w:val="single" w:sz="4" w:space="0" w:color="000000"/>
              <w:bottom w:val="single" w:sz="4" w:space="0" w:color="000000"/>
              <w:right w:val="single" w:sz="4" w:space="0" w:color="000000"/>
            </w:tcBorders>
            <w:noWrap w:val="0"/>
            <w:tcMar>
              <w:top w:w="15" w:type="dxa"/>
              <w:left w:w="15" w:type="dxa"/>
              <w:bottom w:w="15" w:type="dxa"/>
              <w:right w:w="15" w:type="dxa"/>
            </w:tcMar>
            <w:vAlign w:val="center"/>
          </w:tcPr>
          <w:p>
            <w:pPr>
              <w:widowControl/>
              <w:jc w:val="center"/>
              <w:textAlignment w:val="center"/>
              <w:rPr>
                <w:rFonts w:ascii="宋体" w:hAnsi="宋体" w:cs="宋体"/>
                <w:color w:val="000000"/>
                <w:kern w:val="0"/>
                <w:sz w:val="24"/>
                <w:szCs w:val="24"/>
              </w:rPr>
            </w:pPr>
            <w:r>
              <w:rPr>
                <w:rFonts w:ascii="宋体" w:hAnsi="宋体" w:cs="宋体" w:hint="eastAsia"/>
                <w:color w:val="000000"/>
                <w:kern w:val="0"/>
                <w:sz w:val="20"/>
                <w:szCs w:val="20"/>
                <w:lang w:bidi="ar"/>
              </w:rPr>
              <w:t>资产总额</w:t>
            </w:r>
          </w:p>
        </w:tc>
        <w:tc>
          <w:tcPr>
            <w:tcW w:w="660" w:type="dxa"/>
            <w:vMerge w:val="restart"/>
            <w:tcBorders>
              <w:top w:val="single" w:sz="4" w:space="0" w:color="000000"/>
              <w:left w:val="single" w:sz="4" w:space="0" w:color="000000"/>
              <w:bottom w:val="single" w:sz="4" w:space="0" w:color="000000"/>
              <w:right w:val="single" w:sz="4" w:space="0" w:color="000000"/>
            </w:tcBorders>
            <w:noWrap w:val="0"/>
            <w:tcMar>
              <w:top w:w="15" w:type="dxa"/>
              <w:left w:w="15" w:type="dxa"/>
              <w:bottom w:w="15" w:type="dxa"/>
              <w:right w:w="15" w:type="dxa"/>
            </w:tcMar>
            <w:vAlign w:val="center"/>
          </w:tcPr>
          <w:p>
            <w:pPr>
              <w:widowControl/>
              <w:jc w:val="center"/>
              <w:textAlignment w:val="center"/>
              <w:rPr>
                <w:rFonts w:ascii="宋体" w:hAnsi="宋体" w:cs="宋体"/>
                <w:color w:val="000000"/>
                <w:kern w:val="0"/>
                <w:sz w:val="24"/>
                <w:szCs w:val="24"/>
              </w:rPr>
            </w:pPr>
            <w:r>
              <w:rPr>
                <w:rFonts w:ascii="宋体" w:hAnsi="宋体" w:cs="宋体" w:hint="eastAsia"/>
                <w:color w:val="000000"/>
                <w:kern w:val="0"/>
                <w:sz w:val="20"/>
                <w:szCs w:val="20"/>
                <w:lang w:bidi="ar"/>
              </w:rPr>
              <w:t>流动资产</w:t>
            </w:r>
          </w:p>
        </w:tc>
        <w:tc>
          <w:tcPr>
            <w:tcW w:w="3972" w:type="dxa"/>
            <w:gridSpan w:val="8"/>
            <w:tcBorders>
              <w:top w:val="single" w:sz="4" w:space="0" w:color="000000"/>
              <w:left w:val="single" w:sz="4" w:space="0" w:color="000000"/>
              <w:bottom w:val="single" w:sz="4" w:space="0" w:color="000000"/>
              <w:right w:val="single" w:sz="4" w:space="0" w:color="000000"/>
            </w:tcBorders>
            <w:noWrap w:val="0"/>
            <w:tcMar>
              <w:top w:w="15" w:type="dxa"/>
              <w:left w:w="15" w:type="dxa"/>
              <w:bottom w:w="15" w:type="dxa"/>
              <w:right w:w="15" w:type="dxa"/>
            </w:tcMar>
            <w:vAlign w:val="center"/>
          </w:tcPr>
          <w:p>
            <w:pPr>
              <w:widowControl/>
              <w:jc w:val="center"/>
              <w:textAlignment w:val="center"/>
              <w:rPr>
                <w:rFonts w:ascii="宋体" w:hAnsi="宋体" w:cs="宋体"/>
                <w:color w:val="000000"/>
                <w:kern w:val="0"/>
                <w:sz w:val="24"/>
                <w:szCs w:val="24"/>
              </w:rPr>
            </w:pPr>
            <w:r>
              <w:rPr>
                <w:rFonts w:ascii="宋体" w:hAnsi="宋体" w:cs="宋体" w:hint="eastAsia"/>
                <w:color w:val="000000"/>
                <w:kern w:val="0"/>
                <w:sz w:val="20"/>
                <w:szCs w:val="20"/>
                <w:lang w:bidi="ar"/>
              </w:rPr>
              <w:t>固定资产</w:t>
            </w:r>
          </w:p>
        </w:tc>
        <w:tc>
          <w:tcPr>
            <w:tcW w:w="978" w:type="dxa"/>
            <w:vMerge w:val="restart"/>
            <w:tcBorders>
              <w:top w:val="single" w:sz="4" w:space="0" w:color="000000"/>
              <w:left w:val="single" w:sz="4" w:space="0" w:color="000000"/>
              <w:bottom w:val="single" w:sz="4" w:space="0" w:color="000000"/>
              <w:right w:val="single" w:sz="4" w:space="0" w:color="000000"/>
            </w:tcBorders>
            <w:noWrap w:val="0"/>
            <w:tcMar>
              <w:top w:w="15" w:type="dxa"/>
              <w:left w:w="15" w:type="dxa"/>
              <w:bottom w:w="15" w:type="dxa"/>
              <w:right w:w="15" w:type="dxa"/>
            </w:tcMar>
            <w:vAlign w:val="center"/>
          </w:tcPr>
          <w:p>
            <w:pPr>
              <w:widowControl/>
              <w:jc w:val="center"/>
              <w:textAlignment w:val="center"/>
              <w:rPr>
                <w:rFonts w:ascii="宋体" w:hAnsi="宋体" w:cs="宋体"/>
                <w:color w:val="000000"/>
                <w:kern w:val="0"/>
                <w:sz w:val="24"/>
                <w:szCs w:val="24"/>
              </w:rPr>
            </w:pPr>
            <w:r>
              <w:rPr>
                <w:rFonts w:ascii="宋体" w:hAnsi="宋体" w:cs="宋体" w:hint="eastAsia"/>
                <w:color w:val="000000"/>
                <w:kern w:val="0"/>
                <w:sz w:val="20"/>
                <w:szCs w:val="20"/>
                <w:lang w:bidi="ar"/>
              </w:rPr>
              <w:t>对外投资/有价证券</w:t>
            </w:r>
          </w:p>
        </w:tc>
        <w:tc>
          <w:tcPr>
            <w:tcW w:w="979" w:type="dxa"/>
            <w:vMerge w:val="restart"/>
            <w:tcBorders>
              <w:top w:val="single" w:sz="4" w:space="0" w:color="000000"/>
              <w:left w:val="single" w:sz="4" w:space="0" w:color="000000"/>
              <w:bottom w:val="single" w:sz="4" w:space="0" w:color="000000"/>
              <w:right w:val="single" w:sz="4" w:space="0" w:color="000000"/>
            </w:tcBorders>
            <w:noWrap w:val="0"/>
            <w:tcMar>
              <w:top w:w="15" w:type="dxa"/>
              <w:left w:w="15" w:type="dxa"/>
              <w:bottom w:w="15" w:type="dxa"/>
              <w:right w:w="15" w:type="dxa"/>
            </w:tcMar>
            <w:vAlign w:val="center"/>
          </w:tcPr>
          <w:p>
            <w:pPr>
              <w:widowControl/>
              <w:jc w:val="center"/>
              <w:textAlignment w:val="center"/>
              <w:rPr>
                <w:rFonts w:ascii="宋体" w:hAnsi="宋体" w:cs="宋体"/>
                <w:color w:val="000000"/>
                <w:kern w:val="0"/>
                <w:sz w:val="24"/>
                <w:szCs w:val="24"/>
              </w:rPr>
            </w:pPr>
            <w:r>
              <w:rPr>
                <w:rFonts w:ascii="宋体" w:hAnsi="宋体" w:cs="宋体" w:hint="eastAsia"/>
                <w:color w:val="000000"/>
                <w:kern w:val="0"/>
                <w:sz w:val="20"/>
                <w:szCs w:val="20"/>
                <w:lang w:bidi="ar"/>
              </w:rPr>
              <w:t>在建工程</w:t>
            </w:r>
          </w:p>
        </w:tc>
        <w:tc>
          <w:tcPr>
            <w:tcW w:w="978" w:type="dxa"/>
            <w:gridSpan w:val="2"/>
            <w:vMerge w:val="restart"/>
            <w:tcBorders>
              <w:top w:val="nil"/>
              <w:left w:val="single" w:sz="4" w:space="0" w:color="000000"/>
              <w:bottom w:val="single" w:sz="4" w:space="0" w:color="000000"/>
              <w:right w:val="single" w:sz="4" w:space="0" w:color="000000"/>
            </w:tcBorders>
            <w:noWrap w:val="0"/>
            <w:tcMar>
              <w:top w:w="15" w:type="dxa"/>
              <w:left w:w="15" w:type="dxa"/>
              <w:bottom w:w="15" w:type="dxa"/>
              <w:right w:w="15" w:type="dxa"/>
            </w:tcMar>
            <w:vAlign w:val="center"/>
          </w:tcPr>
          <w:p>
            <w:pPr>
              <w:widowControl/>
              <w:jc w:val="center"/>
              <w:textAlignment w:val="center"/>
              <w:rPr>
                <w:rFonts w:ascii="宋体" w:hAnsi="宋体" w:cs="宋体"/>
                <w:color w:val="000000"/>
                <w:kern w:val="0"/>
                <w:sz w:val="24"/>
                <w:szCs w:val="24"/>
              </w:rPr>
            </w:pPr>
            <w:r>
              <w:rPr>
                <w:rFonts w:ascii="宋体" w:hAnsi="宋体" w:cs="宋体" w:hint="eastAsia"/>
                <w:color w:val="000000"/>
                <w:kern w:val="0"/>
                <w:sz w:val="20"/>
                <w:szCs w:val="20"/>
                <w:lang w:bidi="ar"/>
              </w:rPr>
              <w:t>无形资产</w:t>
            </w:r>
          </w:p>
        </w:tc>
        <w:tc>
          <w:tcPr>
            <w:tcW w:w="978" w:type="dxa"/>
            <w:gridSpan w:val="3"/>
            <w:vMerge w:val="restart"/>
            <w:tcBorders>
              <w:top w:val="nil"/>
              <w:left w:val="single" w:sz="4" w:space="0" w:color="000000"/>
              <w:bottom w:val="single" w:sz="4" w:space="0" w:color="000000"/>
              <w:right w:val="single" w:sz="4" w:space="0" w:color="000000"/>
            </w:tcBorders>
            <w:noWrap w:val="0"/>
            <w:tcMar>
              <w:top w:w="15" w:type="dxa"/>
              <w:left w:w="15" w:type="dxa"/>
              <w:bottom w:w="15" w:type="dxa"/>
              <w:right w:w="15" w:type="dxa"/>
            </w:tcMar>
            <w:vAlign w:val="center"/>
          </w:tcPr>
          <w:p>
            <w:pPr>
              <w:widowControl/>
              <w:jc w:val="center"/>
              <w:textAlignment w:val="center"/>
              <w:rPr>
                <w:rFonts w:ascii="宋体" w:hAnsi="宋体" w:cs="宋体"/>
                <w:color w:val="000000"/>
                <w:kern w:val="0"/>
                <w:sz w:val="24"/>
                <w:szCs w:val="24"/>
              </w:rPr>
            </w:pPr>
            <w:r>
              <w:rPr>
                <w:rFonts w:ascii="宋体" w:hAnsi="宋体" w:cs="宋体" w:hint="eastAsia"/>
                <w:color w:val="000000"/>
                <w:kern w:val="0"/>
                <w:sz w:val="20"/>
                <w:szCs w:val="20"/>
                <w:lang w:bidi="ar"/>
              </w:rPr>
              <w:t>其他资产</w:t>
            </w:r>
          </w:p>
        </w:tc>
        <w:tc>
          <w:tcPr>
            <w:tcW w:w="142" w:type="dxa"/>
            <w:tcBorders>
              <w:top w:val="nil"/>
              <w:left w:val="nil"/>
              <w:bottom w:val="nil"/>
              <w:right w:val="nil"/>
            </w:tcBorders>
            <w:noWrap w:val="0"/>
            <w:vAlign w:val="center"/>
          </w:tcPr>
          <w:p>
            <w:pPr>
              <w:widowControl/>
              <w:jc w:val="left"/>
              <w:rPr>
                <w:rFonts w:ascii="宋体" w:hAnsi="宋体" w:cs="宋体"/>
                <w:color w:val="000000"/>
                <w:kern w:val="0"/>
                <w:sz w:val="17"/>
                <w:szCs w:val="17"/>
              </w:rPr>
            </w:pPr>
          </w:p>
        </w:tc>
      </w:tr>
      <w:tr>
        <w:tblPrEx>
          <w:tblW w:w="10770" w:type="dxa"/>
          <w:tblInd w:w="0" w:type="dxa"/>
          <w:tblLayout w:type="fixed"/>
          <w:tblCellMar>
            <w:top w:w="0" w:type="dxa"/>
            <w:left w:w="0" w:type="dxa"/>
            <w:bottom w:w="0" w:type="dxa"/>
            <w:right w:w="0" w:type="dxa"/>
          </w:tblCellMar>
        </w:tblPrEx>
        <w:trPr>
          <w:trHeight w:val="345"/>
        </w:trPr>
        <w:tc>
          <w:tcPr>
            <w:tcW w:w="715" w:type="dxa"/>
            <w:vMerge/>
            <w:tcBorders>
              <w:top w:val="single" w:sz="4" w:space="0" w:color="000000"/>
              <w:left w:val="single" w:sz="4" w:space="0" w:color="000000"/>
              <w:bottom w:val="single" w:sz="4" w:space="0" w:color="000000"/>
              <w:right w:val="single" w:sz="4" w:space="0" w:color="000000"/>
            </w:tcBorders>
            <w:noWrap w:val="0"/>
            <w:vAlign w:val="center"/>
          </w:tcPr>
          <w:p>
            <w:pPr>
              <w:widowControl/>
              <w:jc w:val="left"/>
              <w:rPr>
                <w:rFonts w:ascii="宋体" w:hAnsi="宋体" w:cs="宋体"/>
                <w:color w:val="000000"/>
                <w:kern w:val="0"/>
                <w:sz w:val="24"/>
                <w:szCs w:val="24"/>
              </w:rPr>
            </w:pPr>
          </w:p>
        </w:tc>
        <w:tc>
          <w:tcPr>
            <w:tcW w:w="546" w:type="dxa"/>
            <w:vMerge/>
            <w:tcBorders>
              <w:top w:val="single" w:sz="4" w:space="0" w:color="000000"/>
              <w:left w:val="single" w:sz="4" w:space="0" w:color="000000"/>
              <w:bottom w:val="single" w:sz="4" w:space="0" w:color="000000"/>
              <w:right w:val="single" w:sz="4" w:space="0" w:color="000000"/>
            </w:tcBorders>
            <w:noWrap w:val="0"/>
            <w:vAlign w:val="center"/>
          </w:tcPr>
          <w:p>
            <w:pPr>
              <w:widowControl/>
              <w:jc w:val="left"/>
              <w:rPr>
                <w:rFonts w:ascii="宋体" w:hAnsi="宋体" w:cs="宋体"/>
                <w:color w:val="000000"/>
                <w:kern w:val="0"/>
                <w:sz w:val="24"/>
                <w:szCs w:val="24"/>
              </w:rPr>
            </w:pPr>
          </w:p>
        </w:tc>
        <w:tc>
          <w:tcPr>
            <w:tcW w:w="822" w:type="dxa"/>
            <w:vMerge/>
            <w:tcBorders>
              <w:top w:val="single" w:sz="4" w:space="0" w:color="000000"/>
              <w:left w:val="single" w:sz="4" w:space="0" w:color="000000"/>
              <w:bottom w:val="single" w:sz="4" w:space="0" w:color="000000"/>
              <w:right w:val="single" w:sz="4" w:space="0" w:color="000000"/>
            </w:tcBorders>
            <w:noWrap w:val="0"/>
            <w:vAlign w:val="center"/>
          </w:tcPr>
          <w:p>
            <w:pPr>
              <w:widowControl/>
              <w:jc w:val="left"/>
              <w:rPr>
                <w:rFonts w:ascii="宋体" w:hAnsi="宋体" w:cs="宋体"/>
                <w:color w:val="000000"/>
                <w:kern w:val="0"/>
                <w:sz w:val="24"/>
                <w:szCs w:val="24"/>
              </w:rPr>
            </w:pPr>
          </w:p>
        </w:tc>
        <w:tc>
          <w:tcPr>
            <w:tcW w:w="660" w:type="dxa"/>
            <w:vMerge/>
            <w:tcBorders>
              <w:top w:val="single" w:sz="4" w:space="0" w:color="000000"/>
              <w:left w:val="single" w:sz="4" w:space="0" w:color="000000"/>
              <w:bottom w:val="single" w:sz="4" w:space="0" w:color="000000"/>
              <w:right w:val="single" w:sz="4" w:space="0" w:color="000000"/>
            </w:tcBorders>
            <w:noWrap w:val="0"/>
            <w:vAlign w:val="center"/>
          </w:tcPr>
          <w:p>
            <w:pPr>
              <w:widowControl/>
              <w:jc w:val="left"/>
              <w:rPr>
                <w:rFonts w:ascii="宋体" w:hAnsi="宋体" w:cs="宋体"/>
                <w:color w:val="000000"/>
                <w:kern w:val="0"/>
                <w:sz w:val="24"/>
                <w:szCs w:val="24"/>
              </w:rPr>
            </w:pPr>
          </w:p>
        </w:tc>
        <w:tc>
          <w:tcPr>
            <w:tcW w:w="870" w:type="dxa"/>
            <w:vMerge w:val="restart"/>
            <w:tcBorders>
              <w:top w:val="single" w:sz="4" w:space="0" w:color="000000"/>
              <w:left w:val="single" w:sz="4" w:space="0" w:color="000000"/>
              <w:bottom w:val="single" w:sz="4" w:space="0" w:color="000000"/>
              <w:right w:val="single" w:sz="4" w:space="0" w:color="000000"/>
            </w:tcBorders>
            <w:noWrap w:val="0"/>
            <w:tcMar>
              <w:top w:w="15" w:type="dxa"/>
              <w:left w:w="15" w:type="dxa"/>
              <w:bottom w:w="15" w:type="dxa"/>
              <w:right w:w="15" w:type="dxa"/>
            </w:tcMar>
            <w:vAlign w:val="center"/>
          </w:tcPr>
          <w:p>
            <w:pPr>
              <w:widowControl/>
              <w:jc w:val="center"/>
              <w:textAlignment w:val="center"/>
              <w:rPr>
                <w:rFonts w:ascii="宋体" w:hAnsi="宋体" w:cs="宋体"/>
                <w:color w:val="000000"/>
                <w:kern w:val="0"/>
                <w:sz w:val="24"/>
                <w:szCs w:val="24"/>
              </w:rPr>
            </w:pPr>
            <w:r>
              <w:rPr>
                <w:rFonts w:ascii="宋体" w:hAnsi="宋体" w:cs="宋体" w:hint="eastAsia"/>
                <w:color w:val="000000"/>
                <w:kern w:val="0"/>
                <w:sz w:val="20"/>
                <w:szCs w:val="20"/>
                <w:lang w:bidi="ar"/>
              </w:rPr>
              <w:t>小计</w:t>
            </w:r>
          </w:p>
        </w:tc>
        <w:tc>
          <w:tcPr>
            <w:tcW w:w="450" w:type="dxa"/>
            <w:vMerge w:val="restart"/>
            <w:tcBorders>
              <w:top w:val="single" w:sz="4" w:space="0" w:color="000000"/>
              <w:left w:val="single" w:sz="4" w:space="0" w:color="000000"/>
              <w:bottom w:val="single" w:sz="4" w:space="0" w:color="000000"/>
              <w:right w:val="single" w:sz="4" w:space="0" w:color="000000"/>
            </w:tcBorders>
            <w:noWrap w:val="0"/>
            <w:tcMar>
              <w:top w:w="15" w:type="dxa"/>
              <w:left w:w="15" w:type="dxa"/>
              <w:bottom w:w="15" w:type="dxa"/>
              <w:right w:w="15" w:type="dxa"/>
            </w:tcMar>
            <w:vAlign w:val="center"/>
          </w:tcPr>
          <w:p>
            <w:pPr>
              <w:widowControl/>
              <w:jc w:val="center"/>
              <w:textAlignment w:val="center"/>
              <w:rPr>
                <w:rFonts w:ascii="宋体" w:hAnsi="宋体" w:cs="宋体"/>
                <w:color w:val="000000"/>
                <w:kern w:val="0"/>
                <w:sz w:val="24"/>
                <w:szCs w:val="24"/>
              </w:rPr>
            </w:pPr>
            <w:r>
              <w:rPr>
                <w:rFonts w:ascii="宋体" w:hAnsi="宋体" w:cs="宋体" w:hint="eastAsia"/>
                <w:color w:val="000000"/>
                <w:kern w:val="0"/>
                <w:sz w:val="20"/>
                <w:szCs w:val="20"/>
                <w:lang w:bidi="ar"/>
              </w:rPr>
              <w:t>房屋构筑物</w:t>
            </w:r>
          </w:p>
        </w:tc>
        <w:tc>
          <w:tcPr>
            <w:tcW w:w="810" w:type="dxa"/>
            <w:gridSpan w:val="2"/>
            <w:vMerge w:val="restart"/>
            <w:tcBorders>
              <w:top w:val="single" w:sz="4" w:space="0" w:color="000000"/>
              <w:left w:val="single" w:sz="4" w:space="0" w:color="000000"/>
              <w:bottom w:val="single" w:sz="4" w:space="0" w:color="000000"/>
              <w:right w:val="single" w:sz="4" w:space="0" w:color="000000"/>
            </w:tcBorders>
            <w:noWrap w:val="0"/>
            <w:tcMar>
              <w:top w:w="15" w:type="dxa"/>
              <w:left w:w="15" w:type="dxa"/>
              <w:bottom w:w="15" w:type="dxa"/>
              <w:right w:w="15" w:type="dxa"/>
            </w:tcMar>
            <w:vAlign w:val="center"/>
          </w:tcPr>
          <w:p>
            <w:pPr>
              <w:widowControl/>
              <w:jc w:val="center"/>
              <w:textAlignment w:val="center"/>
              <w:rPr>
                <w:rFonts w:ascii="宋体" w:hAnsi="宋体" w:cs="宋体"/>
                <w:color w:val="000000"/>
                <w:kern w:val="0"/>
                <w:sz w:val="24"/>
                <w:szCs w:val="24"/>
              </w:rPr>
            </w:pPr>
            <w:r>
              <w:rPr>
                <w:rFonts w:ascii="宋体" w:hAnsi="宋体" w:cs="宋体" w:hint="eastAsia"/>
                <w:color w:val="000000"/>
                <w:kern w:val="0"/>
                <w:sz w:val="20"/>
                <w:szCs w:val="20"/>
                <w:lang w:bidi="ar"/>
              </w:rPr>
              <w:t>车辆</w:t>
            </w:r>
          </w:p>
        </w:tc>
        <w:tc>
          <w:tcPr>
            <w:tcW w:w="1003" w:type="dxa"/>
            <w:gridSpan w:val="2"/>
            <w:vMerge w:val="restart"/>
            <w:tcBorders>
              <w:top w:val="single" w:sz="4" w:space="0" w:color="000000"/>
              <w:left w:val="single" w:sz="4" w:space="0" w:color="000000"/>
              <w:bottom w:val="single" w:sz="4" w:space="0" w:color="000000"/>
              <w:right w:val="single" w:sz="4" w:space="0" w:color="000000"/>
            </w:tcBorders>
            <w:noWrap w:val="0"/>
            <w:tcMar>
              <w:top w:w="15" w:type="dxa"/>
              <w:left w:w="15" w:type="dxa"/>
              <w:bottom w:w="15" w:type="dxa"/>
              <w:right w:w="15" w:type="dxa"/>
            </w:tcMar>
            <w:vAlign w:val="center"/>
          </w:tcPr>
          <w:p>
            <w:pPr>
              <w:widowControl/>
              <w:jc w:val="center"/>
              <w:textAlignment w:val="center"/>
              <w:rPr>
                <w:rFonts w:ascii="宋体" w:hAnsi="宋体" w:cs="宋体"/>
                <w:color w:val="000000"/>
                <w:kern w:val="0"/>
                <w:sz w:val="24"/>
                <w:szCs w:val="24"/>
              </w:rPr>
            </w:pPr>
            <w:r>
              <w:rPr>
                <w:rFonts w:ascii="宋体" w:hAnsi="宋体" w:cs="宋体" w:hint="eastAsia"/>
                <w:color w:val="000000"/>
                <w:kern w:val="0"/>
                <w:sz w:val="20"/>
                <w:szCs w:val="20"/>
                <w:lang w:bidi="ar"/>
              </w:rPr>
              <w:t>单价200万以上大型设备</w:t>
            </w:r>
          </w:p>
        </w:tc>
        <w:tc>
          <w:tcPr>
            <w:tcW w:w="839" w:type="dxa"/>
            <w:gridSpan w:val="2"/>
            <w:vMerge w:val="restart"/>
            <w:tcBorders>
              <w:top w:val="single" w:sz="4" w:space="0" w:color="000000"/>
              <w:left w:val="single" w:sz="4" w:space="0" w:color="000000"/>
              <w:bottom w:val="single" w:sz="4" w:space="0" w:color="000000"/>
              <w:right w:val="single" w:sz="4" w:space="0" w:color="000000"/>
            </w:tcBorders>
            <w:noWrap w:val="0"/>
            <w:tcMar>
              <w:top w:w="15" w:type="dxa"/>
              <w:left w:w="15" w:type="dxa"/>
              <w:bottom w:w="15" w:type="dxa"/>
              <w:right w:w="15" w:type="dxa"/>
            </w:tcMar>
            <w:vAlign w:val="center"/>
          </w:tcPr>
          <w:p>
            <w:pPr>
              <w:widowControl/>
              <w:jc w:val="center"/>
              <w:textAlignment w:val="center"/>
              <w:rPr>
                <w:rFonts w:ascii="宋体" w:hAnsi="宋体" w:cs="宋体"/>
                <w:color w:val="000000"/>
                <w:kern w:val="0"/>
                <w:sz w:val="24"/>
                <w:szCs w:val="24"/>
              </w:rPr>
            </w:pPr>
            <w:r>
              <w:rPr>
                <w:rFonts w:ascii="宋体" w:hAnsi="宋体" w:cs="宋体" w:hint="eastAsia"/>
                <w:color w:val="000000"/>
                <w:kern w:val="0"/>
                <w:sz w:val="20"/>
                <w:szCs w:val="20"/>
                <w:lang w:bidi="ar"/>
              </w:rPr>
              <w:t>其他固定资产</w:t>
            </w:r>
          </w:p>
        </w:tc>
        <w:tc>
          <w:tcPr>
            <w:tcW w:w="978" w:type="dxa"/>
            <w:vMerge/>
            <w:tcBorders>
              <w:top w:val="single" w:sz="4" w:space="0" w:color="000000"/>
              <w:left w:val="single" w:sz="4" w:space="0" w:color="000000"/>
              <w:bottom w:val="single" w:sz="4" w:space="0" w:color="000000"/>
              <w:right w:val="single" w:sz="4" w:space="0" w:color="000000"/>
            </w:tcBorders>
            <w:noWrap w:val="0"/>
            <w:vAlign w:val="center"/>
          </w:tcPr>
          <w:p>
            <w:pPr>
              <w:widowControl/>
              <w:jc w:val="left"/>
              <w:rPr>
                <w:rFonts w:ascii="宋体" w:hAnsi="宋体" w:cs="宋体"/>
                <w:color w:val="000000"/>
                <w:kern w:val="0"/>
                <w:sz w:val="24"/>
                <w:szCs w:val="24"/>
              </w:rPr>
            </w:pPr>
          </w:p>
        </w:tc>
        <w:tc>
          <w:tcPr>
            <w:tcW w:w="979" w:type="dxa"/>
            <w:vMerge/>
            <w:tcBorders>
              <w:top w:val="single" w:sz="4" w:space="0" w:color="000000"/>
              <w:left w:val="single" w:sz="4" w:space="0" w:color="000000"/>
              <w:bottom w:val="single" w:sz="4" w:space="0" w:color="000000"/>
              <w:right w:val="single" w:sz="4" w:space="0" w:color="000000"/>
            </w:tcBorders>
            <w:noWrap w:val="0"/>
            <w:vAlign w:val="center"/>
          </w:tcPr>
          <w:p>
            <w:pPr>
              <w:widowControl/>
              <w:jc w:val="left"/>
              <w:rPr>
                <w:rFonts w:ascii="宋体" w:hAnsi="宋体" w:cs="宋体"/>
                <w:color w:val="000000"/>
                <w:kern w:val="0"/>
                <w:sz w:val="24"/>
                <w:szCs w:val="24"/>
              </w:rPr>
            </w:pPr>
          </w:p>
        </w:tc>
        <w:tc>
          <w:tcPr>
            <w:tcW w:w="978" w:type="dxa"/>
            <w:gridSpan w:val="2"/>
            <w:vMerge/>
            <w:tcBorders>
              <w:top w:val="nil"/>
              <w:left w:val="single" w:sz="4" w:space="0" w:color="000000"/>
              <w:bottom w:val="single" w:sz="4" w:space="0" w:color="000000"/>
              <w:right w:val="single" w:sz="4" w:space="0" w:color="000000"/>
            </w:tcBorders>
            <w:noWrap w:val="0"/>
            <w:vAlign w:val="center"/>
          </w:tcPr>
          <w:p>
            <w:pPr>
              <w:widowControl/>
              <w:jc w:val="left"/>
              <w:rPr>
                <w:rFonts w:ascii="宋体" w:hAnsi="宋体" w:cs="宋体"/>
                <w:color w:val="000000"/>
                <w:kern w:val="0"/>
                <w:sz w:val="24"/>
                <w:szCs w:val="24"/>
              </w:rPr>
            </w:pPr>
          </w:p>
        </w:tc>
        <w:tc>
          <w:tcPr>
            <w:tcW w:w="978" w:type="dxa"/>
            <w:gridSpan w:val="3"/>
            <w:vMerge/>
            <w:tcBorders>
              <w:top w:val="nil"/>
              <w:left w:val="single" w:sz="4" w:space="0" w:color="000000"/>
              <w:bottom w:val="single" w:sz="4" w:space="0" w:color="000000"/>
              <w:right w:val="single" w:sz="4" w:space="0" w:color="000000"/>
            </w:tcBorders>
            <w:noWrap w:val="0"/>
            <w:vAlign w:val="center"/>
          </w:tcPr>
          <w:p>
            <w:pPr>
              <w:widowControl/>
              <w:jc w:val="left"/>
              <w:rPr>
                <w:rFonts w:ascii="宋体" w:hAnsi="宋体" w:cs="宋体"/>
                <w:color w:val="000000"/>
                <w:kern w:val="0"/>
                <w:sz w:val="24"/>
                <w:szCs w:val="24"/>
              </w:rPr>
            </w:pPr>
          </w:p>
        </w:tc>
        <w:tc>
          <w:tcPr>
            <w:tcW w:w="142" w:type="dxa"/>
            <w:tcBorders>
              <w:top w:val="nil"/>
              <w:left w:val="nil"/>
              <w:bottom w:val="nil"/>
              <w:right w:val="nil"/>
            </w:tcBorders>
            <w:noWrap w:val="0"/>
            <w:vAlign w:val="center"/>
          </w:tcPr>
          <w:p>
            <w:pPr>
              <w:widowControl/>
              <w:jc w:val="left"/>
              <w:rPr>
                <w:rFonts w:ascii="宋体" w:hAnsi="宋体" w:cs="宋体"/>
                <w:color w:val="000000"/>
                <w:kern w:val="0"/>
                <w:sz w:val="17"/>
                <w:szCs w:val="17"/>
              </w:rPr>
            </w:pPr>
          </w:p>
        </w:tc>
      </w:tr>
      <w:tr>
        <w:tblPrEx>
          <w:tblW w:w="10770" w:type="dxa"/>
          <w:tblInd w:w="0" w:type="dxa"/>
          <w:tblLayout w:type="fixed"/>
          <w:tblCellMar>
            <w:top w:w="0" w:type="dxa"/>
            <w:left w:w="0" w:type="dxa"/>
            <w:bottom w:w="0" w:type="dxa"/>
            <w:right w:w="0" w:type="dxa"/>
          </w:tblCellMar>
        </w:tblPrEx>
        <w:trPr>
          <w:trHeight w:val="395"/>
        </w:trPr>
        <w:tc>
          <w:tcPr>
            <w:tcW w:w="715" w:type="dxa"/>
            <w:vMerge/>
            <w:tcBorders>
              <w:top w:val="single" w:sz="4" w:space="0" w:color="000000"/>
              <w:left w:val="single" w:sz="4" w:space="0" w:color="000000"/>
              <w:bottom w:val="single" w:sz="4" w:space="0" w:color="000000"/>
              <w:right w:val="single" w:sz="4" w:space="0" w:color="000000"/>
            </w:tcBorders>
            <w:noWrap w:val="0"/>
            <w:vAlign w:val="center"/>
          </w:tcPr>
          <w:p>
            <w:pPr>
              <w:widowControl/>
              <w:jc w:val="left"/>
              <w:rPr>
                <w:rFonts w:ascii="宋体" w:hAnsi="宋体" w:cs="宋体"/>
                <w:color w:val="000000"/>
                <w:kern w:val="0"/>
                <w:sz w:val="24"/>
                <w:szCs w:val="24"/>
              </w:rPr>
            </w:pPr>
          </w:p>
        </w:tc>
        <w:tc>
          <w:tcPr>
            <w:tcW w:w="546" w:type="dxa"/>
            <w:vMerge/>
            <w:tcBorders>
              <w:top w:val="single" w:sz="4" w:space="0" w:color="000000"/>
              <w:left w:val="single" w:sz="4" w:space="0" w:color="000000"/>
              <w:bottom w:val="single" w:sz="4" w:space="0" w:color="000000"/>
              <w:right w:val="single" w:sz="4" w:space="0" w:color="000000"/>
            </w:tcBorders>
            <w:noWrap w:val="0"/>
            <w:vAlign w:val="center"/>
          </w:tcPr>
          <w:p>
            <w:pPr>
              <w:widowControl/>
              <w:jc w:val="left"/>
              <w:rPr>
                <w:rFonts w:ascii="宋体" w:hAnsi="宋体" w:cs="宋体"/>
                <w:color w:val="000000"/>
                <w:kern w:val="0"/>
                <w:sz w:val="24"/>
                <w:szCs w:val="24"/>
              </w:rPr>
            </w:pPr>
          </w:p>
        </w:tc>
        <w:tc>
          <w:tcPr>
            <w:tcW w:w="822" w:type="dxa"/>
            <w:vMerge/>
            <w:tcBorders>
              <w:top w:val="single" w:sz="4" w:space="0" w:color="000000"/>
              <w:left w:val="single" w:sz="4" w:space="0" w:color="000000"/>
              <w:bottom w:val="single" w:sz="4" w:space="0" w:color="000000"/>
              <w:right w:val="single" w:sz="4" w:space="0" w:color="000000"/>
            </w:tcBorders>
            <w:noWrap w:val="0"/>
            <w:vAlign w:val="center"/>
          </w:tcPr>
          <w:p>
            <w:pPr>
              <w:widowControl/>
              <w:jc w:val="left"/>
              <w:rPr>
                <w:rFonts w:ascii="宋体" w:hAnsi="宋体" w:cs="宋体"/>
                <w:color w:val="000000"/>
                <w:kern w:val="0"/>
                <w:sz w:val="24"/>
                <w:szCs w:val="24"/>
              </w:rPr>
            </w:pPr>
          </w:p>
        </w:tc>
        <w:tc>
          <w:tcPr>
            <w:tcW w:w="660" w:type="dxa"/>
            <w:vMerge/>
            <w:tcBorders>
              <w:top w:val="single" w:sz="4" w:space="0" w:color="000000"/>
              <w:left w:val="single" w:sz="4" w:space="0" w:color="000000"/>
              <w:bottom w:val="single" w:sz="4" w:space="0" w:color="000000"/>
              <w:right w:val="single" w:sz="4" w:space="0" w:color="000000"/>
            </w:tcBorders>
            <w:noWrap w:val="0"/>
            <w:vAlign w:val="center"/>
          </w:tcPr>
          <w:p>
            <w:pPr>
              <w:widowControl/>
              <w:jc w:val="left"/>
              <w:rPr>
                <w:rFonts w:ascii="宋体" w:hAnsi="宋体" w:cs="宋体"/>
                <w:color w:val="000000"/>
                <w:kern w:val="0"/>
                <w:sz w:val="24"/>
                <w:szCs w:val="24"/>
              </w:rPr>
            </w:pPr>
          </w:p>
        </w:tc>
        <w:tc>
          <w:tcPr>
            <w:tcW w:w="870" w:type="dxa"/>
            <w:vMerge/>
            <w:tcBorders>
              <w:top w:val="single" w:sz="4" w:space="0" w:color="000000"/>
              <w:left w:val="single" w:sz="4" w:space="0" w:color="000000"/>
              <w:bottom w:val="single" w:sz="4" w:space="0" w:color="000000"/>
              <w:right w:val="single" w:sz="4" w:space="0" w:color="000000"/>
            </w:tcBorders>
            <w:noWrap w:val="0"/>
            <w:vAlign w:val="center"/>
          </w:tcPr>
          <w:p>
            <w:pPr>
              <w:widowControl/>
              <w:jc w:val="left"/>
              <w:rPr>
                <w:rFonts w:ascii="宋体" w:hAnsi="宋体" w:cs="宋体"/>
                <w:color w:val="000000"/>
                <w:kern w:val="0"/>
                <w:sz w:val="24"/>
                <w:szCs w:val="24"/>
              </w:rPr>
            </w:pPr>
          </w:p>
        </w:tc>
        <w:tc>
          <w:tcPr>
            <w:tcW w:w="450" w:type="dxa"/>
            <w:vMerge/>
            <w:tcBorders>
              <w:top w:val="single" w:sz="4" w:space="0" w:color="000000"/>
              <w:left w:val="single" w:sz="4" w:space="0" w:color="000000"/>
              <w:bottom w:val="single" w:sz="4" w:space="0" w:color="000000"/>
              <w:right w:val="single" w:sz="4" w:space="0" w:color="000000"/>
            </w:tcBorders>
            <w:noWrap w:val="0"/>
            <w:vAlign w:val="center"/>
          </w:tcPr>
          <w:p>
            <w:pPr>
              <w:widowControl/>
              <w:jc w:val="left"/>
              <w:rPr>
                <w:rFonts w:ascii="宋体" w:hAnsi="宋体" w:cs="宋体"/>
                <w:color w:val="000000"/>
                <w:kern w:val="0"/>
                <w:sz w:val="24"/>
                <w:szCs w:val="24"/>
              </w:rPr>
            </w:pPr>
          </w:p>
        </w:tc>
        <w:tc>
          <w:tcPr>
            <w:tcW w:w="810" w:type="dxa"/>
            <w:gridSpan w:val="2"/>
            <w:vMerge/>
            <w:tcBorders>
              <w:top w:val="single" w:sz="4" w:space="0" w:color="000000"/>
              <w:left w:val="single" w:sz="4" w:space="0" w:color="000000"/>
              <w:bottom w:val="single" w:sz="4" w:space="0" w:color="000000"/>
              <w:right w:val="single" w:sz="4" w:space="0" w:color="000000"/>
            </w:tcBorders>
            <w:noWrap w:val="0"/>
            <w:vAlign w:val="center"/>
          </w:tcPr>
          <w:p>
            <w:pPr>
              <w:widowControl/>
              <w:jc w:val="left"/>
              <w:rPr>
                <w:rFonts w:ascii="宋体" w:hAnsi="宋体" w:cs="宋体"/>
                <w:color w:val="000000"/>
                <w:kern w:val="0"/>
                <w:sz w:val="24"/>
                <w:szCs w:val="24"/>
              </w:rPr>
            </w:pPr>
          </w:p>
        </w:tc>
        <w:tc>
          <w:tcPr>
            <w:tcW w:w="1003" w:type="dxa"/>
            <w:gridSpan w:val="2"/>
            <w:vMerge/>
            <w:tcBorders>
              <w:top w:val="single" w:sz="4" w:space="0" w:color="000000"/>
              <w:left w:val="single" w:sz="4" w:space="0" w:color="000000"/>
              <w:bottom w:val="single" w:sz="4" w:space="0" w:color="000000"/>
              <w:right w:val="single" w:sz="4" w:space="0" w:color="000000"/>
            </w:tcBorders>
            <w:noWrap w:val="0"/>
            <w:vAlign w:val="center"/>
          </w:tcPr>
          <w:p>
            <w:pPr>
              <w:widowControl/>
              <w:jc w:val="left"/>
              <w:rPr>
                <w:rFonts w:ascii="宋体" w:hAnsi="宋体" w:cs="宋体"/>
                <w:color w:val="000000"/>
                <w:kern w:val="0"/>
                <w:sz w:val="24"/>
                <w:szCs w:val="24"/>
              </w:rPr>
            </w:pPr>
          </w:p>
        </w:tc>
        <w:tc>
          <w:tcPr>
            <w:tcW w:w="839" w:type="dxa"/>
            <w:gridSpan w:val="2"/>
            <w:vMerge/>
            <w:tcBorders>
              <w:top w:val="single" w:sz="4" w:space="0" w:color="000000"/>
              <w:left w:val="single" w:sz="4" w:space="0" w:color="000000"/>
              <w:bottom w:val="single" w:sz="4" w:space="0" w:color="000000"/>
              <w:right w:val="single" w:sz="4" w:space="0" w:color="000000"/>
            </w:tcBorders>
            <w:noWrap w:val="0"/>
            <w:vAlign w:val="center"/>
          </w:tcPr>
          <w:p>
            <w:pPr>
              <w:widowControl/>
              <w:jc w:val="left"/>
              <w:rPr>
                <w:rFonts w:ascii="宋体" w:hAnsi="宋体" w:cs="宋体"/>
                <w:color w:val="000000"/>
                <w:kern w:val="0"/>
                <w:sz w:val="24"/>
                <w:szCs w:val="24"/>
              </w:rPr>
            </w:pPr>
          </w:p>
        </w:tc>
        <w:tc>
          <w:tcPr>
            <w:tcW w:w="978" w:type="dxa"/>
            <w:vMerge/>
            <w:tcBorders>
              <w:top w:val="single" w:sz="4" w:space="0" w:color="000000"/>
              <w:left w:val="single" w:sz="4" w:space="0" w:color="000000"/>
              <w:bottom w:val="single" w:sz="4" w:space="0" w:color="000000"/>
              <w:right w:val="single" w:sz="4" w:space="0" w:color="000000"/>
            </w:tcBorders>
            <w:noWrap w:val="0"/>
            <w:vAlign w:val="center"/>
          </w:tcPr>
          <w:p>
            <w:pPr>
              <w:widowControl/>
              <w:jc w:val="left"/>
              <w:rPr>
                <w:rFonts w:ascii="宋体" w:hAnsi="宋体" w:cs="宋体"/>
                <w:color w:val="000000"/>
                <w:kern w:val="0"/>
                <w:sz w:val="24"/>
                <w:szCs w:val="24"/>
              </w:rPr>
            </w:pPr>
          </w:p>
        </w:tc>
        <w:tc>
          <w:tcPr>
            <w:tcW w:w="979" w:type="dxa"/>
            <w:vMerge/>
            <w:tcBorders>
              <w:top w:val="single" w:sz="4" w:space="0" w:color="000000"/>
              <w:left w:val="single" w:sz="4" w:space="0" w:color="000000"/>
              <w:bottom w:val="single" w:sz="4" w:space="0" w:color="000000"/>
              <w:right w:val="single" w:sz="4" w:space="0" w:color="000000"/>
            </w:tcBorders>
            <w:noWrap w:val="0"/>
            <w:vAlign w:val="center"/>
          </w:tcPr>
          <w:p>
            <w:pPr>
              <w:widowControl/>
              <w:jc w:val="left"/>
              <w:rPr>
                <w:rFonts w:ascii="宋体" w:hAnsi="宋体" w:cs="宋体"/>
                <w:color w:val="000000"/>
                <w:kern w:val="0"/>
                <w:sz w:val="24"/>
                <w:szCs w:val="24"/>
              </w:rPr>
            </w:pPr>
          </w:p>
        </w:tc>
        <w:tc>
          <w:tcPr>
            <w:tcW w:w="978" w:type="dxa"/>
            <w:gridSpan w:val="2"/>
            <w:vMerge/>
            <w:tcBorders>
              <w:top w:val="nil"/>
              <w:left w:val="single" w:sz="4" w:space="0" w:color="000000"/>
              <w:bottom w:val="single" w:sz="4" w:space="0" w:color="000000"/>
              <w:right w:val="single" w:sz="4" w:space="0" w:color="000000"/>
            </w:tcBorders>
            <w:noWrap w:val="0"/>
            <w:vAlign w:val="center"/>
          </w:tcPr>
          <w:p>
            <w:pPr>
              <w:widowControl/>
              <w:jc w:val="left"/>
              <w:rPr>
                <w:rFonts w:ascii="宋体" w:hAnsi="宋体" w:cs="宋体"/>
                <w:color w:val="000000"/>
                <w:kern w:val="0"/>
                <w:sz w:val="24"/>
                <w:szCs w:val="24"/>
              </w:rPr>
            </w:pPr>
          </w:p>
        </w:tc>
        <w:tc>
          <w:tcPr>
            <w:tcW w:w="978" w:type="dxa"/>
            <w:gridSpan w:val="3"/>
            <w:vMerge/>
            <w:tcBorders>
              <w:top w:val="nil"/>
              <w:left w:val="single" w:sz="4" w:space="0" w:color="000000"/>
              <w:bottom w:val="single" w:sz="4" w:space="0" w:color="000000"/>
              <w:right w:val="single" w:sz="4" w:space="0" w:color="000000"/>
            </w:tcBorders>
            <w:noWrap w:val="0"/>
            <w:vAlign w:val="center"/>
          </w:tcPr>
          <w:p>
            <w:pPr>
              <w:widowControl/>
              <w:jc w:val="left"/>
              <w:rPr>
                <w:rFonts w:ascii="宋体" w:hAnsi="宋体" w:cs="宋体"/>
                <w:color w:val="000000"/>
                <w:kern w:val="0"/>
                <w:sz w:val="24"/>
                <w:szCs w:val="24"/>
              </w:rPr>
            </w:pPr>
          </w:p>
        </w:tc>
        <w:tc>
          <w:tcPr>
            <w:tcW w:w="142" w:type="dxa"/>
            <w:tcBorders>
              <w:top w:val="nil"/>
              <w:left w:val="nil"/>
              <w:bottom w:val="nil"/>
              <w:right w:val="nil"/>
            </w:tcBorders>
            <w:noWrap w:val="0"/>
            <w:vAlign w:val="center"/>
          </w:tcPr>
          <w:p>
            <w:pPr>
              <w:widowControl/>
              <w:jc w:val="left"/>
              <w:rPr>
                <w:rFonts w:ascii="宋体" w:hAnsi="宋体" w:cs="宋体"/>
                <w:color w:val="000000"/>
                <w:kern w:val="0"/>
                <w:sz w:val="17"/>
                <w:szCs w:val="17"/>
              </w:rPr>
            </w:pPr>
          </w:p>
        </w:tc>
      </w:tr>
      <w:tr>
        <w:tblPrEx>
          <w:tblW w:w="10770" w:type="dxa"/>
          <w:tblInd w:w="0" w:type="dxa"/>
          <w:tblLayout w:type="fixed"/>
          <w:tblCellMar>
            <w:top w:w="0" w:type="dxa"/>
            <w:left w:w="0" w:type="dxa"/>
            <w:bottom w:w="0" w:type="dxa"/>
            <w:right w:w="0" w:type="dxa"/>
          </w:tblCellMar>
        </w:tblPrEx>
        <w:trPr>
          <w:trHeight w:val="358"/>
        </w:trPr>
        <w:tc>
          <w:tcPr>
            <w:tcW w:w="715" w:type="dxa"/>
            <w:tcBorders>
              <w:top w:val="single" w:sz="4" w:space="0" w:color="000000"/>
              <w:left w:val="single" w:sz="4" w:space="0" w:color="000000"/>
              <w:bottom w:val="single" w:sz="4" w:space="0" w:color="000000"/>
              <w:right w:val="single" w:sz="4" w:space="0" w:color="000000"/>
            </w:tcBorders>
            <w:noWrap w:val="0"/>
            <w:tcMar>
              <w:top w:w="15" w:type="dxa"/>
              <w:left w:w="15" w:type="dxa"/>
              <w:bottom w:w="15" w:type="dxa"/>
              <w:right w:w="15" w:type="dxa"/>
            </w:tcMar>
            <w:vAlign w:val="center"/>
          </w:tcPr>
          <w:p>
            <w:pPr>
              <w:widowControl/>
              <w:jc w:val="center"/>
              <w:textAlignment w:val="center"/>
              <w:rPr>
                <w:rFonts w:ascii="宋体" w:hAnsi="宋体" w:cs="宋体"/>
                <w:color w:val="000000"/>
                <w:kern w:val="0"/>
                <w:sz w:val="24"/>
                <w:szCs w:val="24"/>
              </w:rPr>
            </w:pPr>
            <w:r>
              <w:rPr>
                <w:rFonts w:ascii="宋体" w:hAnsi="宋体" w:cs="宋体" w:hint="eastAsia"/>
                <w:color w:val="000000"/>
                <w:kern w:val="0"/>
                <w:sz w:val="20"/>
                <w:szCs w:val="20"/>
                <w:lang w:bidi="ar"/>
              </w:rPr>
              <w:t>栏次</w:t>
            </w:r>
          </w:p>
        </w:tc>
        <w:tc>
          <w:tcPr>
            <w:tcW w:w="546" w:type="dxa"/>
            <w:tcBorders>
              <w:top w:val="single" w:sz="4" w:space="0" w:color="000000"/>
              <w:left w:val="single" w:sz="4" w:space="0" w:color="000000"/>
              <w:bottom w:val="single" w:sz="4" w:space="0" w:color="000000"/>
              <w:right w:val="single" w:sz="4" w:space="0" w:color="000000"/>
            </w:tcBorders>
            <w:noWrap w:val="0"/>
            <w:tcMar>
              <w:top w:w="15" w:type="dxa"/>
              <w:left w:w="15" w:type="dxa"/>
              <w:bottom w:w="15" w:type="dxa"/>
              <w:right w:w="15" w:type="dxa"/>
            </w:tcMar>
            <w:vAlign w:val="center"/>
          </w:tcPr>
          <w:p>
            <w:pPr>
              <w:widowControl/>
              <w:jc w:val="left"/>
              <w:rPr>
                <w:rFonts w:ascii="宋体" w:hAnsi="宋体" w:cs="宋体"/>
                <w:color w:val="000000"/>
                <w:kern w:val="0"/>
                <w:sz w:val="24"/>
                <w:szCs w:val="24"/>
              </w:rPr>
            </w:pPr>
            <w:r>
              <w:rPr>
                <w:rFonts w:ascii="宋体" w:hAnsi="宋体" w:cs="宋体" w:hint="eastAsia"/>
                <w:color w:val="000000"/>
                <w:kern w:val="0"/>
                <w:sz w:val="20"/>
                <w:szCs w:val="20"/>
              </w:rPr>
              <w:t> </w:t>
            </w:r>
          </w:p>
        </w:tc>
        <w:tc>
          <w:tcPr>
            <w:tcW w:w="822" w:type="dxa"/>
            <w:tcBorders>
              <w:top w:val="single" w:sz="4" w:space="0" w:color="000000"/>
              <w:left w:val="single" w:sz="4" w:space="0" w:color="000000"/>
              <w:bottom w:val="single" w:sz="4" w:space="0" w:color="000000"/>
              <w:right w:val="single" w:sz="4" w:space="0" w:color="000000"/>
            </w:tcBorders>
            <w:noWrap w:val="0"/>
            <w:tcMar>
              <w:top w:w="15" w:type="dxa"/>
              <w:left w:w="15" w:type="dxa"/>
              <w:bottom w:w="15" w:type="dxa"/>
              <w:right w:w="15" w:type="dxa"/>
            </w:tcMar>
            <w:vAlign w:val="center"/>
          </w:tcPr>
          <w:p>
            <w:pPr>
              <w:widowControl/>
              <w:jc w:val="center"/>
              <w:textAlignment w:val="center"/>
              <w:rPr>
                <w:rFonts w:ascii="宋体" w:hAnsi="宋体" w:cs="宋体"/>
                <w:color w:val="000000"/>
                <w:kern w:val="0"/>
                <w:sz w:val="24"/>
                <w:szCs w:val="24"/>
              </w:rPr>
            </w:pPr>
            <w:r>
              <w:rPr>
                <w:rFonts w:ascii="宋体" w:hAnsi="宋体" w:cs="宋体" w:hint="eastAsia"/>
                <w:color w:val="000000"/>
                <w:kern w:val="0"/>
                <w:sz w:val="20"/>
                <w:szCs w:val="20"/>
                <w:lang w:bidi="ar"/>
              </w:rPr>
              <w:t>1</w:t>
            </w:r>
          </w:p>
        </w:tc>
        <w:tc>
          <w:tcPr>
            <w:tcW w:w="660" w:type="dxa"/>
            <w:tcBorders>
              <w:top w:val="single" w:sz="4" w:space="0" w:color="000000"/>
              <w:left w:val="single" w:sz="4" w:space="0" w:color="000000"/>
              <w:bottom w:val="single" w:sz="4" w:space="0" w:color="000000"/>
              <w:right w:val="single" w:sz="4" w:space="0" w:color="000000"/>
            </w:tcBorders>
            <w:noWrap w:val="0"/>
            <w:tcMar>
              <w:top w:w="15" w:type="dxa"/>
              <w:left w:w="15" w:type="dxa"/>
              <w:bottom w:w="15" w:type="dxa"/>
              <w:right w:w="15" w:type="dxa"/>
            </w:tcMar>
            <w:vAlign w:val="center"/>
          </w:tcPr>
          <w:p>
            <w:pPr>
              <w:widowControl/>
              <w:jc w:val="center"/>
              <w:textAlignment w:val="center"/>
              <w:rPr>
                <w:rFonts w:ascii="宋体" w:hAnsi="宋体" w:cs="宋体"/>
                <w:color w:val="000000"/>
                <w:kern w:val="0"/>
                <w:sz w:val="24"/>
                <w:szCs w:val="24"/>
              </w:rPr>
            </w:pPr>
            <w:r>
              <w:rPr>
                <w:rFonts w:ascii="宋体" w:hAnsi="宋体" w:cs="宋体" w:hint="eastAsia"/>
                <w:color w:val="000000"/>
                <w:kern w:val="0"/>
                <w:sz w:val="20"/>
                <w:szCs w:val="20"/>
                <w:lang w:bidi="ar"/>
              </w:rPr>
              <w:t>2</w:t>
            </w:r>
          </w:p>
        </w:tc>
        <w:tc>
          <w:tcPr>
            <w:tcW w:w="870" w:type="dxa"/>
            <w:tcBorders>
              <w:top w:val="single" w:sz="4" w:space="0" w:color="000000"/>
              <w:left w:val="single" w:sz="4" w:space="0" w:color="000000"/>
              <w:bottom w:val="single" w:sz="4" w:space="0" w:color="000000"/>
              <w:right w:val="single" w:sz="4" w:space="0" w:color="000000"/>
            </w:tcBorders>
            <w:noWrap w:val="0"/>
            <w:tcMar>
              <w:top w:w="15" w:type="dxa"/>
              <w:left w:w="15" w:type="dxa"/>
              <w:bottom w:w="15" w:type="dxa"/>
              <w:right w:w="15" w:type="dxa"/>
            </w:tcMar>
            <w:vAlign w:val="center"/>
          </w:tcPr>
          <w:p>
            <w:pPr>
              <w:widowControl/>
              <w:jc w:val="center"/>
              <w:textAlignment w:val="center"/>
              <w:rPr>
                <w:rFonts w:ascii="宋体" w:hAnsi="宋体" w:cs="宋体"/>
                <w:color w:val="000000"/>
                <w:kern w:val="0"/>
                <w:sz w:val="24"/>
                <w:szCs w:val="24"/>
              </w:rPr>
            </w:pPr>
            <w:r>
              <w:rPr>
                <w:rFonts w:ascii="宋体" w:hAnsi="宋体" w:cs="宋体" w:hint="eastAsia"/>
                <w:color w:val="000000"/>
                <w:kern w:val="0"/>
                <w:sz w:val="20"/>
                <w:szCs w:val="20"/>
                <w:lang w:bidi="ar"/>
              </w:rPr>
              <w:t>3</w:t>
            </w:r>
          </w:p>
        </w:tc>
        <w:tc>
          <w:tcPr>
            <w:tcW w:w="450" w:type="dxa"/>
            <w:tcBorders>
              <w:top w:val="single" w:sz="4" w:space="0" w:color="000000"/>
              <w:left w:val="single" w:sz="4" w:space="0" w:color="000000"/>
              <w:bottom w:val="single" w:sz="4" w:space="0" w:color="000000"/>
              <w:right w:val="single" w:sz="4" w:space="0" w:color="000000"/>
            </w:tcBorders>
            <w:noWrap w:val="0"/>
            <w:tcMar>
              <w:top w:w="15" w:type="dxa"/>
              <w:left w:w="15" w:type="dxa"/>
              <w:bottom w:w="15" w:type="dxa"/>
              <w:right w:w="15" w:type="dxa"/>
            </w:tcMar>
            <w:vAlign w:val="center"/>
          </w:tcPr>
          <w:p>
            <w:pPr>
              <w:widowControl/>
              <w:jc w:val="center"/>
              <w:textAlignment w:val="center"/>
              <w:rPr>
                <w:rFonts w:ascii="宋体" w:hAnsi="宋体" w:cs="宋体"/>
                <w:color w:val="000000"/>
                <w:kern w:val="0"/>
                <w:sz w:val="24"/>
                <w:szCs w:val="24"/>
              </w:rPr>
            </w:pPr>
            <w:r>
              <w:rPr>
                <w:rFonts w:ascii="宋体" w:hAnsi="宋体" w:cs="宋体" w:hint="eastAsia"/>
                <w:color w:val="000000"/>
                <w:kern w:val="0"/>
                <w:sz w:val="20"/>
                <w:szCs w:val="20"/>
                <w:lang w:bidi="ar"/>
              </w:rPr>
              <w:t>4</w:t>
            </w:r>
          </w:p>
        </w:tc>
        <w:tc>
          <w:tcPr>
            <w:tcW w:w="810" w:type="dxa"/>
            <w:gridSpan w:val="2"/>
            <w:tcBorders>
              <w:top w:val="single" w:sz="4" w:space="0" w:color="000000"/>
              <w:left w:val="single" w:sz="4" w:space="0" w:color="000000"/>
              <w:bottom w:val="single" w:sz="4" w:space="0" w:color="000000"/>
              <w:right w:val="single" w:sz="4" w:space="0" w:color="000000"/>
            </w:tcBorders>
            <w:noWrap w:val="0"/>
            <w:tcMar>
              <w:top w:w="15" w:type="dxa"/>
              <w:left w:w="15" w:type="dxa"/>
              <w:bottom w:w="15" w:type="dxa"/>
              <w:right w:w="15" w:type="dxa"/>
            </w:tcMar>
            <w:vAlign w:val="center"/>
          </w:tcPr>
          <w:p>
            <w:pPr>
              <w:widowControl/>
              <w:jc w:val="center"/>
              <w:textAlignment w:val="center"/>
              <w:rPr>
                <w:rFonts w:ascii="宋体" w:hAnsi="宋体" w:cs="宋体"/>
                <w:color w:val="000000"/>
                <w:kern w:val="0"/>
                <w:sz w:val="24"/>
                <w:szCs w:val="24"/>
              </w:rPr>
            </w:pPr>
            <w:r>
              <w:rPr>
                <w:rFonts w:ascii="宋体" w:hAnsi="宋体" w:cs="宋体" w:hint="eastAsia"/>
                <w:color w:val="000000"/>
                <w:kern w:val="0"/>
                <w:sz w:val="20"/>
                <w:szCs w:val="20"/>
                <w:lang w:bidi="ar"/>
              </w:rPr>
              <w:t>5</w:t>
            </w:r>
          </w:p>
        </w:tc>
        <w:tc>
          <w:tcPr>
            <w:tcW w:w="1003" w:type="dxa"/>
            <w:gridSpan w:val="2"/>
            <w:tcBorders>
              <w:top w:val="single" w:sz="4" w:space="0" w:color="000000"/>
              <w:left w:val="single" w:sz="4" w:space="0" w:color="000000"/>
              <w:bottom w:val="single" w:sz="4" w:space="0" w:color="000000"/>
              <w:right w:val="single" w:sz="4" w:space="0" w:color="000000"/>
            </w:tcBorders>
            <w:noWrap w:val="0"/>
            <w:tcMar>
              <w:top w:w="15" w:type="dxa"/>
              <w:left w:w="15" w:type="dxa"/>
              <w:bottom w:w="15" w:type="dxa"/>
              <w:right w:w="15" w:type="dxa"/>
            </w:tcMar>
            <w:vAlign w:val="center"/>
          </w:tcPr>
          <w:p>
            <w:pPr>
              <w:widowControl/>
              <w:jc w:val="center"/>
              <w:textAlignment w:val="center"/>
              <w:rPr>
                <w:rFonts w:ascii="宋体" w:hAnsi="宋体" w:cs="宋体"/>
                <w:color w:val="000000"/>
                <w:kern w:val="0"/>
                <w:sz w:val="24"/>
                <w:szCs w:val="24"/>
              </w:rPr>
            </w:pPr>
            <w:r>
              <w:rPr>
                <w:rFonts w:ascii="宋体" w:hAnsi="宋体" w:cs="宋体" w:hint="eastAsia"/>
                <w:color w:val="000000"/>
                <w:kern w:val="0"/>
                <w:sz w:val="20"/>
                <w:szCs w:val="20"/>
                <w:lang w:bidi="ar"/>
              </w:rPr>
              <w:t>6</w:t>
            </w:r>
          </w:p>
        </w:tc>
        <w:tc>
          <w:tcPr>
            <w:tcW w:w="839" w:type="dxa"/>
            <w:gridSpan w:val="2"/>
            <w:tcBorders>
              <w:top w:val="single" w:sz="4" w:space="0" w:color="000000"/>
              <w:left w:val="single" w:sz="4" w:space="0" w:color="000000"/>
              <w:bottom w:val="single" w:sz="4" w:space="0" w:color="000000"/>
              <w:right w:val="single" w:sz="4" w:space="0" w:color="000000"/>
            </w:tcBorders>
            <w:noWrap w:val="0"/>
            <w:tcMar>
              <w:top w:w="15" w:type="dxa"/>
              <w:left w:w="15" w:type="dxa"/>
              <w:bottom w:w="15" w:type="dxa"/>
              <w:right w:w="15" w:type="dxa"/>
            </w:tcMar>
            <w:vAlign w:val="center"/>
          </w:tcPr>
          <w:p>
            <w:pPr>
              <w:widowControl/>
              <w:jc w:val="center"/>
              <w:textAlignment w:val="center"/>
              <w:rPr>
                <w:rFonts w:ascii="宋体" w:hAnsi="宋体" w:cs="宋体"/>
                <w:color w:val="000000"/>
                <w:kern w:val="0"/>
                <w:sz w:val="24"/>
                <w:szCs w:val="24"/>
              </w:rPr>
            </w:pPr>
            <w:r>
              <w:rPr>
                <w:rFonts w:ascii="宋体" w:hAnsi="宋体" w:cs="宋体" w:hint="eastAsia"/>
                <w:color w:val="000000"/>
                <w:kern w:val="0"/>
                <w:sz w:val="20"/>
                <w:szCs w:val="20"/>
                <w:lang w:bidi="ar"/>
              </w:rPr>
              <w:t>7</w:t>
            </w:r>
          </w:p>
        </w:tc>
        <w:tc>
          <w:tcPr>
            <w:tcW w:w="978" w:type="dxa"/>
            <w:tcBorders>
              <w:top w:val="single" w:sz="4" w:space="0" w:color="000000"/>
              <w:left w:val="single" w:sz="4" w:space="0" w:color="000000"/>
              <w:bottom w:val="single" w:sz="4" w:space="0" w:color="000000"/>
              <w:right w:val="single" w:sz="4" w:space="0" w:color="000000"/>
            </w:tcBorders>
            <w:noWrap w:val="0"/>
            <w:tcMar>
              <w:top w:w="15" w:type="dxa"/>
              <w:left w:w="15" w:type="dxa"/>
              <w:bottom w:w="15" w:type="dxa"/>
              <w:right w:w="15" w:type="dxa"/>
            </w:tcMar>
            <w:vAlign w:val="center"/>
          </w:tcPr>
          <w:p>
            <w:pPr>
              <w:widowControl/>
              <w:jc w:val="center"/>
              <w:textAlignment w:val="center"/>
              <w:rPr>
                <w:rFonts w:ascii="宋体" w:hAnsi="宋体" w:cs="宋体"/>
                <w:color w:val="000000"/>
                <w:kern w:val="0"/>
                <w:sz w:val="24"/>
                <w:szCs w:val="24"/>
              </w:rPr>
            </w:pPr>
            <w:r>
              <w:rPr>
                <w:rFonts w:ascii="宋体" w:hAnsi="宋体" w:cs="宋体" w:hint="eastAsia"/>
                <w:color w:val="000000"/>
                <w:kern w:val="0"/>
                <w:sz w:val="20"/>
                <w:szCs w:val="20"/>
                <w:lang w:bidi="ar"/>
              </w:rPr>
              <w:t>8</w:t>
            </w:r>
          </w:p>
        </w:tc>
        <w:tc>
          <w:tcPr>
            <w:tcW w:w="979" w:type="dxa"/>
            <w:tcBorders>
              <w:top w:val="single" w:sz="4" w:space="0" w:color="000000"/>
              <w:left w:val="single" w:sz="4" w:space="0" w:color="000000"/>
              <w:bottom w:val="single" w:sz="4" w:space="0" w:color="000000"/>
              <w:right w:val="single" w:sz="4" w:space="0" w:color="000000"/>
            </w:tcBorders>
            <w:noWrap w:val="0"/>
            <w:tcMar>
              <w:top w:w="15" w:type="dxa"/>
              <w:left w:w="15" w:type="dxa"/>
              <w:bottom w:w="15" w:type="dxa"/>
              <w:right w:w="15" w:type="dxa"/>
            </w:tcMar>
            <w:vAlign w:val="center"/>
          </w:tcPr>
          <w:p>
            <w:pPr>
              <w:widowControl/>
              <w:jc w:val="center"/>
              <w:textAlignment w:val="center"/>
              <w:rPr>
                <w:rFonts w:ascii="宋体" w:hAnsi="宋体" w:cs="宋体"/>
                <w:color w:val="000000"/>
                <w:kern w:val="0"/>
                <w:sz w:val="24"/>
                <w:szCs w:val="24"/>
              </w:rPr>
            </w:pPr>
            <w:r>
              <w:rPr>
                <w:rFonts w:ascii="宋体" w:hAnsi="宋体" w:cs="宋体" w:hint="eastAsia"/>
                <w:color w:val="000000"/>
                <w:kern w:val="0"/>
                <w:sz w:val="20"/>
                <w:szCs w:val="20"/>
                <w:lang w:bidi="ar"/>
              </w:rPr>
              <w:t>9</w:t>
            </w:r>
          </w:p>
        </w:tc>
        <w:tc>
          <w:tcPr>
            <w:tcW w:w="978" w:type="dxa"/>
            <w:gridSpan w:val="2"/>
            <w:tcBorders>
              <w:top w:val="single" w:sz="4" w:space="0" w:color="000000"/>
              <w:left w:val="single" w:sz="4" w:space="0" w:color="000000"/>
              <w:bottom w:val="single" w:sz="4" w:space="0" w:color="000000"/>
              <w:right w:val="single" w:sz="4" w:space="0" w:color="000000"/>
            </w:tcBorders>
            <w:noWrap w:val="0"/>
            <w:tcMar>
              <w:top w:w="15" w:type="dxa"/>
              <w:left w:w="15" w:type="dxa"/>
              <w:bottom w:w="15" w:type="dxa"/>
              <w:right w:w="15" w:type="dxa"/>
            </w:tcMar>
            <w:vAlign w:val="center"/>
          </w:tcPr>
          <w:p>
            <w:pPr>
              <w:widowControl/>
              <w:jc w:val="center"/>
              <w:textAlignment w:val="center"/>
              <w:rPr>
                <w:rFonts w:ascii="宋体" w:hAnsi="宋体" w:cs="宋体"/>
                <w:color w:val="000000"/>
                <w:kern w:val="0"/>
                <w:sz w:val="24"/>
                <w:szCs w:val="24"/>
              </w:rPr>
            </w:pPr>
            <w:r>
              <w:rPr>
                <w:rFonts w:ascii="宋体" w:hAnsi="宋体" w:cs="宋体" w:hint="eastAsia"/>
                <w:color w:val="000000"/>
                <w:kern w:val="0"/>
                <w:sz w:val="20"/>
                <w:szCs w:val="20"/>
                <w:lang w:bidi="ar"/>
              </w:rPr>
              <w:t>10</w:t>
            </w:r>
          </w:p>
        </w:tc>
        <w:tc>
          <w:tcPr>
            <w:tcW w:w="978" w:type="dxa"/>
            <w:gridSpan w:val="3"/>
            <w:tcBorders>
              <w:top w:val="single" w:sz="4" w:space="0" w:color="000000"/>
              <w:left w:val="single" w:sz="4" w:space="0" w:color="000000"/>
              <w:bottom w:val="single" w:sz="4" w:space="0" w:color="000000"/>
              <w:right w:val="single" w:sz="4" w:space="0" w:color="000000"/>
            </w:tcBorders>
            <w:noWrap w:val="0"/>
            <w:tcMar>
              <w:top w:w="15" w:type="dxa"/>
              <w:left w:w="15" w:type="dxa"/>
              <w:bottom w:w="15" w:type="dxa"/>
              <w:right w:w="15" w:type="dxa"/>
            </w:tcMar>
            <w:vAlign w:val="center"/>
          </w:tcPr>
          <w:p>
            <w:pPr>
              <w:widowControl/>
              <w:jc w:val="center"/>
              <w:textAlignment w:val="center"/>
              <w:rPr>
                <w:rFonts w:ascii="宋体" w:hAnsi="宋体" w:cs="宋体"/>
                <w:color w:val="000000"/>
                <w:kern w:val="0"/>
                <w:sz w:val="24"/>
                <w:szCs w:val="24"/>
              </w:rPr>
            </w:pPr>
            <w:r>
              <w:rPr>
                <w:rFonts w:ascii="宋体" w:hAnsi="宋体" w:cs="宋体" w:hint="eastAsia"/>
                <w:color w:val="000000"/>
                <w:kern w:val="0"/>
                <w:sz w:val="20"/>
                <w:szCs w:val="20"/>
                <w:lang w:bidi="ar"/>
              </w:rPr>
              <w:t>11</w:t>
            </w:r>
          </w:p>
        </w:tc>
        <w:tc>
          <w:tcPr>
            <w:tcW w:w="142" w:type="dxa"/>
            <w:tcBorders>
              <w:top w:val="nil"/>
              <w:left w:val="nil"/>
              <w:bottom w:val="nil"/>
              <w:right w:val="nil"/>
            </w:tcBorders>
            <w:noWrap w:val="0"/>
            <w:vAlign w:val="center"/>
          </w:tcPr>
          <w:p>
            <w:pPr>
              <w:widowControl/>
              <w:jc w:val="left"/>
              <w:rPr>
                <w:rFonts w:ascii="宋体" w:hAnsi="宋体" w:cs="宋体"/>
                <w:color w:val="000000"/>
                <w:kern w:val="0"/>
                <w:sz w:val="17"/>
                <w:szCs w:val="17"/>
              </w:rPr>
            </w:pPr>
          </w:p>
        </w:tc>
      </w:tr>
      <w:tr>
        <w:tblPrEx>
          <w:tblW w:w="10770" w:type="dxa"/>
          <w:tblInd w:w="0" w:type="dxa"/>
          <w:tblLayout w:type="fixed"/>
          <w:tblCellMar>
            <w:top w:w="0" w:type="dxa"/>
            <w:left w:w="0" w:type="dxa"/>
            <w:bottom w:w="0" w:type="dxa"/>
            <w:right w:w="0" w:type="dxa"/>
          </w:tblCellMar>
        </w:tblPrEx>
        <w:trPr>
          <w:trHeight w:val="563"/>
        </w:trPr>
        <w:tc>
          <w:tcPr>
            <w:tcW w:w="715" w:type="dxa"/>
            <w:tcBorders>
              <w:top w:val="single" w:sz="4" w:space="0" w:color="000000"/>
              <w:left w:val="single" w:sz="4" w:space="0" w:color="000000"/>
              <w:bottom w:val="single" w:sz="4" w:space="0" w:color="000000"/>
              <w:right w:val="single" w:sz="4" w:space="0" w:color="000000"/>
            </w:tcBorders>
            <w:noWrap w:val="0"/>
            <w:tcMar>
              <w:top w:w="15" w:type="dxa"/>
              <w:left w:w="15" w:type="dxa"/>
              <w:bottom w:w="15" w:type="dxa"/>
              <w:right w:w="15" w:type="dxa"/>
            </w:tcMar>
            <w:vAlign w:val="center"/>
          </w:tcPr>
          <w:p>
            <w:pPr>
              <w:widowControl/>
              <w:jc w:val="center"/>
              <w:textAlignment w:val="center"/>
              <w:rPr>
                <w:rFonts w:ascii="宋体" w:hAnsi="宋体" w:cs="宋体"/>
                <w:color w:val="000000"/>
                <w:kern w:val="0"/>
                <w:sz w:val="24"/>
                <w:szCs w:val="24"/>
              </w:rPr>
            </w:pPr>
            <w:r>
              <w:rPr>
                <w:rFonts w:ascii="宋体" w:hAnsi="宋体" w:cs="宋体" w:hint="eastAsia"/>
                <w:color w:val="000000"/>
                <w:kern w:val="0"/>
                <w:sz w:val="20"/>
                <w:szCs w:val="20"/>
                <w:lang w:bidi="ar"/>
              </w:rPr>
              <w:t>合计</w:t>
            </w:r>
          </w:p>
        </w:tc>
        <w:tc>
          <w:tcPr>
            <w:tcW w:w="546" w:type="dxa"/>
            <w:tcBorders>
              <w:top w:val="single" w:sz="4" w:space="0" w:color="000000"/>
              <w:left w:val="single" w:sz="4" w:space="0" w:color="000000"/>
              <w:bottom w:val="single" w:sz="4" w:space="0" w:color="000000"/>
              <w:right w:val="single" w:sz="4" w:space="0" w:color="000000"/>
            </w:tcBorders>
            <w:noWrap w:val="0"/>
            <w:tcMar>
              <w:top w:w="15" w:type="dxa"/>
              <w:left w:w="15" w:type="dxa"/>
              <w:bottom w:w="15" w:type="dxa"/>
              <w:right w:w="15" w:type="dxa"/>
            </w:tcMar>
            <w:vAlign w:val="center"/>
          </w:tcPr>
          <w:p>
            <w:pPr>
              <w:widowControl/>
              <w:jc w:val="center"/>
              <w:textAlignment w:val="center"/>
              <w:rPr>
                <w:rFonts w:ascii="宋体" w:hAnsi="宋体" w:cs="宋体"/>
                <w:color w:val="000000"/>
                <w:kern w:val="0"/>
                <w:sz w:val="24"/>
                <w:szCs w:val="24"/>
              </w:rPr>
            </w:pPr>
            <w:r>
              <w:rPr>
                <w:rFonts w:ascii="宋体" w:hAnsi="宋体" w:cs="宋体" w:hint="eastAsia"/>
                <w:color w:val="000000"/>
                <w:kern w:val="0"/>
                <w:sz w:val="20"/>
                <w:szCs w:val="20"/>
                <w:lang w:bidi="ar"/>
              </w:rPr>
              <w:t>1</w:t>
            </w:r>
          </w:p>
        </w:tc>
        <w:tc>
          <w:tcPr>
            <w:tcW w:w="822" w:type="dxa"/>
            <w:tcBorders>
              <w:top w:val="single" w:sz="4" w:space="0" w:color="000000"/>
              <w:left w:val="single" w:sz="4" w:space="0" w:color="000000"/>
              <w:bottom w:val="single" w:sz="4" w:space="0" w:color="000000"/>
              <w:right w:val="single" w:sz="4" w:space="0" w:color="000000"/>
            </w:tcBorders>
            <w:noWrap w:val="0"/>
            <w:tcMar>
              <w:top w:w="15" w:type="dxa"/>
              <w:left w:w="15" w:type="dxa"/>
              <w:bottom w:w="15" w:type="dxa"/>
              <w:right w:w="15" w:type="dxa"/>
            </w:tcMar>
            <w:vAlign w:val="center"/>
          </w:tcPr>
          <w:p>
            <w:pPr>
              <w:widowControl/>
              <w:jc w:val="right"/>
              <w:rPr>
                <w:rFonts w:ascii="宋体" w:hAnsi="宋体" w:cs="宋体"/>
                <w:color w:val="000000"/>
                <w:kern w:val="0"/>
                <w:sz w:val="18"/>
                <w:szCs w:val="18"/>
              </w:rPr>
            </w:pPr>
            <w:r>
              <w:rPr>
                <w:rFonts w:ascii="宋体" w:hAnsi="宋体" w:cs="宋体" w:hint="eastAsia"/>
                <w:color w:val="000000"/>
                <w:kern w:val="0"/>
                <w:sz w:val="18"/>
                <w:szCs w:val="18"/>
                <w:lang w:val="en-US" w:eastAsia="zh-CN"/>
              </w:rPr>
              <w:t>18919.06</w:t>
            </w:r>
            <w:r>
              <w:rPr>
                <w:rFonts w:ascii="宋体" w:hAnsi="宋体" w:cs="宋体" w:hint="eastAsia"/>
                <w:color w:val="000000"/>
                <w:kern w:val="0"/>
                <w:sz w:val="18"/>
                <w:szCs w:val="18"/>
              </w:rPr>
              <w:t> </w:t>
            </w:r>
          </w:p>
        </w:tc>
        <w:tc>
          <w:tcPr>
            <w:tcW w:w="660" w:type="dxa"/>
            <w:tcBorders>
              <w:top w:val="single" w:sz="4" w:space="0" w:color="000000"/>
              <w:left w:val="single" w:sz="4" w:space="0" w:color="000000"/>
              <w:bottom w:val="single" w:sz="4" w:space="0" w:color="000000"/>
              <w:right w:val="single" w:sz="4" w:space="0" w:color="000000"/>
            </w:tcBorders>
            <w:noWrap w:val="0"/>
            <w:tcMar>
              <w:top w:w="15" w:type="dxa"/>
              <w:left w:w="15" w:type="dxa"/>
              <w:bottom w:w="15" w:type="dxa"/>
              <w:right w:w="15" w:type="dxa"/>
            </w:tcMar>
            <w:vAlign w:val="center"/>
          </w:tcPr>
          <w:p>
            <w:pPr>
              <w:widowControl/>
              <w:jc w:val="right"/>
              <w:rPr>
                <w:rFonts w:ascii="宋体" w:hAnsi="宋体" w:cs="宋体"/>
                <w:color w:val="000000"/>
                <w:kern w:val="0"/>
                <w:sz w:val="18"/>
                <w:szCs w:val="18"/>
              </w:rPr>
            </w:pPr>
            <w:r>
              <w:rPr>
                <w:rFonts w:ascii="宋体" w:hAnsi="宋体" w:cs="宋体" w:hint="eastAsia"/>
                <w:color w:val="000000"/>
                <w:kern w:val="0"/>
                <w:sz w:val="18"/>
                <w:szCs w:val="18"/>
                <w:lang w:val="en-US" w:eastAsia="zh-CN"/>
              </w:rPr>
              <w:t>9742.9</w:t>
            </w:r>
            <w:r>
              <w:rPr>
                <w:rFonts w:ascii="宋体" w:hAnsi="宋体" w:cs="宋体" w:hint="eastAsia"/>
                <w:color w:val="000000"/>
                <w:kern w:val="0"/>
                <w:sz w:val="18"/>
                <w:szCs w:val="18"/>
              </w:rPr>
              <w:t> </w:t>
            </w:r>
          </w:p>
        </w:tc>
        <w:tc>
          <w:tcPr>
            <w:tcW w:w="870" w:type="dxa"/>
            <w:tcBorders>
              <w:top w:val="single" w:sz="4" w:space="0" w:color="000000"/>
              <w:left w:val="single" w:sz="4" w:space="0" w:color="000000"/>
              <w:bottom w:val="single" w:sz="4" w:space="0" w:color="000000"/>
              <w:right w:val="single" w:sz="4" w:space="0" w:color="000000"/>
            </w:tcBorders>
            <w:noWrap w:val="0"/>
            <w:tcMar>
              <w:top w:w="15" w:type="dxa"/>
              <w:left w:w="15" w:type="dxa"/>
              <w:bottom w:w="15" w:type="dxa"/>
              <w:right w:w="15" w:type="dxa"/>
            </w:tcMar>
            <w:vAlign w:val="center"/>
          </w:tcPr>
          <w:p>
            <w:pPr>
              <w:widowControl/>
              <w:jc w:val="right"/>
              <w:rPr>
                <w:rFonts w:ascii="宋体" w:eastAsia="宋体" w:hAnsi="宋体" w:cs="宋体" w:hint="default"/>
                <w:color w:val="000000"/>
                <w:kern w:val="0"/>
                <w:sz w:val="18"/>
                <w:szCs w:val="18"/>
                <w:lang w:val="en-US" w:eastAsia="zh-CN"/>
              </w:rPr>
            </w:pPr>
            <w:r>
              <w:rPr>
                <w:rFonts w:ascii="宋体" w:hAnsi="宋体" w:cs="宋体" w:hint="eastAsia"/>
                <w:color w:val="000000"/>
                <w:kern w:val="0"/>
                <w:sz w:val="18"/>
                <w:szCs w:val="18"/>
              </w:rPr>
              <w:t> </w:t>
            </w:r>
            <w:r>
              <w:rPr>
                <w:rFonts w:ascii="宋体" w:hAnsi="宋体" w:cs="宋体" w:hint="eastAsia"/>
                <w:color w:val="000000"/>
                <w:kern w:val="0"/>
                <w:sz w:val="18"/>
                <w:szCs w:val="18"/>
                <w:lang w:val="en-US" w:eastAsia="zh-CN"/>
              </w:rPr>
              <w:t>159.86</w:t>
            </w:r>
          </w:p>
        </w:tc>
        <w:tc>
          <w:tcPr>
            <w:tcW w:w="450" w:type="dxa"/>
            <w:tcBorders>
              <w:top w:val="single" w:sz="4" w:space="0" w:color="000000"/>
              <w:left w:val="single" w:sz="4" w:space="0" w:color="000000"/>
              <w:bottom w:val="single" w:sz="4" w:space="0" w:color="000000"/>
              <w:right w:val="single" w:sz="4" w:space="0" w:color="000000"/>
            </w:tcBorders>
            <w:noWrap w:val="0"/>
            <w:tcMar>
              <w:top w:w="15" w:type="dxa"/>
              <w:left w:w="15" w:type="dxa"/>
              <w:bottom w:w="15" w:type="dxa"/>
              <w:right w:w="15" w:type="dxa"/>
            </w:tcMar>
            <w:vAlign w:val="center"/>
          </w:tcPr>
          <w:p>
            <w:pPr>
              <w:widowControl/>
              <w:jc w:val="right"/>
              <w:rPr>
                <w:rFonts w:ascii="宋体" w:hAnsi="宋体" w:cs="宋体"/>
                <w:color w:val="000000"/>
                <w:kern w:val="0"/>
                <w:sz w:val="18"/>
                <w:szCs w:val="18"/>
              </w:rPr>
            </w:pPr>
            <w:r>
              <w:rPr>
                <w:rFonts w:ascii="宋体" w:hAnsi="宋体" w:cs="宋体" w:hint="eastAsia"/>
                <w:color w:val="000000"/>
                <w:kern w:val="0"/>
                <w:sz w:val="18"/>
                <w:szCs w:val="18"/>
              </w:rPr>
              <w:t> </w:t>
            </w:r>
          </w:p>
        </w:tc>
        <w:tc>
          <w:tcPr>
            <w:tcW w:w="810" w:type="dxa"/>
            <w:gridSpan w:val="2"/>
            <w:tcBorders>
              <w:top w:val="single" w:sz="4" w:space="0" w:color="000000"/>
              <w:left w:val="single" w:sz="4" w:space="0" w:color="000000"/>
              <w:bottom w:val="single" w:sz="4" w:space="0" w:color="000000"/>
              <w:right w:val="single" w:sz="4" w:space="0" w:color="000000"/>
            </w:tcBorders>
            <w:noWrap w:val="0"/>
            <w:tcMar>
              <w:top w:w="15" w:type="dxa"/>
              <w:left w:w="15" w:type="dxa"/>
              <w:bottom w:w="15" w:type="dxa"/>
              <w:right w:w="15" w:type="dxa"/>
            </w:tcMar>
            <w:vAlign w:val="center"/>
          </w:tcPr>
          <w:p>
            <w:pPr>
              <w:widowControl/>
              <w:jc w:val="right"/>
              <w:rPr>
                <w:rFonts w:ascii="宋体" w:hAnsi="宋体" w:cs="宋体"/>
                <w:color w:val="000000"/>
                <w:kern w:val="0"/>
                <w:sz w:val="24"/>
                <w:szCs w:val="24"/>
              </w:rPr>
            </w:pPr>
            <w:r>
              <w:rPr>
                <w:rFonts w:ascii="宋体" w:hAnsi="宋体" w:cs="宋体" w:hint="eastAsia"/>
                <w:color w:val="000000"/>
                <w:kern w:val="0"/>
                <w:sz w:val="20"/>
                <w:szCs w:val="20"/>
                <w:lang w:val="en-US" w:eastAsia="zh-CN"/>
              </w:rPr>
              <w:t>59.78</w:t>
            </w:r>
            <w:r>
              <w:rPr>
                <w:rFonts w:ascii="宋体" w:hAnsi="宋体" w:cs="宋体" w:hint="eastAsia"/>
                <w:color w:val="000000"/>
                <w:kern w:val="0"/>
                <w:sz w:val="20"/>
                <w:szCs w:val="20"/>
              </w:rPr>
              <w:t> </w:t>
            </w:r>
          </w:p>
        </w:tc>
        <w:tc>
          <w:tcPr>
            <w:tcW w:w="1003" w:type="dxa"/>
            <w:gridSpan w:val="2"/>
            <w:tcBorders>
              <w:top w:val="single" w:sz="4" w:space="0" w:color="000000"/>
              <w:left w:val="single" w:sz="4" w:space="0" w:color="000000"/>
              <w:bottom w:val="single" w:sz="4" w:space="0" w:color="000000"/>
              <w:right w:val="single" w:sz="4" w:space="0" w:color="000000"/>
            </w:tcBorders>
            <w:noWrap w:val="0"/>
            <w:tcMar>
              <w:top w:w="15" w:type="dxa"/>
              <w:left w:w="15" w:type="dxa"/>
              <w:bottom w:w="15" w:type="dxa"/>
              <w:right w:w="15" w:type="dxa"/>
            </w:tcMar>
            <w:vAlign w:val="center"/>
          </w:tcPr>
          <w:p>
            <w:pPr>
              <w:widowControl/>
              <w:jc w:val="right"/>
              <w:rPr>
                <w:rFonts w:ascii="宋体" w:hAnsi="宋体" w:cs="宋体"/>
                <w:color w:val="000000"/>
                <w:kern w:val="0"/>
                <w:sz w:val="24"/>
                <w:szCs w:val="24"/>
              </w:rPr>
            </w:pPr>
            <w:r>
              <w:rPr>
                <w:rFonts w:ascii="宋体" w:hAnsi="宋体" w:cs="宋体" w:hint="eastAsia"/>
                <w:color w:val="000000"/>
                <w:kern w:val="0"/>
                <w:sz w:val="20"/>
                <w:szCs w:val="20"/>
              </w:rPr>
              <w:t> </w:t>
            </w:r>
          </w:p>
        </w:tc>
        <w:tc>
          <w:tcPr>
            <w:tcW w:w="839" w:type="dxa"/>
            <w:gridSpan w:val="2"/>
            <w:tcBorders>
              <w:top w:val="single" w:sz="4" w:space="0" w:color="000000"/>
              <w:left w:val="single" w:sz="4" w:space="0" w:color="000000"/>
              <w:bottom w:val="single" w:sz="4" w:space="0" w:color="000000"/>
              <w:right w:val="single" w:sz="4" w:space="0" w:color="000000"/>
            </w:tcBorders>
            <w:noWrap w:val="0"/>
            <w:tcMar>
              <w:top w:w="15" w:type="dxa"/>
              <w:left w:w="15" w:type="dxa"/>
              <w:bottom w:w="15" w:type="dxa"/>
              <w:right w:w="15" w:type="dxa"/>
            </w:tcMar>
            <w:vAlign w:val="center"/>
          </w:tcPr>
          <w:p>
            <w:pPr>
              <w:widowControl/>
              <w:jc w:val="right"/>
              <w:rPr>
                <w:rFonts w:ascii="宋体" w:hAnsi="宋体" w:cs="宋体"/>
                <w:color w:val="000000"/>
                <w:kern w:val="0"/>
                <w:sz w:val="24"/>
                <w:szCs w:val="24"/>
              </w:rPr>
            </w:pPr>
            <w:r>
              <w:rPr>
                <w:rFonts w:ascii="宋体" w:hAnsi="宋体" w:cs="宋体" w:hint="eastAsia"/>
                <w:color w:val="000000"/>
                <w:kern w:val="0"/>
                <w:sz w:val="20"/>
                <w:szCs w:val="20"/>
                <w:lang w:val="en-US" w:eastAsia="zh-CN"/>
              </w:rPr>
              <w:t>100.08</w:t>
            </w:r>
            <w:r>
              <w:rPr>
                <w:rFonts w:ascii="宋体" w:hAnsi="宋体" w:cs="宋体" w:hint="eastAsia"/>
                <w:color w:val="000000"/>
                <w:kern w:val="0"/>
                <w:sz w:val="20"/>
                <w:szCs w:val="20"/>
              </w:rPr>
              <w:t> </w:t>
            </w:r>
          </w:p>
        </w:tc>
        <w:tc>
          <w:tcPr>
            <w:tcW w:w="978" w:type="dxa"/>
            <w:tcBorders>
              <w:top w:val="single" w:sz="4" w:space="0" w:color="000000"/>
              <w:left w:val="single" w:sz="4" w:space="0" w:color="000000"/>
              <w:bottom w:val="single" w:sz="4" w:space="0" w:color="000000"/>
              <w:right w:val="single" w:sz="4" w:space="0" w:color="000000"/>
            </w:tcBorders>
            <w:noWrap w:val="0"/>
            <w:tcMar>
              <w:top w:w="15" w:type="dxa"/>
              <w:left w:w="15" w:type="dxa"/>
              <w:bottom w:w="15" w:type="dxa"/>
              <w:right w:w="15" w:type="dxa"/>
            </w:tcMar>
            <w:vAlign w:val="center"/>
          </w:tcPr>
          <w:p>
            <w:pPr>
              <w:widowControl/>
              <w:jc w:val="right"/>
              <w:rPr>
                <w:rFonts w:ascii="宋体" w:hAnsi="宋体" w:cs="宋体"/>
                <w:color w:val="000000"/>
                <w:kern w:val="0"/>
                <w:sz w:val="24"/>
                <w:szCs w:val="24"/>
              </w:rPr>
            </w:pPr>
            <w:r>
              <w:rPr>
                <w:rFonts w:ascii="宋体" w:hAnsi="宋体" w:cs="宋体" w:hint="eastAsia"/>
                <w:color w:val="000000"/>
                <w:kern w:val="0"/>
                <w:sz w:val="20"/>
                <w:szCs w:val="20"/>
              </w:rPr>
              <w:t> </w:t>
            </w:r>
          </w:p>
        </w:tc>
        <w:tc>
          <w:tcPr>
            <w:tcW w:w="979" w:type="dxa"/>
            <w:tcBorders>
              <w:top w:val="single" w:sz="4" w:space="0" w:color="000000"/>
              <w:left w:val="single" w:sz="4" w:space="0" w:color="000000"/>
              <w:bottom w:val="single" w:sz="4" w:space="0" w:color="000000"/>
              <w:right w:val="single" w:sz="4" w:space="0" w:color="000000"/>
            </w:tcBorders>
            <w:noWrap w:val="0"/>
            <w:tcMar>
              <w:top w:w="15" w:type="dxa"/>
              <w:left w:w="15" w:type="dxa"/>
              <w:bottom w:w="15" w:type="dxa"/>
              <w:right w:w="15" w:type="dxa"/>
            </w:tcMar>
            <w:vAlign w:val="center"/>
          </w:tcPr>
          <w:p>
            <w:pPr>
              <w:widowControl/>
              <w:jc w:val="right"/>
              <w:rPr>
                <w:rFonts w:ascii="宋体" w:hAnsi="宋体" w:cs="宋体"/>
                <w:color w:val="000000"/>
                <w:kern w:val="0"/>
                <w:sz w:val="24"/>
                <w:szCs w:val="24"/>
              </w:rPr>
            </w:pPr>
            <w:r>
              <w:rPr>
                <w:rFonts w:ascii="宋体" w:hAnsi="宋体" w:cs="宋体" w:hint="eastAsia"/>
                <w:color w:val="000000"/>
                <w:kern w:val="0"/>
                <w:sz w:val="20"/>
                <w:szCs w:val="20"/>
                <w:lang w:val="en-US" w:eastAsia="zh-CN"/>
              </w:rPr>
              <w:t>9016.29</w:t>
            </w:r>
            <w:r>
              <w:rPr>
                <w:rFonts w:ascii="宋体" w:hAnsi="宋体" w:cs="宋体" w:hint="eastAsia"/>
                <w:color w:val="000000"/>
                <w:kern w:val="0"/>
                <w:sz w:val="20"/>
                <w:szCs w:val="20"/>
              </w:rPr>
              <w:t> </w:t>
            </w:r>
          </w:p>
        </w:tc>
        <w:tc>
          <w:tcPr>
            <w:tcW w:w="978" w:type="dxa"/>
            <w:gridSpan w:val="2"/>
            <w:tcBorders>
              <w:top w:val="single" w:sz="4" w:space="0" w:color="000000"/>
              <w:left w:val="single" w:sz="4" w:space="0" w:color="000000"/>
              <w:bottom w:val="single" w:sz="4" w:space="0" w:color="000000"/>
              <w:right w:val="single" w:sz="4" w:space="0" w:color="000000"/>
            </w:tcBorders>
            <w:noWrap w:val="0"/>
            <w:tcMar>
              <w:top w:w="15" w:type="dxa"/>
              <w:left w:w="15" w:type="dxa"/>
              <w:bottom w:w="15" w:type="dxa"/>
              <w:right w:w="15" w:type="dxa"/>
            </w:tcMar>
            <w:vAlign w:val="center"/>
          </w:tcPr>
          <w:p>
            <w:pPr>
              <w:widowControl/>
              <w:jc w:val="right"/>
              <w:rPr>
                <w:rFonts w:ascii="宋体" w:hAnsi="宋体" w:cs="宋体"/>
                <w:color w:val="000000"/>
                <w:kern w:val="0"/>
                <w:sz w:val="24"/>
                <w:szCs w:val="24"/>
              </w:rPr>
            </w:pPr>
            <w:r>
              <w:rPr>
                <w:rFonts w:ascii="宋体" w:hAnsi="宋体" w:cs="宋体" w:hint="eastAsia"/>
                <w:color w:val="000000"/>
                <w:kern w:val="0"/>
                <w:sz w:val="20"/>
                <w:szCs w:val="20"/>
              </w:rPr>
              <w:t> </w:t>
            </w:r>
          </w:p>
        </w:tc>
        <w:tc>
          <w:tcPr>
            <w:tcW w:w="978" w:type="dxa"/>
            <w:gridSpan w:val="3"/>
            <w:tcBorders>
              <w:top w:val="single" w:sz="4" w:space="0" w:color="000000"/>
              <w:left w:val="single" w:sz="4" w:space="0" w:color="000000"/>
              <w:bottom w:val="single" w:sz="4" w:space="0" w:color="000000"/>
              <w:right w:val="single" w:sz="4" w:space="0" w:color="000000"/>
            </w:tcBorders>
            <w:noWrap w:val="0"/>
            <w:tcMar>
              <w:top w:w="15" w:type="dxa"/>
              <w:left w:w="15" w:type="dxa"/>
              <w:bottom w:w="15" w:type="dxa"/>
              <w:right w:w="15" w:type="dxa"/>
            </w:tcMar>
            <w:vAlign w:val="center"/>
          </w:tcPr>
          <w:p>
            <w:pPr>
              <w:widowControl/>
              <w:jc w:val="right"/>
              <w:rPr>
                <w:rFonts w:ascii="宋体" w:hAnsi="宋体" w:cs="宋体"/>
                <w:color w:val="000000"/>
                <w:kern w:val="0"/>
                <w:sz w:val="24"/>
                <w:szCs w:val="24"/>
              </w:rPr>
            </w:pPr>
            <w:r>
              <w:rPr>
                <w:rFonts w:ascii="宋体" w:hAnsi="宋体" w:cs="宋体" w:hint="eastAsia"/>
                <w:color w:val="000000"/>
                <w:kern w:val="0"/>
                <w:sz w:val="20"/>
                <w:szCs w:val="20"/>
              </w:rPr>
              <w:t> </w:t>
            </w:r>
          </w:p>
        </w:tc>
        <w:tc>
          <w:tcPr>
            <w:tcW w:w="142" w:type="dxa"/>
            <w:tcBorders>
              <w:top w:val="nil"/>
              <w:left w:val="nil"/>
              <w:bottom w:val="nil"/>
              <w:right w:val="nil"/>
            </w:tcBorders>
            <w:noWrap w:val="0"/>
            <w:vAlign w:val="center"/>
          </w:tcPr>
          <w:p>
            <w:pPr>
              <w:widowControl/>
              <w:jc w:val="left"/>
              <w:rPr>
                <w:rFonts w:ascii="宋体" w:hAnsi="宋体" w:cs="宋体"/>
                <w:color w:val="000000"/>
                <w:kern w:val="0"/>
                <w:sz w:val="17"/>
                <w:szCs w:val="17"/>
              </w:rPr>
            </w:pPr>
          </w:p>
        </w:tc>
      </w:tr>
      <w:tr>
        <w:tblPrEx>
          <w:tblW w:w="10770" w:type="dxa"/>
          <w:tblInd w:w="0" w:type="dxa"/>
          <w:tblLayout w:type="fixed"/>
          <w:tblCellMar>
            <w:top w:w="0" w:type="dxa"/>
            <w:left w:w="0" w:type="dxa"/>
            <w:bottom w:w="0" w:type="dxa"/>
            <w:right w:w="0" w:type="dxa"/>
          </w:tblCellMar>
        </w:tblPrEx>
        <w:trPr>
          <w:gridAfter w:val="2"/>
          <w:wAfter w:w="618" w:type="dxa"/>
          <w:trHeight w:val="259"/>
        </w:trPr>
        <w:tc>
          <w:tcPr>
            <w:tcW w:w="8672" w:type="dxa"/>
            <w:gridSpan w:val="14"/>
            <w:tcBorders>
              <w:top w:val="nil"/>
              <w:left w:val="nil"/>
              <w:bottom w:val="nil"/>
              <w:right w:val="nil"/>
            </w:tcBorders>
            <w:noWrap w:val="0"/>
            <w:tcMar>
              <w:top w:w="15" w:type="dxa"/>
              <w:left w:w="15" w:type="dxa"/>
              <w:bottom w:w="15" w:type="dxa"/>
              <w:right w:w="15" w:type="dxa"/>
            </w:tcMar>
            <w:vAlign w:val="bottom"/>
          </w:tcPr>
          <w:p>
            <w:pPr>
              <w:widowControl/>
              <w:rPr>
                <w:rFonts w:ascii="宋体" w:hAnsi="宋体" w:cs="宋体"/>
                <w:color w:val="000000"/>
                <w:kern w:val="0"/>
                <w:sz w:val="24"/>
                <w:szCs w:val="24"/>
              </w:rPr>
            </w:pPr>
          </w:p>
        </w:tc>
        <w:tc>
          <w:tcPr>
            <w:tcW w:w="360" w:type="dxa"/>
            <w:tcBorders>
              <w:top w:val="nil"/>
              <w:left w:val="nil"/>
              <w:bottom w:val="nil"/>
              <w:right w:val="nil"/>
            </w:tcBorders>
            <w:noWrap w:val="0"/>
            <w:tcMar>
              <w:top w:w="15" w:type="dxa"/>
              <w:left w:w="15" w:type="dxa"/>
              <w:bottom w:w="15" w:type="dxa"/>
              <w:right w:w="15" w:type="dxa"/>
            </w:tcMar>
            <w:vAlign w:val="bottom"/>
          </w:tcPr>
          <w:p>
            <w:pPr>
              <w:widowControl/>
              <w:rPr>
                <w:rFonts w:ascii="宋体" w:hAnsi="宋体" w:cs="宋体"/>
                <w:color w:val="000000"/>
                <w:kern w:val="0"/>
                <w:sz w:val="20"/>
                <w:lang w:bidi="ar"/>
              </w:rPr>
            </w:pPr>
          </w:p>
        </w:tc>
        <w:tc>
          <w:tcPr>
            <w:tcW w:w="978" w:type="dxa"/>
            <w:gridSpan w:val="2"/>
            <w:tcBorders>
              <w:top w:val="nil"/>
              <w:left w:val="nil"/>
              <w:bottom w:val="nil"/>
              <w:right w:val="nil"/>
            </w:tcBorders>
            <w:noWrap w:val="0"/>
            <w:tcMar>
              <w:top w:w="15" w:type="dxa"/>
              <w:left w:w="15" w:type="dxa"/>
              <w:bottom w:w="15" w:type="dxa"/>
              <w:right w:w="15" w:type="dxa"/>
            </w:tcMar>
            <w:vAlign w:val="bottom"/>
          </w:tcPr>
          <w:p>
            <w:pPr>
              <w:widowControl/>
              <w:jc w:val="left"/>
              <w:rPr>
                <w:rFonts w:ascii="宋体" w:hAnsi="宋体" w:cs="宋体"/>
                <w:color w:val="000000"/>
                <w:kern w:val="0"/>
                <w:sz w:val="24"/>
                <w:szCs w:val="24"/>
              </w:rPr>
            </w:pPr>
          </w:p>
        </w:tc>
        <w:tc>
          <w:tcPr>
            <w:tcW w:w="142" w:type="dxa"/>
            <w:tcBorders>
              <w:top w:val="nil"/>
              <w:left w:val="nil"/>
              <w:bottom w:val="nil"/>
              <w:right w:val="nil"/>
            </w:tcBorders>
            <w:noWrap w:val="0"/>
            <w:vAlign w:val="center"/>
          </w:tcPr>
          <w:p>
            <w:pPr>
              <w:widowControl/>
              <w:jc w:val="left"/>
              <w:rPr>
                <w:rFonts w:ascii="宋体" w:hAnsi="宋体" w:cs="宋体"/>
                <w:color w:val="000000"/>
                <w:kern w:val="0"/>
                <w:sz w:val="17"/>
                <w:szCs w:val="17"/>
              </w:rPr>
            </w:pPr>
          </w:p>
        </w:tc>
      </w:tr>
      <w:tr>
        <w:tblPrEx>
          <w:tblW w:w="10770" w:type="dxa"/>
          <w:tblInd w:w="0" w:type="dxa"/>
          <w:tblLayout w:type="fixed"/>
          <w:tblCellMar>
            <w:top w:w="0" w:type="dxa"/>
            <w:left w:w="0" w:type="dxa"/>
            <w:bottom w:w="0" w:type="dxa"/>
            <w:right w:w="0" w:type="dxa"/>
          </w:tblCellMar>
        </w:tblPrEx>
        <w:trPr>
          <w:trHeight w:val="495"/>
        </w:trPr>
        <w:tc>
          <w:tcPr>
            <w:tcW w:w="9650" w:type="dxa"/>
            <w:gridSpan w:val="16"/>
            <w:tcBorders>
              <w:top w:val="nil"/>
              <w:left w:val="nil"/>
              <w:bottom w:val="nil"/>
              <w:right w:val="nil"/>
            </w:tcBorders>
            <w:noWrap w:val="0"/>
            <w:tcMar>
              <w:top w:w="15" w:type="dxa"/>
              <w:left w:w="15" w:type="dxa"/>
              <w:bottom w:w="15" w:type="dxa"/>
              <w:right w:w="15" w:type="dxa"/>
            </w:tcMar>
            <w:vAlign w:val="bottom"/>
          </w:tcPr>
          <w:p>
            <w:pPr>
              <w:widowControl/>
              <w:rPr>
                <w:rFonts w:ascii="宋体" w:hAnsi="宋体" w:cs="宋体" w:hint="eastAsia"/>
                <w:color w:val="000000"/>
                <w:kern w:val="0"/>
                <w:sz w:val="20"/>
                <w:szCs w:val="20"/>
              </w:rPr>
            </w:pPr>
            <w:r>
              <w:rPr>
                <w:rFonts w:ascii="宋体" w:hAnsi="宋体" w:cs="宋体" w:hint="eastAsia"/>
                <w:color w:val="000000"/>
                <w:kern w:val="0"/>
                <w:sz w:val="20"/>
                <w:szCs w:val="20"/>
              </w:rPr>
              <w:t>填报说明：1.资产总额＝流动资产＋固定资产＋对外投资／有价证券＋在建工程＋无形资产＋其他资产</w:t>
            </w:r>
          </w:p>
          <w:p>
            <w:pPr>
              <w:widowControl/>
              <w:rPr>
                <w:rFonts w:ascii="宋体" w:hAnsi="宋体" w:cs="宋体"/>
                <w:color w:val="000000"/>
                <w:kern w:val="0"/>
                <w:sz w:val="20"/>
                <w:szCs w:val="20"/>
              </w:rPr>
            </w:pPr>
            <w:r>
              <w:rPr>
                <w:rFonts w:ascii="宋体" w:hAnsi="宋体" w:cs="宋体" w:hint="eastAsia"/>
                <w:color w:val="000000"/>
                <w:kern w:val="0"/>
                <w:sz w:val="20"/>
                <w:szCs w:val="20"/>
              </w:rPr>
              <w:t>2.固定资产＝房屋构筑物＋车辆＋单价200万元以上大型设备＋其他固定资产</w:t>
            </w:r>
          </w:p>
        </w:tc>
        <w:tc>
          <w:tcPr>
            <w:tcW w:w="978" w:type="dxa"/>
            <w:gridSpan w:val="3"/>
            <w:tcBorders>
              <w:top w:val="nil"/>
              <w:left w:val="nil"/>
              <w:bottom w:val="nil"/>
              <w:right w:val="nil"/>
            </w:tcBorders>
            <w:noWrap w:val="0"/>
            <w:tcMar>
              <w:top w:w="15" w:type="dxa"/>
              <w:left w:w="15" w:type="dxa"/>
              <w:bottom w:w="15" w:type="dxa"/>
              <w:right w:w="15" w:type="dxa"/>
            </w:tcMar>
            <w:vAlign w:val="bottom"/>
          </w:tcPr>
          <w:p>
            <w:pPr>
              <w:widowControl/>
              <w:jc w:val="left"/>
              <w:rPr>
                <w:rFonts w:ascii="宋体" w:hAnsi="宋体" w:cs="宋体"/>
                <w:color w:val="000000"/>
                <w:kern w:val="0"/>
                <w:sz w:val="24"/>
                <w:szCs w:val="24"/>
              </w:rPr>
            </w:pPr>
            <w:r>
              <w:rPr>
                <w:rFonts w:ascii="Arial" w:hAnsi="Arial" w:cs="Arial"/>
                <w:color w:val="000000"/>
                <w:kern w:val="0"/>
                <w:sz w:val="20"/>
                <w:szCs w:val="20"/>
              </w:rPr>
              <w:t> </w:t>
            </w:r>
          </w:p>
        </w:tc>
        <w:tc>
          <w:tcPr>
            <w:tcW w:w="142" w:type="dxa"/>
            <w:noWrap w:val="0"/>
            <w:vAlign w:val="center"/>
          </w:tcPr>
          <w:p>
            <w:pPr>
              <w:widowControl/>
              <w:jc w:val="left"/>
              <w:rPr>
                <w:rFonts w:ascii="Times New Roman" w:eastAsia="Times New Roman" w:hAnsi="Times New Roman"/>
                <w:kern w:val="0"/>
                <w:sz w:val="20"/>
                <w:szCs w:val="20"/>
              </w:rPr>
            </w:pPr>
          </w:p>
        </w:tc>
      </w:tr>
    </w:tbl>
    <w:p>
      <w:pPr>
        <w:ind w:firstLine="600" w:firstLineChars="200"/>
        <w:jc w:val="left"/>
        <w:rPr>
          <w:rFonts w:ascii="黑体" w:eastAsia="黑体" w:hAnsi="黑体" w:cs="黑体" w:hint="eastAsia"/>
          <w:sz w:val="30"/>
          <w:szCs w:val="30"/>
        </w:rPr>
      </w:pPr>
      <w:r>
        <w:rPr>
          <w:rFonts w:ascii="黑体" w:eastAsia="黑体" w:hAnsi="黑体" w:cs="黑体" w:hint="eastAsia"/>
          <w:sz w:val="30"/>
          <w:szCs w:val="30"/>
          <w:lang w:eastAsia="zh-CN"/>
        </w:rPr>
        <w:t>三、</w:t>
      </w:r>
      <w:r>
        <w:rPr>
          <w:rFonts w:ascii="黑体" w:eastAsia="黑体" w:hAnsi="黑体" w:cs="黑体" w:hint="eastAsia"/>
          <w:sz w:val="30"/>
          <w:szCs w:val="30"/>
        </w:rPr>
        <w:t>政府采购支出情况</w:t>
      </w:r>
    </w:p>
    <w:p>
      <w:pPr>
        <w:ind w:firstLine="600" w:firstLineChars="200"/>
        <w:rPr>
          <w:rFonts w:ascii="仿宋_GB2312" w:eastAsia="仿宋_GB2312" w:hAnsi="仿宋_GB2312" w:cs="仿宋_GB2312" w:hint="eastAsia"/>
          <w:sz w:val="30"/>
          <w:szCs w:val="30"/>
          <w:lang w:val="en-US" w:eastAsia="zh-CN"/>
        </w:rPr>
      </w:pPr>
      <w:r>
        <w:rPr>
          <w:rFonts w:ascii="仿宋_GB2312" w:eastAsia="仿宋_GB2312" w:hAnsi="仿宋_GB2312" w:cs="仿宋_GB2312" w:hint="eastAsia"/>
          <w:sz w:val="30"/>
          <w:szCs w:val="30"/>
          <w:lang w:val="en-US" w:eastAsia="zh-CN"/>
        </w:rPr>
        <w:t>2018年度，部门政府采购支出总额3891.49万元，其中：政府采购货物支出3757.6万元；政府采购工程支出0万元；政府采购服务支出133.89万元。授予中小企业合同金额3891.49万元，占政府采购支出总额的100%。</w:t>
      </w:r>
    </w:p>
    <w:p>
      <w:pPr>
        <w:ind w:firstLine="600" w:firstLineChars="200"/>
        <w:jc w:val="left"/>
        <w:rPr>
          <w:rFonts w:ascii="黑体" w:eastAsia="黑体" w:hAnsi="黑体" w:cs="黑体" w:hint="eastAsia"/>
          <w:sz w:val="30"/>
          <w:szCs w:val="30"/>
          <w:lang w:val="en-US" w:eastAsia="zh-CN"/>
        </w:rPr>
      </w:pPr>
      <w:r>
        <w:rPr>
          <w:rFonts w:ascii="黑体" w:eastAsia="黑体" w:hAnsi="黑体" w:cs="黑体" w:hint="eastAsia"/>
          <w:sz w:val="30"/>
          <w:szCs w:val="30"/>
          <w:lang w:val="en-US" w:eastAsia="zh-CN"/>
        </w:rPr>
        <w:t>四、部门绩效自评情况</w:t>
      </w:r>
    </w:p>
    <w:p>
      <w:pPr>
        <w:widowControl/>
        <w:snapToGrid w:val="0"/>
        <w:spacing w:before="100" w:after="100" w:line="360" w:lineRule="auto"/>
        <w:ind w:firstLine="600"/>
        <w:jc w:val="left"/>
        <w:rPr>
          <w:rFonts w:ascii="仿宋_GB2312" w:eastAsia="仿宋_GB2312" w:hAnsi="仿宋_GB2312" w:cs="仿宋_GB2312" w:hint="eastAsia"/>
          <w:sz w:val="30"/>
          <w:szCs w:val="30"/>
          <w:highlight w:val="none"/>
          <w:lang w:val="en-US" w:eastAsia="zh-CN"/>
        </w:rPr>
      </w:pPr>
      <w:r>
        <w:rPr>
          <w:rFonts w:ascii="仿宋_GB2312" w:eastAsia="仿宋_GB2312" w:hAnsi="仿宋_GB2312" w:cs="仿宋_GB2312" w:hint="eastAsia"/>
          <w:sz w:val="30"/>
          <w:szCs w:val="30"/>
          <w:lang w:val="en-US" w:eastAsia="zh-CN"/>
        </w:rPr>
        <w:t>部门绩效自评情况详见附表</w:t>
      </w:r>
      <w:r>
        <w:rPr>
          <w:rFonts w:ascii="仿宋_GB2312" w:eastAsia="仿宋_GB2312" w:hAnsi="仿宋_GB2312" w:cs="仿宋_GB2312" w:hint="eastAsia"/>
          <w:sz w:val="30"/>
          <w:szCs w:val="30"/>
          <w:highlight w:val="none"/>
          <w:lang w:val="en-US" w:eastAsia="zh-CN"/>
        </w:rPr>
        <w:t>（附表10—附表14）。</w:t>
      </w:r>
    </w:p>
    <w:p>
      <w:pPr>
        <w:widowControl/>
        <w:snapToGrid w:val="0"/>
        <w:spacing w:before="100" w:after="100" w:line="360" w:lineRule="auto"/>
        <w:ind w:firstLine="600" w:firstLineChars="200"/>
        <w:jc w:val="left"/>
        <w:rPr>
          <w:rFonts w:ascii="黑体" w:eastAsia="黑体" w:hAnsi="黑体" w:cs="黑体" w:hint="eastAsia"/>
          <w:sz w:val="30"/>
          <w:szCs w:val="30"/>
          <w:lang w:val="en-US" w:eastAsia="zh-CN"/>
        </w:rPr>
      </w:pPr>
      <w:r>
        <w:rPr>
          <w:rFonts w:ascii="黑体" w:eastAsia="黑体" w:hAnsi="黑体" w:cs="黑体" w:hint="eastAsia"/>
          <w:sz w:val="30"/>
          <w:szCs w:val="30"/>
          <w:lang w:val="en-US" w:eastAsia="zh-CN"/>
        </w:rPr>
        <w:t>五、其他重要事项情况说明</w:t>
      </w:r>
    </w:p>
    <w:p>
      <w:pPr>
        <w:widowControl/>
        <w:snapToGrid w:val="0"/>
        <w:spacing w:before="100" w:after="100" w:line="360" w:lineRule="auto"/>
        <w:ind w:firstLine="600" w:firstLineChars="200"/>
        <w:jc w:val="left"/>
        <w:rPr>
          <w:rFonts w:ascii="仿宋_GB2312" w:eastAsia="仿宋_GB2312" w:hAnsi="黑体" w:cs="方正小标宋简体" w:hint="eastAsia"/>
          <w:sz w:val="30"/>
          <w:szCs w:val="30"/>
          <w:lang w:val="en-US" w:eastAsia="zh-CN"/>
        </w:rPr>
      </w:pPr>
      <w:r>
        <w:rPr>
          <w:rFonts w:ascii="仿宋_GB2312" w:eastAsia="仿宋_GB2312" w:hAnsi="黑体" w:cs="方正小标宋简体" w:hint="eastAsia"/>
          <w:sz w:val="30"/>
          <w:szCs w:val="30"/>
          <w:lang w:val="en-US" w:eastAsia="zh-CN"/>
        </w:rPr>
        <w:t>无</w:t>
      </w:r>
    </w:p>
    <w:p>
      <w:pPr>
        <w:widowControl/>
        <w:snapToGrid w:val="0"/>
        <w:spacing w:before="100" w:after="100" w:line="360" w:lineRule="auto"/>
        <w:ind w:firstLine="600" w:firstLineChars="200"/>
        <w:jc w:val="left"/>
        <w:rPr>
          <w:rFonts w:ascii="黑体" w:eastAsia="黑体" w:hAnsi="黑体" w:cs="黑体" w:hint="eastAsia"/>
          <w:sz w:val="30"/>
          <w:szCs w:val="30"/>
          <w:lang w:val="en-US" w:eastAsia="zh-CN"/>
        </w:rPr>
      </w:pPr>
      <w:r>
        <w:rPr>
          <w:rFonts w:ascii="黑体" w:eastAsia="黑体" w:hAnsi="黑体" w:cs="黑体" w:hint="eastAsia"/>
          <w:sz w:val="30"/>
          <w:szCs w:val="30"/>
          <w:lang w:val="en-US" w:eastAsia="zh-CN"/>
        </w:rPr>
        <w:t>六、相关口径说明</w:t>
      </w:r>
    </w:p>
    <w:p>
      <w:pPr>
        <w:ind w:firstLine="600" w:firstLineChars="200"/>
        <w:jc w:val="left"/>
        <w:rPr>
          <w:rFonts w:ascii="仿宋_GB2312" w:eastAsia="仿宋_GB2312" w:hAnsi="黑体" w:cs="方正小标宋简体" w:hint="eastAsia"/>
          <w:sz w:val="30"/>
          <w:szCs w:val="30"/>
        </w:rPr>
      </w:pPr>
      <w:r>
        <w:rPr>
          <w:rFonts w:ascii="仿宋_GB2312" w:eastAsia="仿宋_GB2312" w:hAnsi="黑体" w:cs="方正小标宋简体" w:hint="eastAsia"/>
          <w:sz w:val="30"/>
          <w:szCs w:val="30"/>
          <w:lang w:eastAsia="zh-CN"/>
        </w:rPr>
        <w:t>（一）</w:t>
      </w:r>
      <w:r>
        <w:rPr>
          <w:rFonts w:ascii="仿宋_GB2312" w:eastAsia="仿宋_GB2312" w:hAnsi="黑体" w:cs="方正小标宋简体" w:hint="eastAsia"/>
          <w:sz w:val="30"/>
          <w:szCs w:val="30"/>
        </w:rPr>
        <w:t>基本支出中人员经费包括工资福利支出和对个人和家庭的补助，日常公用支出包括商品和服务支出、资本性支出等人员经费以外的支出。</w:t>
      </w:r>
    </w:p>
    <w:p>
      <w:pPr>
        <w:ind w:firstLine="600" w:firstLineChars="200"/>
        <w:jc w:val="left"/>
        <w:rPr>
          <w:rFonts w:ascii="仿宋_GB2312" w:eastAsia="仿宋_GB2312" w:hAnsi="黑体" w:cs="方正小标宋简体" w:hint="eastAsia"/>
          <w:sz w:val="30"/>
          <w:szCs w:val="30"/>
        </w:rPr>
      </w:pPr>
      <w:r>
        <w:rPr>
          <w:rFonts w:ascii="仿宋_GB2312" w:eastAsia="仿宋_GB2312" w:hAnsi="黑体" w:cs="方正小标宋简体" w:hint="eastAsia"/>
          <w:sz w:val="30"/>
          <w:szCs w:val="30"/>
          <w:lang w:eastAsia="zh-CN"/>
        </w:rPr>
        <w:t>（二）</w:t>
      </w:r>
      <w:r>
        <w:rPr>
          <w:rFonts w:ascii="仿宋_GB2312" w:eastAsia="仿宋_GB2312" w:hAnsi="黑体" w:cs="方正小标宋简体" w:hint="eastAsia"/>
          <w:sz w:val="30"/>
          <w:szCs w:val="30"/>
        </w:rPr>
        <w:t>机关运行经费指行政单位和参照公务员法管理的事业单位使用一般公共预算财政拨款安排的基本支出中的日常公用经费支出</w:t>
      </w:r>
      <w:r>
        <w:rPr>
          <w:rFonts w:ascii="仿宋_GB2312" w:eastAsia="仿宋_GB2312" w:hAnsi="黑体" w:cs="方正小标宋简体" w:hint="eastAsia"/>
          <w:sz w:val="30"/>
          <w:szCs w:val="30"/>
          <w:lang w:eastAsia="zh-CN"/>
        </w:rPr>
        <w:t>。</w:t>
      </w:r>
    </w:p>
    <w:p>
      <w:pPr>
        <w:ind w:firstLine="600" w:firstLineChars="200"/>
        <w:jc w:val="left"/>
        <w:rPr>
          <w:rFonts w:ascii="仿宋_GB2312" w:eastAsia="仿宋_GB2312" w:hAnsi="黑体" w:cs="方正小标宋简体" w:hint="eastAsia"/>
          <w:sz w:val="30"/>
          <w:szCs w:val="30"/>
          <w:highlight w:val="none"/>
        </w:rPr>
      </w:pPr>
      <w:r>
        <w:rPr>
          <w:rFonts w:ascii="仿宋_GB2312" w:eastAsia="仿宋_GB2312" w:hAnsi="黑体" w:cs="方正小标宋简体" w:hint="eastAsia"/>
          <w:sz w:val="30"/>
          <w:szCs w:val="30"/>
          <w:lang w:eastAsia="zh-CN"/>
        </w:rPr>
        <w:t>（三）</w:t>
      </w:r>
      <w:r>
        <w:rPr>
          <w:rFonts w:ascii="仿宋_GB2312" w:eastAsia="仿宋_GB2312" w:hAnsi="黑体" w:cs="方正小标宋简体" w:hint="eastAsia"/>
          <w:sz w:val="30"/>
          <w:szCs w:val="30"/>
        </w:rPr>
        <w:t>按照党中央、国务院有关文件及部门预算管理有关规定，“三公”经费包括因公出国（境）费、公务用车购置及运行维护费、公务接待费。</w:t>
      </w:r>
      <w:r>
        <w:rPr>
          <w:rFonts w:ascii="仿宋_GB2312" w:eastAsia="仿宋_GB2312" w:hAnsi="黑体" w:cs="方正小标宋简体" w:hint="eastAsia"/>
          <w:sz w:val="30"/>
          <w:szCs w:val="30"/>
          <w:highlight w:val="none"/>
        </w:rPr>
        <w:t>其中：因公出国（境）费，指单位工作人员公务出国（境）的国际旅费、国外城市间交通费、住宿费、伙食费、培训费、公杂费等支出；公务用车购置费，指单位公务用车车辆购置支出（含车辆购置税</w:t>
      </w:r>
      <w:r>
        <w:rPr>
          <w:rFonts w:ascii="仿宋_GB2312" w:eastAsia="仿宋_GB2312" w:hAnsi="黑体" w:cs="方正小标宋简体" w:hint="eastAsia"/>
          <w:sz w:val="30"/>
          <w:szCs w:val="30"/>
          <w:highlight w:val="none"/>
          <w:lang w:eastAsia="zh-CN"/>
        </w:rPr>
        <w:t>、牌照费等</w:t>
      </w:r>
      <w:r>
        <w:rPr>
          <w:rFonts w:ascii="仿宋_GB2312" w:eastAsia="仿宋_GB2312" w:hAnsi="黑体" w:cs="方正小标宋简体" w:hint="eastAsia"/>
          <w:sz w:val="30"/>
          <w:szCs w:val="30"/>
          <w:highlight w:val="none"/>
        </w:rPr>
        <w:t>）；公务用车运行维护费，指单位按规定保留的公务用车燃料费、维修费、过桥过路费、保险费、安全奖励费用等支出；公务用车指用于履行公务的机动车辆，包括省部级干部专车、一般公务用车和执法执勤用车；公务接待费，指单位按规定开支的各类公务接待（含外宾接待）费用。</w:t>
      </w:r>
    </w:p>
    <w:p>
      <w:pPr>
        <w:ind w:firstLine="600" w:firstLineChars="200"/>
        <w:jc w:val="left"/>
        <w:rPr>
          <w:rFonts w:ascii="仿宋_GB2312" w:eastAsia="仿宋_GB2312" w:hAnsi="黑体" w:cs="方正小标宋简体" w:hint="eastAsia"/>
          <w:sz w:val="30"/>
          <w:szCs w:val="30"/>
        </w:rPr>
      </w:pPr>
      <w:r>
        <w:rPr>
          <w:rFonts w:ascii="仿宋_GB2312" w:eastAsia="仿宋_GB2312" w:hAnsi="黑体" w:cs="方正小标宋简体" w:hint="eastAsia"/>
          <w:sz w:val="30"/>
          <w:szCs w:val="30"/>
          <w:lang w:eastAsia="zh-CN"/>
        </w:rPr>
        <w:t>（四）</w:t>
      </w:r>
      <w:r>
        <w:rPr>
          <w:rFonts w:ascii="仿宋_GB2312" w:eastAsia="仿宋_GB2312" w:hAnsi="黑体" w:cs="方正小标宋简体" w:hint="eastAsia"/>
          <w:sz w:val="30"/>
          <w:szCs w:val="30"/>
        </w:rPr>
        <w:t>“三公”经费决算数：指各部门（含下属单位）当年通过本级财政一般公共预算财政拨款和以前年度一般公共预算财政拨款结转结余资金安排的因公出国（境）费、公务用车购置及运行维护费和公务接待费支出数（包括基本支出和项目支出）。</w:t>
      </w:r>
    </w:p>
    <w:p>
      <w:pPr>
        <w:ind w:firstLine="640" w:firstLineChars="200"/>
        <w:jc w:val="center"/>
        <w:rPr>
          <w:rFonts w:ascii="黑体" w:eastAsia="黑体" w:hAnsi="黑体" w:cs="方正小标宋简体" w:hint="eastAsia"/>
          <w:sz w:val="32"/>
          <w:szCs w:val="32"/>
        </w:rPr>
      </w:pPr>
      <w:r>
        <w:rPr>
          <w:rFonts w:ascii="黑体" w:eastAsia="黑体" w:hAnsi="黑体" w:cs="方正小标宋简体" w:hint="eastAsia"/>
          <w:sz w:val="32"/>
          <w:szCs w:val="32"/>
        </w:rPr>
        <w:t>第</w:t>
      </w:r>
      <w:r>
        <w:rPr>
          <w:rFonts w:ascii="黑体" w:eastAsia="黑体" w:hAnsi="黑体" w:cs="方正小标宋简体" w:hint="eastAsia"/>
          <w:sz w:val="32"/>
          <w:szCs w:val="32"/>
          <w:lang w:eastAsia="zh-CN"/>
        </w:rPr>
        <w:t>五</w:t>
      </w:r>
      <w:r>
        <w:rPr>
          <w:rFonts w:ascii="黑体" w:eastAsia="黑体" w:hAnsi="黑体" w:cs="方正小标宋简体" w:hint="eastAsia"/>
          <w:sz w:val="32"/>
          <w:szCs w:val="32"/>
        </w:rPr>
        <w:t>部分  名词解释</w:t>
      </w:r>
    </w:p>
    <w:p>
      <w:pPr>
        <w:ind w:firstLine="600" w:firstLineChars="200"/>
        <w:jc w:val="left"/>
        <w:rPr>
          <w:rFonts w:ascii="仿宋_GB2312" w:eastAsia="仿宋_GB2312" w:hAnsi="黑体" w:cs="方正小标宋简体" w:hint="eastAsia"/>
          <w:sz w:val="30"/>
          <w:szCs w:val="30"/>
        </w:rPr>
      </w:pPr>
      <w:r>
        <w:rPr>
          <w:rFonts w:ascii="仿宋_GB2312" w:eastAsia="仿宋_GB2312" w:hAnsi="黑体" w:cs="方正小标宋简体" w:hint="eastAsia"/>
          <w:sz w:val="30"/>
          <w:szCs w:val="30"/>
        </w:rPr>
        <w:t>情况说明里涉及到需要解释说明的决算相关专用名词，在此进行说明解释。</w:t>
      </w:r>
      <w:r>
        <w:rPr>
          <w:rFonts w:ascii="仿宋_GB2312" w:eastAsia="仿宋_GB2312" w:hAnsi="黑体" w:cs="方正小标宋简体" w:hint="eastAsia"/>
          <w:sz w:val="30"/>
          <w:szCs w:val="30"/>
          <w:lang w:eastAsia="zh-CN"/>
        </w:rPr>
        <w:t>若没有涉及专用名词，请说明不涉及专用名词。</w:t>
      </w:r>
    </w:p>
    <w:p>
      <w:pPr>
        <w:rPr>
          <w:rFonts w:ascii="Arial" w:eastAsia="Arial" w:hAnsi="Arial" w:cs="Arial"/>
          <w:b/>
          <w:sz w:val="36"/>
        </w:rPr>
      </w:pPr>
      <w:r>
        <w:rPr>
          <w:rFonts w:ascii="Arial" w:eastAsia="Arial" w:hAnsi="Arial" w:cs="Arial"/>
          <w:b/>
          <w:sz w:val="36"/>
        </w:rPr>
        <w:t>监督索引号53342300236001111</w:t>
      </w:r>
    </w:p>
    <w:sectPr>
      <w:headerReference w:type="default" r:id="rId8"/>
      <w:footerReference w:type="even" r:id="rId9"/>
      <w:footerReference w:type="default" r:id="rId10"/>
      <w:pgSz w:w="11906" w:h="16838"/>
      <w:pgMar w:top="2098" w:right="1418" w:bottom="1588" w:left="1644" w:header="851" w:footer="992" w:gutter="0"/>
      <w:cols w:num="1" w:space="72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简体">
    <w:panose1 w:val="03000509000000000000"/>
    <w:charset w:val="86"/>
    <w:family w:val="auto"/>
    <w:pitch w:val="default"/>
    <w:sig w:usb0="00000001" w:usb1="080E0000" w:usb2="00000000" w:usb3="00000000" w:csb0="00040000" w:csb1="00000000"/>
  </w:font>
  <w:font w:name="Batang">
    <w:panose1 w:val="02030600000101010101"/>
    <w:charset w:val="81"/>
    <w:family w:val="auto"/>
    <w:pitch w:val="default"/>
    <w:sig w:usb0="B00002AF" w:usb1="69D77CFB" w:usb2="00000030" w:usb3="00000000" w:csb0="4008009F" w:csb1="DFD70000"/>
  </w:font>
  <w:font w:name="仿宋">
    <w:panose1 w:val="02010609060101010101"/>
    <w:charset w:val="86"/>
    <w:family w:val="auto"/>
    <w:pitch w:val="default"/>
    <w:sig w:usb0="800002BF" w:usb1="38CF7CFA" w:usb2="00000016" w:usb3="00000000" w:csb0="00040001" w:csb1="00000000"/>
  </w:font>
  <w:font w:name="方正小标宋简体">
    <w:panose1 w:val="03000509000000000000"/>
    <w:charset w:val="86"/>
    <w:family w:val="script"/>
    <w:pitch w:val="default"/>
    <w:sig w:usb0="00000001" w:usb1="080E0000" w:usb2="00000000" w:usb3="00000000" w:csb0="00040000" w:csb1="00000000"/>
  </w:font>
  <w:font w:name="方正小标宋_GBK">
    <w:panose1 w:val="03000509000000000000"/>
    <w:charset w:val="86"/>
    <w:family w:val="roman"/>
    <w:pitch w:val="default"/>
    <w:sig w:usb0="00000001" w:usb1="080E0000" w:usb2="0000000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framePr w:wrap="around" w:vAnchor="text" w:hAnchor="margin" w:xAlign="center" w:y="1"/>
      <w:rPr>
        <w:rStyle w:val="PageNumber"/>
      </w:rPr>
    </w:pPr>
    <w:r>
      <w:fldChar w:fldCharType="begin"/>
    </w:r>
    <w:r>
      <w:rPr>
        <w:rStyle w:val="PageNumber"/>
      </w:rPr>
      <w:instrText xml:space="preserve">PAGE  </w:instrText>
    </w:r>
    <w:r>
      <w:fldChar w:fldCharType="separate"/>
    </w:r>
    <w:r>
      <w:fldChar w:fldCharType="end"/>
    </w:r>
  </w:p>
  <w:p>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framePr w:wrap="around" w:vAnchor="text" w:hAnchor="margin" w:xAlign="center" w:y="1"/>
      <w:rPr>
        <w:rStyle w:val="PageNumber"/>
      </w:rPr>
    </w:pPr>
    <w:r>
      <w:fldChar w:fldCharType="begin"/>
    </w:r>
    <w:r>
      <w:rPr>
        <w:rStyle w:val="PageNumber"/>
      </w:rPr>
      <w:instrText xml:space="preserve">PAGE  </w:instrText>
    </w:r>
    <w:r>
      <w:fldChar w:fldCharType="separate"/>
    </w:r>
    <w:r>
      <w:rPr>
        <w:rStyle w:val="PageNumber"/>
      </w:rPr>
      <w:t>8</w:t>
    </w:r>
    <w:r>
      <w:fldChar w:fldCharType="end"/>
    </w:r>
  </w:p>
  <w:p>
    <w:pPr>
      <w:pStyle w:val="Foote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AFD7F9A3"/>
    <w:multiLevelType w:val="singleLevel"/>
    <w:tmpl w:val="AFD7F9A3"/>
    <w:lvl w:ilvl="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42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1258E"/>
    <w:rsid w:val="00014033"/>
    <w:rsid w:val="00015917"/>
    <w:rsid w:val="0003511E"/>
    <w:rsid w:val="000913E4"/>
    <w:rsid w:val="00096FD6"/>
    <w:rsid w:val="000A6010"/>
    <w:rsid w:val="000C3242"/>
    <w:rsid w:val="000E1FB4"/>
    <w:rsid w:val="000F1483"/>
    <w:rsid w:val="0010004D"/>
    <w:rsid w:val="001263DA"/>
    <w:rsid w:val="001374A6"/>
    <w:rsid w:val="001536A4"/>
    <w:rsid w:val="00154575"/>
    <w:rsid w:val="001749E4"/>
    <w:rsid w:val="00182815"/>
    <w:rsid w:val="001A0E45"/>
    <w:rsid w:val="001A3A9F"/>
    <w:rsid w:val="001C2096"/>
    <w:rsid w:val="001C6512"/>
    <w:rsid w:val="00224AF2"/>
    <w:rsid w:val="002360A6"/>
    <w:rsid w:val="002718E1"/>
    <w:rsid w:val="0029065D"/>
    <w:rsid w:val="002A35DC"/>
    <w:rsid w:val="002B295A"/>
    <w:rsid w:val="002D0360"/>
    <w:rsid w:val="002E1618"/>
    <w:rsid w:val="00310284"/>
    <w:rsid w:val="003663D2"/>
    <w:rsid w:val="00371195"/>
    <w:rsid w:val="00392FEE"/>
    <w:rsid w:val="00393375"/>
    <w:rsid w:val="003938CD"/>
    <w:rsid w:val="003A263E"/>
    <w:rsid w:val="003C233F"/>
    <w:rsid w:val="003E167F"/>
    <w:rsid w:val="003F462A"/>
    <w:rsid w:val="0040467A"/>
    <w:rsid w:val="00430657"/>
    <w:rsid w:val="004375EE"/>
    <w:rsid w:val="0045007E"/>
    <w:rsid w:val="004636A8"/>
    <w:rsid w:val="0048090A"/>
    <w:rsid w:val="0049341E"/>
    <w:rsid w:val="004D1694"/>
    <w:rsid w:val="004D5A12"/>
    <w:rsid w:val="004E71D9"/>
    <w:rsid w:val="0050289F"/>
    <w:rsid w:val="005144D0"/>
    <w:rsid w:val="0052295E"/>
    <w:rsid w:val="00550133"/>
    <w:rsid w:val="0055230D"/>
    <w:rsid w:val="005545C8"/>
    <w:rsid w:val="00557069"/>
    <w:rsid w:val="00575AC5"/>
    <w:rsid w:val="0057690C"/>
    <w:rsid w:val="00577096"/>
    <w:rsid w:val="005A1A61"/>
    <w:rsid w:val="005B558B"/>
    <w:rsid w:val="005C5BF9"/>
    <w:rsid w:val="005D3F26"/>
    <w:rsid w:val="005E4A61"/>
    <w:rsid w:val="0060151B"/>
    <w:rsid w:val="006021EC"/>
    <w:rsid w:val="00607AF7"/>
    <w:rsid w:val="006219B9"/>
    <w:rsid w:val="0062634D"/>
    <w:rsid w:val="00640B67"/>
    <w:rsid w:val="00651567"/>
    <w:rsid w:val="006546F4"/>
    <w:rsid w:val="0066092E"/>
    <w:rsid w:val="00680F7A"/>
    <w:rsid w:val="00697350"/>
    <w:rsid w:val="006A112F"/>
    <w:rsid w:val="006C4F21"/>
    <w:rsid w:val="006D02F7"/>
    <w:rsid w:val="006E45B7"/>
    <w:rsid w:val="006E7A1A"/>
    <w:rsid w:val="007249B2"/>
    <w:rsid w:val="00734A8A"/>
    <w:rsid w:val="007627A1"/>
    <w:rsid w:val="0076459B"/>
    <w:rsid w:val="00776986"/>
    <w:rsid w:val="00783A08"/>
    <w:rsid w:val="007A132A"/>
    <w:rsid w:val="007A375D"/>
    <w:rsid w:val="007A61A0"/>
    <w:rsid w:val="007B0761"/>
    <w:rsid w:val="007B4F9A"/>
    <w:rsid w:val="007B548C"/>
    <w:rsid w:val="007B65F4"/>
    <w:rsid w:val="007D1D2B"/>
    <w:rsid w:val="007D5A1D"/>
    <w:rsid w:val="007E38F7"/>
    <w:rsid w:val="007F0EE2"/>
    <w:rsid w:val="007F6762"/>
    <w:rsid w:val="008066B7"/>
    <w:rsid w:val="00816AEC"/>
    <w:rsid w:val="00823B32"/>
    <w:rsid w:val="0085209F"/>
    <w:rsid w:val="008563D1"/>
    <w:rsid w:val="00890779"/>
    <w:rsid w:val="008A4EFB"/>
    <w:rsid w:val="008C6076"/>
    <w:rsid w:val="008D757B"/>
    <w:rsid w:val="008E399D"/>
    <w:rsid w:val="008F39D5"/>
    <w:rsid w:val="00905397"/>
    <w:rsid w:val="00944AE2"/>
    <w:rsid w:val="00953916"/>
    <w:rsid w:val="00960215"/>
    <w:rsid w:val="0096611B"/>
    <w:rsid w:val="00966EA3"/>
    <w:rsid w:val="00981B86"/>
    <w:rsid w:val="0099058A"/>
    <w:rsid w:val="00995C9D"/>
    <w:rsid w:val="0099708C"/>
    <w:rsid w:val="009B39E4"/>
    <w:rsid w:val="009C2C9B"/>
    <w:rsid w:val="009C3DCD"/>
    <w:rsid w:val="009E20C7"/>
    <w:rsid w:val="009E3711"/>
    <w:rsid w:val="009E50DD"/>
    <w:rsid w:val="009E7A81"/>
    <w:rsid w:val="009F0254"/>
    <w:rsid w:val="009F18A4"/>
    <w:rsid w:val="00A07799"/>
    <w:rsid w:val="00A3510F"/>
    <w:rsid w:val="00A52885"/>
    <w:rsid w:val="00A60382"/>
    <w:rsid w:val="00A712DC"/>
    <w:rsid w:val="00A72DA9"/>
    <w:rsid w:val="00A77BF1"/>
    <w:rsid w:val="00A86C65"/>
    <w:rsid w:val="00A94999"/>
    <w:rsid w:val="00A96DEB"/>
    <w:rsid w:val="00AC573F"/>
    <w:rsid w:val="00B07829"/>
    <w:rsid w:val="00B115F4"/>
    <w:rsid w:val="00B4333E"/>
    <w:rsid w:val="00B5366F"/>
    <w:rsid w:val="00B80AAC"/>
    <w:rsid w:val="00B81D10"/>
    <w:rsid w:val="00B9604E"/>
    <w:rsid w:val="00BA3948"/>
    <w:rsid w:val="00BB3509"/>
    <w:rsid w:val="00BC73ED"/>
    <w:rsid w:val="00BE3E47"/>
    <w:rsid w:val="00BE7B81"/>
    <w:rsid w:val="00BF0A0B"/>
    <w:rsid w:val="00BF7CE7"/>
    <w:rsid w:val="00C0360F"/>
    <w:rsid w:val="00C236BC"/>
    <w:rsid w:val="00C3042C"/>
    <w:rsid w:val="00C35F72"/>
    <w:rsid w:val="00C37B42"/>
    <w:rsid w:val="00C430D2"/>
    <w:rsid w:val="00C4706B"/>
    <w:rsid w:val="00C53096"/>
    <w:rsid w:val="00C61925"/>
    <w:rsid w:val="00C94711"/>
    <w:rsid w:val="00CC1CE8"/>
    <w:rsid w:val="00CD4CE9"/>
    <w:rsid w:val="00D1253E"/>
    <w:rsid w:val="00D2484E"/>
    <w:rsid w:val="00DA0649"/>
    <w:rsid w:val="00DB4697"/>
    <w:rsid w:val="00DB67A4"/>
    <w:rsid w:val="00DC77E2"/>
    <w:rsid w:val="00DD261E"/>
    <w:rsid w:val="00DF1053"/>
    <w:rsid w:val="00DF1BEC"/>
    <w:rsid w:val="00E36604"/>
    <w:rsid w:val="00E662AA"/>
    <w:rsid w:val="00E769E8"/>
    <w:rsid w:val="00E80B36"/>
    <w:rsid w:val="00E9395C"/>
    <w:rsid w:val="00EA2124"/>
    <w:rsid w:val="00EC24BF"/>
    <w:rsid w:val="00ED7654"/>
    <w:rsid w:val="00EE750D"/>
    <w:rsid w:val="00F37401"/>
    <w:rsid w:val="00F44882"/>
    <w:rsid w:val="00F73DAF"/>
    <w:rsid w:val="00F74193"/>
    <w:rsid w:val="00F9286C"/>
    <w:rsid w:val="00F94DB0"/>
    <w:rsid w:val="00FA48DF"/>
    <w:rsid w:val="00FF6A71"/>
    <w:rsid w:val="07E75435"/>
    <w:rsid w:val="095F071E"/>
    <w:rsid w:val="0A6B0035"/>
    <w:rsid w:val="109A2368"/>
    <w:rsid w:val="1253626C"/>
    <w:rsid w:val="12AF3DA1"/>
    <w:rsid w:val="13584CE5"/>
    <w:rsid w:val="137D16E7"/>
    <w:rsid w:val="14BC7366"/>
    <w:rsid w:val="16FD619E"/>
    <w:rsid w:val="190B7D8B"/>
    <w:rsid w:val="1B9A76F1"/>
    <w:rsid w:val="1BC91ED4"/>
    <w:rsid w:val="1D357055"/>
    <w:rsid w:val="1F787F2E"/>
    <w:rsid w:val="22BA1854"/>
    <w:rsid w:val="23DA2B45"/>
    <w:rsid w:val="253B1B6C"/>
    <w:rsid w:val="2C2C7BFF"/>
    <w:rsid w:val="2CFA4688"/>
    <w:rsid w:val="2EBD6C76"/>
    <w:rsid w:val="36C43A72"/>
    <w:rsid w:val="36EB6878"/>
    <w:rsid w:val="37364169"/>
    <w:rsid w:val="37596D01"/>
    <w:rsid w:val="43433674"/>
    <w:rsid w:val="47A16424"/>
    <w:rsid w:val="494B48E2"/>
    <w:rsid w:val="4FCC7BC5"/>
    <w:rsid w:val="50F35A92"/>
    <w:rsid w:val="52BC6998"/>
    <w:rsid w:val="5929588A"/>
    <w:rsid w:val="5AAC7997"/>
    <w:rsid w:val="5C1E448C"/>
    <w:rsid w:val="65490755"/>
    <w:rsid w:val="66AD42CE"/>
    <w:rsid w:val="6C266BA1"/>
    <w:rsid w:val="71142472"/>
    <w:rsid w:val="725613DD"/>
    <w:rsid w:val="748A0699"/>
    <w:rsid w:val="74E23567"/>
    <w:rsid w:val="74E90896"/>
    <w:rsid w:val="77207610"/>
    <w:rsid w:val="78AF2483"/>
    <w:rsid w:val="79EB17A6"/>
    <w:rsid w:val="7D4E5E57"/>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qFormat="1"/>
    <w:lsdException w:name="footer" w:semiHidden="0" w:uiPriority="0" w:unhideWhenUsed="0" w:qFormat="1"/>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qFormat="1"/>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qFormat="1"/>
    <w:lsdException w:name="Body Text" w:semiHidden="0" w:uiPriority="0" w:unhideWhenUsed="0" w:qFormat="1"/>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qFormat="1"/>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semiHidden="0" w:qFormat="1"/>
    <w:lsdException w:name="annotation subject" w:semiHidden="0" w:uiPriority="0" w:unhideWhenUsed="0"/>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uiPriority="0" w:unhideWhenUsed="0" w:qFormat="1"/>
    <w:lsdException w:name="Table Grid"/>
    <w:lsdException w:name="Table Theme"/>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character" w:default="1" w:styleId="DefaultParagraphFont">
    <w:name w:val="Default Paragraph Font"/>
    <w:semiHidden/>
    <w:qFormat/>
  </w:style>
  <w:style w:type="table" w:default="1" w:styleId="TableNormal">
    <w:name w:val="Normal Table"/>
    <w:uiPriority w:val="99"/>
    <w:unhideWhenUsed/>
    <w:qFormat/>
    <w:tblPr>
      <w:tblCellMar>
        <w:top w:w="0" w:type="dxa"/>
        <w:left w:w="108" w:type="dxa"/>
        <w:bottom w:w="0" w:type="dxa"/>
        <w:right w:w="108" w:type="dxa"/>
      </w:tblCellMar>
    </w:tblPr>
  </w:style>
  <w:style w:type="paragraph" w:styleId="BodyText">
    <w:name w:val="Body Text"/>
    <w:basedOn w:val="Normal"/>
    <w:qFormat/>
    <w:pPr>
      <w:spacing w:before="93" w:beforeLines="30"/>
    </w:pPr>
    <w:rPr>
      <w:rFonts w:ascii="仿宋_GB2312" w:eastAsia="仿宋_GB2312"/>
      <w:sz w:val="30"/>
    </w:rPr>
  </w:style>
  <w:style w:type="paragraph" w:styleId="BalloonText">
    <w:name w:val="Balloon Text"/>
    <w:basedOn w:val="Normal"/>
    <w:semiHidden/>
    <w:qFormat/>
    <w:rPr>
      <w:sz w:val="18"/>
      <w:szCs w:val="18"/>
    </w:rPr>
  </w:style>
  <w:style w:type="paragraph" w:styleId="Footer">
    <w:name w:val="footer"/>
    <w:basedOn w:val="Normal"/>
    <w:qFormat/>
    <w:pPr>
      <w:tabs>
        <w:tab w:val="center" w:pos="4153"/>
        <w:tab w:val="right" w:pos="8306"/>
      </w:tabs>
      <w:snapToGrid w:val="0"/>
      <w:jc w:val="left"/>
    </w:pPr>
    <w:rPr>
      <w:sz w:val="18"/>
      <w:szCs w:val="18"/>
    </w:rPr>
  </w:style>
  <w:style w:type="paragraph" w:styleId="Header">
    <w:name w:val="header"/>
    <w:basedOn w:val="Normal"/>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qFormat/>
    <w:pPr>
      <w:widowControl/>
      <w:spacing w:before="100" w:beforeAutospacing="1" w:after="100" w:afterAutospacing="1"/>
      <w:jc w:val="left"/>
    </w:pPr>
    <w:rPr>
      <w:rFonts w:ascii="宋体" w:hAnsi="宋体" w:cs="宋体"/>
      <w:kern w:val="0"/>
      <w:sz w:val="24"/>
    </w:rPr>
  </w:style>
  <w:style w:type="character" w:styleId="PageNumber">
    <w:name w:val="page number"/>
    <w:basedOn w:val="DefaultParagraphFont"/>
    <w:qFormat/>
  </w:style>
  <w:style w:type="character" w:customStyle="1" w:styleId="font11">
    <w:name w:val="font11"/>
    <w:basedOn w:val="DefaultParagraphFont"/>
    <w:qFormat/>
    <w:rPr>
      <w:rFonts w:ascii="宋体" w:eastAsia="宋体" w:hAnsi="宋体" w:cs="宋体" w:hint="eastAsia"/>
      <w:color w:val="000000"/>
      <w:sz w:val="20"/>
      <w:szCs w:val="20"/>
      <w:u w:val="none"/>
    </w:rPr>
  </w:style>
  <w:style w:type="character" w:customStyle="1" w:styleId="font01">
    <w:name w:val="font01"/>
    <w:basedOn w:val="DefaultParagraphFont"/>
    <w:qFormat/>
    <w:rPr>
      <w:rFonts w:ascii="Arial" w:hAnsi="Arial" w:cs="Arial" w:hint="default"/>
      <w:color w:val="000000"/>
      <w:sz w:val="20"/>
      <w:szCs w:val="20"/>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footer" Target="footer2.xml" /><Relationship Id="rId11" Type="http://schemas.openxmlformats.org/officeDocument/2006/relationships/theme" Target="theme/theme1.xml" /><Relationship Id="rId12" Type="http://schemas.openxmlformats.org/officeDocument/2006/relationships/numbering" Target="numbering.xml" /><Relationship Id="rId13"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chart" Target="charts/chart1.xml" /><Relationship Id="rId7" Type="http://schemas.openxmlformats.org/officeDocument/2006/relationships/chart" Target="charts/chart2.xml" /><Relationship Id="rId8" Type="http://schemas.openxmlformats.org/officeDocument/2006/relationships/header" Target="header1.xml" /><Relationship Id="rId9" Type="http://schemas.openxmlformats.org/officeDocument/2006/relationships/footer" Target="footer1.xml" /></Relationships>
</file>

<file path=word/charts/_rels/chart1.xml.rels>&#65279;<?xml version="1.0" encoding="utf-8" standalone="yes"?><Relationships xmlns="http://schemas.openxmlformats.org/package/2006/relationships"><Relationship Id="rId1" Type="http://schemas.openxmlformats.org/officeDocument/2006/relationships/oleObject" Target="file:///C:\Users\Administrator\Desktop\&#20027;&#35201;&#25351;&#26631;&#21464;&#21160;&#24773;&#20917;&#34920;.XLS" TargetMode="External" /><Relationship Id="rId2" Type="http://schemas.microsoft.com/office/2011/relationships/chartColorStyle" Target="chart/colors1.xml" /><Relationship Id="rId3" Type="http://schemas.microsoft.com/office/2011/relationships/chartStyle" Target="chart/style1.xml" /></Relationships>
</file>

<file path=word/charts/_rels/chart2.xml.rels>&#65279;<?xml version="1.0" encoding="utf-8" standalone="yes"?><Relationships xmlns="http://schemas.openxmlformats.org/package/2006/relationships"><Relationship Id="rId1" Type="http://schemas.openxmlformats.org/officeDocument/2006/relationships/oleObject" Target="Book2" TargetMode="External" /><Relationship Id="rId2" Type="http://schemas.microsoft.com/office/2011/relationships/chartColorStyle" Target="chart/colors2.xml" /><Relationship Id="rId3" Type="http://schemas.microsoft.com/office/2011/relationships/chartStyle" Target="chart/style2.xml" /></Relationships>
</file>

<file path=word/charts/chart/colors1.xml><?xml version="1.0" encoding="utf-8"?>
<cs:colorStyle xmlns:cs="http://schemas.microsoft.com/office/drawing/2012/chartStyle" xmlns:a="http://schemas.openxmlformats.org/drawingml/2006/main" meth="cycle" id="10">
  <a:srgbClr val="4F81BD"/>
  <a:srgbClr val="C0504D"/>
  <a:srgbClr val="9BBB59"/>
  <a:srgbClr val="8064A2"/>
  <a:srgbClr val="4BACC6"/>
  <a:srgbClr val="F7964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hart/colors2.xml><?xml version="1.0" encoding="utf-8"?>
<cs:colorStyle xmlns:cs="http://schemas.microsoft.com/office/drawing/2012/chartStyle" xmlns:a="http://schemas.openxmlformats.org/drawingml/2006/main" meth="withinLinear" id="14">
  <a:srgbClr val="4F81BD"/>
</cs:colorStyle>
</file>

<file path=word/charts/chart/style1.xml><?xml version="1.0" encoding="utf-8"?>
<cs:chartStyle xmlns:cs="http://schemas.microsoft.com/office/drawing/2012/chartStyle" xmlns:a="http://schemas.openxmlformats.org/drawingml/2006/main" id="201">
  <cs:axisTitle>
    <cs:lnRef idx="0"/>
    <cs:fillRef idx="0"/>
    <cs:effectRef idx="0"/>
    <cs:fontRef idx="minor">
      <a:srgbClr val="595959">
        <a:lumMod val="65000"/>
        <a:lumOff val="35000"/>
      </a:srgbClr>
    </cs:fontRef>
    <cs:defRPr sz="1000" kern="1200"/>
  </cs:axisTitle>
  <cs:categoryAxis>
    <cs:lnRef idx="0"/>
    <cs:fillRef idx="0"/>
    <cs:effectRef idx="0"/>
    <cs:fontRef idx="minor">
      <a:srgbClr val="595959">
        <a:lumMod val="65000"/>
        <a:lumOff val="35000"/>
      </a:srgbClr>
    </cs:fontRef>
    <cs:spPr>
      <a:ln w="9525">
        <a:solidFill>
          <a:srgbClr val="D9D9D9">
            <a:lumMod val="15000"/>
            <a:lumOff val="85000"/>
          </a:srgbClr>
        </a:solidFill>
        <a:round/>
      </a:ln>
    </cs:spPr>
    <cs:defRPr sz="900" kern="1200"/>
  </cs:categoryAxis>
  <cs:chartArea mods="allowNoFillOverride allowNoLineOverride">
    <cs:lnRef idx="0"/>
    <cs:fillRef idx="0"/>
    <cs:effectRef idx="0"/>
    <cs:fontRef idx="minor">
      <a:srgbClr val="000000"/>
    </cs:fontRef>
    <cs:spPr>
      <a:solidFill>
        <a:srgbClr val="FFFFFF"/>
      </a:solidFill>
      <a:ln w="9525">
        <a:solidFill>
          <a:srgbClr val="D9D9D9">
            <a:lumMod val="15000"/>
            <a:lumOff val="85000"/>
          </a:srgbClr>
        </a:solidFill>
        <a:round/>
      </a:ln>
    </cs:spPr>
    <cs:defRPr sz="1000" kern="1200"/>
  </cs:chartArea>
  <cs:dataLabel>
    <cs:lnRef idx="0"/>
    <cs:fillRef idx="0"/>
    <cs:effectRef idx="0"/>
    <cs:fontRef idx="minor">
      <a:srgbClr val="404040">
        <a:lumMod val="75000"/>
        <a:lumOff val="25000"/>
      </a:srgbClr>
    </cs:fontRef>
    <cs:defRPr sz="900" kern="1200"/>
  </cs:dataLabel>
  <cs:dataLabelCallout>
    <cs:lnRef idx="0"/>
    <cs:fillRef idx="0"/>
    <cs:effectRef idx="0"/>
    <cs:fontRef idx="minor">
      <a:srgbClr val="595959">
        <a:lumMod val="65000"/>
        <a:lumOff val="35000"/>
      </a:srgbClr>
    </cs:fontRef>
    <cs:spPr>
      <a:solidFill>
        <a:srgbClr val="FFFFFF"/>
      </a:solidFill>
      <a:ln>
        <a:solidFill>
          <a:srgbClr val="BFBFBF">
            <a:lumMod val="25000"/>
            <a:lumOff val="75000"/>
          </a:srgb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rgbClr val="000000"/>
    </cs:fontRef>
  </cs:dataPoint>
  <cs:dataPoint3D>
    <cs:lnRef idx="0"/>
    <cs:fillRef idx="1">
      <cs:styleClr val="auto"/>
    </cs:fillRef>
    <cs:effectRef idx="0"/>
    <cs:fontRef idx="minor">
      <a:srgbClr val="000000"/>
    </cs:fontRef>
  </cs:dataPoint3D>
  <cs:dataPointLine>
    <cs:lnRef idx="0">
      <cs:styleClr val="auto"/>
    </cs:lnRef>
    <cs:fillRef idx="1"/>
    <cs:effectRef idx="0"/>
    <cs:fontRef idx="minor">
      <a:srgbClr val="000000"/>
    </cs:fontRef>
    <cs:spPr>
      <a:ln w="28575" cap="rnd">
        <a:solidFill>
          <a:srgbClr val="FFFFFF"/>
        </a:solidFill>
        <a:round/>
      </a:ln>
    </cs:spPr>
  </cs:dataPointLine>
  <cs:dataPointMarker>
    <cs:lnRef idx="0">
      <cs:styleClr val="auto"/>
    </cs:lnRef>
    <cs:fillRef idx="1">
      <cs:styleClr val="auto"/>
    </cs:fillRef>
    <cs:effectRef idx="0"/>
    <cs:fontRef idx="minor">
      <a:srgbClr val="000000"/>
    </cs:fontRef>
    <cs:spPr>
      <a:ln w="9525">
        <a:solidFill>
          <a:srgbClr val="FFFFFF"/>
        </a:solidFill>
      </a:ln>
    </cs:spPr>
  </cs:dataPointMarker>
  <cs:dataPointMarkerLayout symbol="circle" size="5"/>
  <cs:dataPointWireframe>
    <cs:lnRef idx="0">
      <cs:styleClr val="auto"/>
    </cs:lnRef>
    <cs:fillRef idx="1"/>
    <cs:effectRef idx="0"/>
    <cs:fontRef idx="minor">
      <a:srgbClr val="000000"/>
    </cs:fontRef>
    <cs:spPr>
      <a:ln w="9525" cap="rnd">
        <a:solidFill>
          <a:srgbClr val="FFFFFF"/>
        </a:solidFill>
        <a:round/>
      </a:ln>
    </cs:spPr>
  </cs:dataPointWireframe>
  <cs:dataTable>
    <cs:lnRef idx="0"/>
    <cs:fillRef idx="0"/>
    <cs:effectRef idx="0"/>
    <cs:fontRef idx="minor">
      <a:srgbClr val="595959">
        <a:lumMod val="65000"/>
        <a:lumOff val="35000"/>
      </a:srgbClr>
    </cs:fontRef>
    <cs:spPr>
      <a:noFill/>
      <a:ln w="9525">
        <a:solidFill>
          <a:srgbClr val="D9D9D9">
            <a:lumMod val="15000"/>
            <a:lumOff val="85000"/>
          </a:srgbClr>
        </a:solidFill>
        <a:round/>
      </a:ln>
    </cs:spPr>
    <cs:defRPr sz="900" kern="1200"/>
  </cs:dataTable>
  <cs:downBar>
    <cs:lnRef idx="0"/>
    <cs:fillRef idx="0"/>
    <cs:effectRef idx="0"/>
    <cs:fontRef idx="minor">
      <a:srgbClr val="000000"/>
    </cs:fontRef>
    <cs:spPr>
      <a:solidFill>
        <a:srgbClr val="595959">
          <a:lumMod val="65000"/>
          <a:lumOff val="35000"/>
        </a:srgbClr>
      </a:solidFill>
      <a:ln w="9525">
        <a:solidFill>
          <a:srgbClr val="595959">
            <a:lumMod val="65000"/>
            <a:lumOff val="35000"/>
          </a:srgbClr>
        </a:solidFill>
      </a:ln>
    </cs:spPr>
  </cs:downBar>
  <cs:dropLine>
    <cs:lnRef idx="0"/>
    <cs:fillRef idx="0"/>
    <cs:effectRef idx="0"/>
    <cs:fontRef idx="minor">
      <a:srgbClr val="000000"/>
    </cs:fontRef>
    <cs:spPr>
      <a:ln w="9525">
        <a:solidFill>
          <a:srgbClr val="A6A6A6">
            <a:lumMod val="35000"/>
            <a:lumOff val="65000"/>
          </a:srgbClr>
        </a:solidFill>
        <a:round/>
      </a:ln>
    </cs:spPr>
  </cs:dropLine>
  <cs:errorBar>
    <cs:lnRef idx="0"/>
    <cs:fillRef idx="0"/>
    <cs:effectRef idx="0"/>
    <cs:fontRef idx="minor">
      <a:srgbClr val="000000"/>
    </cs:fontRef>
    <cs:spPr>
      <a:ln w="9525">
        <a:solidFill>
          <a:srgbClr val="595959">
            <a:lumMod val="65000"/>
            <a:lumOff val="35000"/>
          </a:srgbClr>
        </a:solidFill>
        <a:round/>
      </a:ln>
    </cs:spPr>
  </cs:errorBar>
  <cs:floor>
    <cs:lnRef idx="0"/>
    <cs:fillRef idx="0"/>
    <cs:effectRef idx="0"/>
    <cs:fontRef idx="minor">
      <a:srgbClr val="000000"/>
    </cs:fontRef>
    <cs:spPr>
      <a:noFill/>
      <a:ln>
        <a:noFill/>
      </a:ln>
    </cs:spPr>
  </cs:floor>
  <cs:gridlineMajor>
    <cs:lnRef idx="0"/>
    <cs:fillRef idx="0"/>
    <cs:effectRef idx="0"/>
    <cs:fontRef idx="minor">
      <a:srgbClr val="000000"/>
    </cs:fontRef>
    <cs:spPr>
      <a:ln w="9525">
        <a:solidFill>
          <a:srgbClr val="D9D9D9">
            <a:lumMod val="15000"/>
            <a:lumOff val="85000"/>
          </a:srgbClr>
        </a:solidFill>
        <a:round/>
      </a:ln>
    </cs:spPr>
  </cs:gridlineMajor>
  <cs:gridlineMinor>
    <cs:lnRef idx="0"/>
    <cs:fillRef idx="0"/>
    <cs:effectRef idx="0"/>
    <cs:fontRef idx="minor">
      <a:srgbClr val="000000"/>
    </cs:fontRef>
    <cs:spPr>
      <a:ln w="9525">
        <a:solidFill>
          <a:srgbClr val="F2F2F2">
            <a:lumMod val="5000"/>
            <a:lumOff val="95000"/>
          </a:srgbClr>
        </a:solidFill>
        <a:round/>
      </a:ln>
    </cs:spPr>
  </cs:gridlineMinor>
  <cs:hiLoLine>
    <cs:lnRef idx="0"/>
    <cs:fillRef idx="0"/>
    <cs:effectRef idx="0"/>
    <cs:fontRef idx="minor">
      <a:srgbClr val="000000"/>
    </cs:fontRef>
    <cs:spPr>
      <a:ln w="9525">
        <a:solidFill>
          <a:srgbClr val="404040">
            <a:lumMod val="75000"/>
            <a:lumOff val="25000"/>
          </a:srgbClr>
        </a:solidFill>
        <a:round/>
      </a:ln>
    </cs:spPr>
  </cs:hiLoLine>
  <cs:leaderLine>
    <cs:lnRef idx="0"/>
    <cs:fillRef idx="0"/>
    <cs:effectRef idx="0"/>
    <cs:fontRef idx="minor">
      <a:srgbClr val="000000"/>
    </cs:fontRef>
    <cs:spPr>
      <a:ln w="9525">
        <a:solidFill>
          <a:srgbClr val="A6A6A6">
            <a:lumMod val="35000"/>
            <a:lumOff val="65000"/>
          </a:srgbClr>
        </a:solidFill>
        <a:round/>
      </a:ln>
    </cs:spPr>
  </cs:leaderLine>
  <cs:legend>
    <cs:lnRef idx="0"/>
    <cs:fillRef idx="0"/>
    <cs:effectRef idx="0"/>
    <cs:fontRef idx="minor">
      <a:srgbClr val="595959">
        <a:lumMod val="65000"/>
        <a:lumOff val="35000"/>
      </a:srgbClr>
    </cs:fontRef>
    <cs:defRPr sz="900" kern="1200"/>
  </cs:legend>
  <cs:plotArea mods="allowNoFillOverride allowNoLineOverride">
    <cs:lnRef idx="0"/>
    <cs:fillRef idx="0"/>
    <cs:effectRef idx="0"/>
    <cs:fontRef idx="minor">
      <a:srgbClr val="000000"/>
    </cs:fontRef>
  </cs:plotArea>
  <cs:plotArea3D mods="allowNoFillOverride allowNoLineOverride">
    <cs:lnRef idx="0"/>
    <cs:fillRef idx="0"/>
    <cs:effectRef idx="0"/>
    <cs:fontRef idx="minor">
      <a:srgbClr val="000000"/>
    </cs:fontRef>
  </cs:plotArea3D>
  <cs:seriesAxis>
    <cs:lnRef idx="0"/>
    <cs:fillRef idx="0"/>
    <cs:effectRef idx="0"/>
    <cs:fontRef idx="minor">
      <a:srgbClr val="595959">
        <a:lumMod val="65000"/>
        <a:lumOff val="35000"/>
      </a:srgbClr>
    </cs:fontRef>
    <cs:defRPr sz="900" kern="1200"/>
  </cs:seriesAxis>
  <cs:seriesLine>
    <cs:lnRef idx="0"/>
    <cs:fillRef idx="0"/>
    <cs:effectRef idx="0"/>
    <cs:fontRef idx="minor">
      <a:srgbClr val="000000"/>
    </cs:fontRef>
    <cs:spPr>
      <a:ln w="9525">
        <a:solidFill>
          <a:srgbClr val="A6A6A6">
            <a:lumMod val="35000"/>
            <a:lumOff val="65000"/>
          </a:srgbClr>
        </a:solidFill>
        <a:round/>
      </a:ln>
    </cs:spPr>
  </cs:seriesLine>
  <cs:title>
    <cs:lnRef idx="0"/>
    <cs:fillRef idx="0"/>
    <cs:effectRef idx="0"/>
    <cs:fontRef idx="minor">
      <a:srgbClr val="595959">
        <a:lumMod val="65000"/>
        <a:lumOff val="35000"/>
      </a:srgbClr>
    </cs:fontRef>
    <cs:defRPr sz="1400" b="0" kern="1200" spc="0" baseline="0"/>
  </cs:title>
  <cs:trendline>
    <cs:lnRef idx="0">
      <cs:styleClr val="auto"/>
    </cs:lnRef>
    <cs:fillRef idx="0"/>
    <cs:effectRef idx="0"/>
    <cs:fontRef idx="minor">
      <a:srgbClr val="000000"/>
    </cs:fontRef>
    <cs:spPr>
      <a:ln w="19050" cap="rnd">
        <a:solidFill>
          <a:srgbClr val="FFFFFF"/>
        </a:solidFill>
        <a:prstDash val="sysDot"/>
      </a:ln>
    </cs:spPr>
  </cs:trendline>
  <cs:trendlineLabel>
    <cs:lnRef idx="0"/>
    <cs:fillRef idx="0"/>
    <cs:effectRef idx="0"/>
    <cs:fontRef idx="minor">
      <a:srgbClr val="595959">
        <a:lumMod val="65000"/>
        <a:lumOff val="35000"/>
      </a:srgbClr>
    </cs:fontRef>
    <cs:defRPr sz="900" kern="1200"/>
  </cs:trendlineLabel>
  <cs:upBar>
    <cs:lnRef idx="0"/>
    <cs:fillRef idx="0"/>
    <cs:effectRef idx="0"/>
    <cs:fontRef idx="minor">
      <a:srgbClr val="000000"/>
    </cs:fontRef>
    <cs:spPr>
      <a:solidFill>
        <a:srgbClr val="FFFFFF"/>
      </a:solidFill>
      <a:ln w="9525">
        <a:solidFill>
          <a:srgbClr val="D9D9D9">
            <a:lumMod val="15000"/>
            <a:lumOff val="85000"/>
          </a:srgbClr>
        </a:solidFill>
      </a:ln>
    </cs:spPr>
  </cs:upBar>
  <cs:valueAxis>
    <cs:lnRef idx="0"/>
    <cs:fillRef idx="0"/>
    <cs:effectRef idx="0"/>
    <cs:fontRef idx="minor">
      <a:srgbClr val="595959">
        <a:lumMod val="65000"/>
        <a:lumOff val="35000"/>
      </a:srgbClr>
    </cs:fontRef>
    <cs:defRPr sz="900" kern="1200"/>
  </cs:valueAxis>
  <cs:wall>
    <cs:lnRef idx="0"/>
    <cs:fillRef idx="0"/>
    <cs:effectRef idx="0"/>
    <cs:fontRef idx="minor">
      <a:srgbClr val="000000"/>
    </cs:fontRef>
    <cs:spPr>
      <a:noFill/>
      <a:ln>
        <a:noFill/>
      </a:ln>
    </cs:spPr>
  </cs:wall>
</cs:chartStyle>
</file>

<file path=word/charts/chart/style2.xml><?xml version="1.0" encoding="utf-8"?>
<cs:chartStyle xmlns:cs="http://schemas.microsoft.com/office/drawing/2012/chartStyle" xmlns:a="http://schemas.openxmlformats.org/drawingml/2006/main" id="254">
  <cs:axisTitle>
    <cs:lnRef idx="0"/>
    <cs:fillRef idx="0"/>
    <cs:effectRef idx="0"/>
    <cs:fontRef idx="minor">
      <a:srgbClr val="808080">
        <a:lumMod val="50000"/>
        <a:lumOff val="50000"/>
      </a:srgbClr>
    </cs:fontRef>
    <cs:defRPr sz="900" kern="1200" cap="all"/>
  </cs:axisTitle>
  <cs:categoryAxis>
    <cs:lnRef idx="0"/>
    <cs:fillRef idx="0"/>
    <cs:effectRef idx="0"/>
    <cs:fontRef idx="minor">
      <a:srgbClr val="808080">
        <a:lumMod val="50000"/>
        <a:lumOff val="50000"/>
      </a:srgbClr>
    </cs:fontRef>
    <cs:spPr>
      <a:ln w="9525">
        <a:solidFill>
          <a:srgbClr val="D9D9D9">
            <a:lumMod val="15000"/>
            <a:lumOff val="85000"/>
          </a:srgbClr>
        </a:solidFill>
        <a:round/>
      </a:ln>
    </cs:spPr>
    <cs:defRPr sz="900" kern="1200"/>
  </cs:categoryAxis>
  <cs:chartArea mods="allowNoFillOverride allowNoLineOverride">
    <cs:lnRef idx="0"/>
    <cs:fillRef idx="0"/>
    <cs:effectRef idx="0"/>
    <cs:fontRef idx="minor">
      <a:srgbClr val="000000"/>
    </cs:fontRef>
    <cs:spPr>
      <a:solidFill>
        <a:srgbClr val="FFFFFF"/>
      </a:solidFill>
      <a:ln w="9525">
        <a:solidFill>
          <a:srgbClr val="D9D9D9">
            <a:lumMod val="15000"/>
            <a:lumOff val="85000"/>
          </a:srgbClr>
        </a:solidFill>
        <a:round/>
      </a:ln>
    </cs:spPr>
    <cs:defRPr sz="900" kern="1200"/>
  </cs:chartArea>
  <cs:dataLabel>
    <cs:lnRef idx="0"/>
    <cs:fillRef idx="0"/>
    <cs:effectRef idx="0"/>
    <cs:fontRef idx="minor">
      <a:srgbClr val="595959">
        <a:lumMod val="65000"/>
        <a:lumOff val="35000"/>
      </a:srgbClr>
    </cs:fontRef>
    <cs:defRPr sz="900" kern="1200"/>
  </cs:dataLabel>
  <cs:dataLabelCallout>
    <cs:lnRef idx="0"/>
    <cs:fillRef idx="0"/>
    <cs:effectRef idx="0"/>
    <cs:fontRef idx="minor">
      <a:srgbClr val="595959">
        <a:lumMod val="65000"/>
        <a:lumOff val="35000"/>
      </a:srgbClr>
    </cs:fontRef>
    <cs:spPr>
      <a:solidFill>
        <a:srgbClr val="FFFFFF"/>
      </a:solidFill>
      <a:ln>
        <a:solidFill>
          <a:srgbClr val="BFBFBF">
            <a:lumMod val="25000"/>
            <a:lumOff val="75000"/>
          </a:srgbClr>
        </a:solidFill>
      </a:ln>
    </cs:spPr>
    <cs:defRPr sz="900" kern="1200"/>
    <cs:bodyPr rot="0" spcFirstLastPara="1" vertOverflow="clip" horzOverflow="clip" vert="horz" wrap="square" lIns="36576" tIns="18288" rIns="36576" bIns="18288" anchor="ctr" anchorCtr="1">
      <a:spAutoFit/>
    </cs:bodyPr>
  </cs:dataLabelCallout>
  <cs:dataPoint>
    <cs:lnRef idx="0">
      <cs:styleClr val="auto"/>
    </cs:lnRef>
    <cs:fillRef idx="2">
      <cs:styleClr val="auto"/>
    </cs:fillRef>
    <cs:effectRef idx="1"/>
    <cs:fontRef idx="minor">
      <a:srgbClr val="000000"/>
    </cs:fontRef>
    <cs:spPr>
      <a:ln w="9525">
        <a:solidFill>
          <a:srgbClr val="F9F9F9">
            <a:shade val="95000"/>
          </a:srgbClr>
        </a:solidFill>
        <a:round/>
      </a:ln>
    </cs:spPr>
  </cs:dataPoint>
  <cs:dataPoint3D>
    <cs:lnRef idx="0"/>
    <cs:fillRef idx="2">
      <cs:styleClr val="auto"/>
    </cs:fillRef>
    <cs:effectRef idx="1"/>
    <cs:fontRef idx="minor">
      <a:srgbClr val="000000"/>
    </cs:fontRef>
  </cs:dataPoint3D>
  <cs:dataPointLine>
    <cs:lnRef idx="0">
      <cs:styleClr val="auto"/>
    </cs:lnRef>
    <cs:fillRef idx="2">
      <cs:styleClr val="auto"/>
    </cs:fillRef>
    <cs:effectRef idx="1"/>
    <cs:fontRef idx="minor">
      <a:srgbClr val="000000"/>
    </cs:fontRef>
    <cs:spPr>
      <a:ln w="15875" cap="rnd">
        <a:solidFill>
          <a:srgbClr val="FFFFFF"/>
        </a:solidFill>
        <a:round/>
      </a:ln>
    </cs:spPr>
  </cs:dataPointLine>
  <cs:dataPointMarker>
    <cs:lnRef idx="0">
      <cs:styleClr val="auto"/>
    </cs:lnRef>
    <cs:fillRef idx="2">
      <cs:styleClr val="auto"/>
    </cs:fillRef>
    <cs:effectRef idx="1"/>
    <cs:fontRef idx="minor">
      <a:srgbClr val="000000"/>
    </cs:fontRef>
    <cs:spPr>
      <a:ln w="9525">
        <a:solidFill>
          <a:srgbClr val="F9F9F9">
            <a:shade val="95000"/>
          </a:srgbClr>
        </a:solidFill>
        <a:round/>
      </a:ln>
    </cs:spPr>
  </cs:dataPointMarker>
  <cs:dataPointMarkerLayout symbol="circle" size="4"/>
  <cs:dataPointWireframe>
    <cs:lnRef idx="0">
      <cs:styleClr val="auto"/>
    </cs:lnRef>
    <cs:fillRef idx="2"/>
    <cs:effectRef idx="0"/>
    <cs:fontRef idx="minor">
      <a:srgbClr val="000000"/>
    </cs:fontRef>
    <cs:spPr>
      <a:ln w="9525" cap="rnd">
        <a:solidFill>
          <a:srgbClr val="FFFFFF"/>
        </a:solidFill>
        <a:round/>
      </a:ln>
    </cs:spPr>
  </cs:dataPointWireframe>
  <cs:dataTable>
    <cs:lnRef idx="0"/>
    <cs:fillRef idx="0"/>
    <cs:effectRef idx="0"/>
    <cs:fontRef idx="minor">
      <a:srgbClr val="808080">
        <a:lumMod val="50000"/>
        <a:lumOff val="50000"/>
      </a:srgbClr>
    </cs:fontRef>
    <cs:spPr>
      <a:ln w="9525">
        <a:solidFill>
          <a:srgbClr val="D9D9D9">
            <a:lumMod val="15000"/>
            <a:lumOff val="85000"/>
          </a:srgbClr>
        </a:solidFill>
      </a:ln>
    </cs:spPr>
    <cs:defRPr sz="900" kern="1200"/>
  </cs:dataTable>
  <cs:downBar>
    <cs:lnRef idx="0"/>
    <cs:fillRef idx="0"/>
    <cs:effectRef idx="0"/>
    <cs:fontRef idx="minor">
      <a:srgbClr val="000000"/>
    </cs:fontRef>
    <cs:spPr>
      <a:solidFill>
        <a:srgbClr val="404040">
          <a:lumMod val="75000"/>
          <a:lumOff val="25000"/>
        </a:srgbClr>
      </a:solidFill>
      <a:ln w="9525">
        <a:solidFill>
          <a:srgbClr val="808080">
            <a:lumMod val="50000"/>
            <a:lumOff val="50000"/>
          </a:srgbClr>
        </a:solidFill>
      </a:ln>
    </cs:spPr>
  </cs:downBar>
  <cs:dropLine>
    <cs:lnRef idx="0"/>
    <cs:fillRef idx="0"/>
    <cs:effectRef idx="0"/>
    <cs:fontRef idx="minor">
      <a:srgbClr val="000000"/>
    </cs:fontRef>
    <cs:spPr>
      <a:ln w="9525">
        <a:solidFill>
          <a:srgbClr val="A6A6A6">
            <a:lumMod val="35000"/>
            <a:lumOff val="65000"/>
          </a:srgbClr>
        </a:solidFill>
        <a:prstDash val="dash"/>
      </a:ln>
    </cs:spPr>
  </cs:dropLine>
  <cs:errorBar>
    <cs:lnRef idx="0"/>
    <cs:fillRef idx="0"/>
    <cs:effectRef idx="0"/>
    <cs:fontRef idx="minor">
      <a:srgbClr val="000000"/>
    </cs:fontRef>
    <cs:spPr>
      <a:ln w="9525">
        <a:solidFill>
          <a:srgbClr val="808080">
            <a:lumMod val="50000"/>
            <a:lumOff val="50000"/>
          </a:srgbClr>
        </a:solidFill>
      </a:ln>
    </cs:spPr>
  </cs:errorBar>
  <cs:floor>
    <cs:lnRef idx="0"/>
    <cs:fillRef idx="0"/>
    <cs:effectRef idx="0"/>
    <cs:fontRef idx="minor">
      <a:srgbClr val="000000"/>
    </cs:fontRef>
  </cs:floor>
  <cs:gridlineMajor>
    <cs:lnRef idx="0"/>
    <cs:fillRef idx="0"/>
    <cs:effectRef idx="0"/>
    <cs:fontRef idx="minor">
      <a:srgbClr val="000000"/>
    </cs:fontRef>
    <cs:spPr>
      <a:ln w="9525">
        <a:solidFill>
          <a:srgbClr val="D9D9D9">
            <a:lumMod val="15000"/>
            <a:lumOff val="85000"/>
          </a:srgbClr>
        </a:solidFill>
        <a:round/>
      </a:ln>
    </cs:spPr>
  </cs:gridlineMajor>
  <cs:gridlineMinor>
    <cs:lnRef idx="0"/>
    <cs:fillRef idx="0"/>
    <cs:effectRef idx="0"/>
    <cs:fontRef idx="minor">
      <a:srgbClr val="000000"/>
    </cs:fontRef>
    <cs:spPr>
      <a:ln>
        <a:solidFill>
          <a:srgbClr val="F2F2F2">
            <a:lumMod val="5000"/>
            <a:lumOff val="95000"/>
          </a:srgbClr>
        </a:solidFill>
      </a:ln>
    </cs:spPr>
  </cs:gridlineMinor>
  <cs:hiLoLine>
    <cs:lnRef idx="0"/>
    <cs:fillRef idx="0"/>
    <cs:effectRef idx="0"/>
    <cs:fontRef idx="minor">
      <a:srgbClr val="000000"/>
    </cs:fontRef>
    <cs:spPr>
      <a:ln w="9525">
        <a:solidFill>
          <a:srgbClr val="808080">
            <a:lumMod val="50000"/>
            <a:lumOff val="50000"/>
          </a:srgbClr>
        </a:solidFill>
        <a:prstDash val="dash"/>
      </a:ln>
    </cs:spPr>
  </cs:hiLoLine>
  <cs:leaderLine>
    <cs:lnRef idx="0"/>
    <cs:fillRef idx="0"/>
    <cs:effectRef idx="0"/>
    <cs:fontRef idx="minor">
      <a:srgbClr val="000000"/>
    </cs:fontRef>
    <cs:spPr>
      <a:ln w="9525">
        <a:solidFill>
          <a:srgbClr val="A6A6A6">
            <a:lumMod val="35000"/>
            <a:lumOff val="65000"/>
          </a:srgbClr>
        </a:solidFill>
      </a:ln>
    </cs:spPr>
  </cs:leaderLine>
  <cs:legend>
    <cs:lnRef idx="0"/>
    <cs:fillRef idx="0"/>
    <cs:effectRef idx="0"/>
    <cs:fontRef idx="minor">
      <a:srgbClr val="808080">
        <a:lumMod val="50000"/>
        <a:lumOff val="50000"/>
      </a:srgbClr>
    </cs:fontRef>
    <cs:defRPr sz="900" kern="1200"/>
  </cs:legend>
  <cs:plotArea mods="allowNoFillOverride allowNoLineOverride">
    <cs:lnRef idx="0"/>
    <cs:fillRef idx="0"/>
    <cs:effectRef idx="0"/>
    <cs:fontRef idx="minor">
      <a:srgbClr val="000000"/>
    </cs:fontRef>
  </cs:plotArea>
  <cs:plotArea3D mods="allowNoFillOverride allowNoLineOverride">
    <cs:lnRef idx="0"/>
    <cs:fillRef idx="0"/>
    <cs:effectRef idx="0"/>
    <cs:fontRef idx="minor">
      <a:srgbClr val="000000"/>
    </cs:fontRef>
  </cs:plotArea3D>
  <cs:seriesAxis>
    <cs:lnRef idx="0"/>
    <cs:fillRef idx="0"/>
    <cs:effectRef idx="0"/>
    <cs:fontRef idx="minor">
      <a:srgbClr val="808080">
        <a:lumMod val="50000"/>
        <a:lumOff val="50000"/>
      </a:srgbClr>
    </cs:fontRef>
    <cs:spPr>
      <a:ln w="9525">
        <a:solidFill>
          <a:srgbClr val="D9D9D9">
            <a:lumMod val="15000"/>
            <a:lumOff val="85000"/>
          </a:srgbClr>
        </a:solidFill>
        <a:round/>
      </a:ln>
    </cs:spPr>
    <cs:defRPr sz="900" kern="1200"/>
  </cs:seriesAxis>
  <cs:seriesLine>
    <cs:lnRef idx="0"/>
    <cs:fillRef idx="0"/>
    <cs:effectRef idx="0"/>
    <cs:fontRef idx="minor">
      <a:srgbClr val="000000"/>
    </cs:fontRef>
    <cs:spPr>
      <a:ln w="9525">
        <a:solidFill>
          <a:srgbClr val="A6A6A6">
            <a:lumMod val="35000"/>
            <a:lumOff val="65000"/>
          </a:srgbClr>
        </a:solidFill>
        <a:prstDash val="dash"/>
      </a:ln>
    </cs:spPr>
  </cs:seriesLine>
  <cs:title>
    <cs:lnRef idx="0"/>
    <cs:fillRef idx="0"/>
    <cs:effectRef idx="0"/>
    <cs:fontRef idx="minor">
      <a:srgbClr val="808080">
        <a:lumMod val="50000"/>
        <a:lumOff val="50000"/>
      </a:srgbClr>
    </cs:fontRef>
    <cs:defRPr sz="1400" kern="1200" cap="none" spc="20" baseline="0"/>
  </cs:title>
  <cs:trendline>
    <cs:lnRef idx="0">
      <cs:styleClr val="auto"/>
    </cs:lnRef>
    <cs:fillRef idx="2"/>
    <cs:effectRef idx="0"/>
    <cs:fontRef idx="minor">
      <a:srgbClr val="000000"/>
    </cs:fontRef>
    <cs:spPr>
      <a:ln w="9525" cap="rnd">
        <a:solidFill>
          <a:srgbClr val="FFFFFF"/>
        </a:solidFill>
      </a:ln>
    </cs:spPr>
  </cs:trendline>
  <cs:trendlineLabel>
    <cs:lnRef idx="0"/>
    <cs:fillRef idx="0"/>
    <cs:effectRef idx="0"/>
    <cs:fontRef idx="minor">
      <a:srgbClr val="808080">
        <a:lumMod val="50000"/>
        <a:lumOff val="50000"/>
      </a:srgbClr>
    </cs:fontRef>
    <cs:defRPr sz="900" kern="1200"/>
  </cs:trendlineLabel>
  <cs:upBar>
    <cs:lnRef idx="0"/>
    <cs:fillRef idx="0"/>
    <cs:effectRef idx="0"/>
    <cs:fontRef idx="minor">
      <a:srgbClr val="000000"/>
    </cs:fontRef>
    <cs:spPr>
      <a:solidFill>
        <a:srgbClr val="FFFFFF"/>
      </a:solidFill>
      <a:ln w="9525">
        <a:solidFill>
          <a:srgbClr val="808080">
            <a:lumMod val="50000"/>
            <a:lumOff val="50000"/>
          </a:srgbClr>
        </a:solidFill>
      </a:ln>
    </cs:spPr>
  </cs:upBar>
  <cs:valueAxis>
    <cs:lnRef idx="0"/>
    <cs:fillRef idx="0"/>
    <cs:effectRef idx="0"/>
    <cs:fontRef idx="minor">
      <a:srgbClr val="808080">
        <a:lumMod val="50000"/>
        <a:lumOff val="50000"/>
      </a:srgbClr>
    </cs:fontRef>
    <cs:defRPr sz="900" kern="1200"/>
  </cs:valueAxis>
  <cs:wall>
    <cs:lnRef idx="0"/>
    <cs:fillRef idx="0"/>
    <cs:effectRef idx="0"/>
    <cs:fontRef idx="minor">
      <a:srgbClr val="000000"/>
    </cs:fontRef>
  </cs:wall>
</cs:chartStyle>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rgbClr val="595959">
                    <a:lumMod val="65000"/>
                    <a:lumOff val="35000"/>
                  </a:srgbClr>
                </a:solidFill>
                <a:latin typeface="+mn-lt"/>
                <a:ea typeface="+mn-ea"/>
                <a:cs typeface="+mn-cs"/>
              </a:defRPr>
            </a:pPr>
            <a:r>
              <a:rPr/>
              <a:t>支出结构表</a:t>
            </a:r>
            <a:r>
              <a:rPr lang="en-US" altLang="zh-CN"/>
              <a:t>1</a:t>
            </a:r>
            <a:endParaRPr lang="en-US" altLang="zh-CN"/>
          </a:p>
        </c:rich>
      </c:tx>
      <c:layout/>
      <c:overlay val="0"/>
      <c:spPr>
        <a:noFill/>
        <a:ln>
          <a:noFill/>
        </a:ln>
        <a:effectLst/>
      </c:spPr>
    </c:title>
    <c:autoTitleDeleted val="0"/>
    <c:plotArea>
      <c:layout/>
      <c:barChart>
        <c:barDir val="col"/>
        <c:grouping val="clustered"/>
        <c:varyColors val="0"/>
        <c:ser>
          <c:idx val="0"/>
          <c:order val="0"/>
          <c:spPr>
            <a:solidFill>
              <a:srgbClr val="4F81BD"/>
            </a:solidFill>
            <a:ln>
              <a:noFill/>
            </a:ln>
            <a:effectLst/>
          </c:spPr>
          <c:invertIfNegative val="0"/>
          <c:dLbls>
            <c:delete val="1"/>
          </c:dLbls>
          <c:cat>
            <c:strRef>
              <c:f>[主要指标变动情况表.XLS]Sheet5!$F$1:$G$1</c:f>
              <c:strCache>
                <c:ptCount val="2"/>
                <c:pt idx="0">
                  <c:v>基本支出</c:v>
                </c:pt>
                <c:pt idx="1">
                  <c:v>项目支出</c:v>
                </c:pt>
              </c:strCache>
            </c:strRef>
          </c:cat>
          <c:val>
            <c:numRef>
              <c:f>[主要指标变动情况表.XLS]Sheet5!$F$2:$G$2</c:f>
              <c:numCache>
                <c:formatCode>#,##0.00</c:formatCode>
                <c:ptCount val="2"/>
                <c:pt idx="0">
                  <c:v>43861754.37</c:v>
                </c:pt>
                <c:pt idx="1">
                  <c:v>72806949.82</c:v>
                </c:pt>
              </c:numCache>
            </c:numRef>
          </c:val>
        </c:ser>
        <c:dLbls>
          <c:showLegendKey val="0"/>
          <c:showVal val="0"/>
          <c:showCatName val="0"/>
          <c:showSerName val="0"/>
          <c:showPercent val="0"/>
          <c:showBubbleSize val="0"/>
        </c:dLbls>
        <c:gapWidth val="219"/>
        <c:overlap val="-27"/>
        <c:axId val="165120584"/>
        <c:axId val="161009278"/>
      </c:barChart>
      <c:catAx>
        <c:axId val="165120584"/>
        <c:scaling>
          <c:orientation val="minMax"/>
        </c:scaling>
        <c:delete val="0"/>
        <c:axPos val="b"/>
        <c:majorTickMark val="none"/>
        <c:minorTickMark val="none"/>
        <c:tickLblPos val="nextTo"/>
        <c:spPr>
          <a:noFill/>
          <a:ln w="9525">
            <a:solidFill>
              <a:srgbClr val="D9D9D9">
                <a:lumMod val="15000"/>
                <a:lumOff val="85000"/>
              </a:srgbClr>
            </a:solidFill>
            <a:round/>
          </a:ln>
          <a:effectLst/>
        </c:spPr>
        <c:txPr>
          <a:bodyPr rot="-60000000" spcFirstLastPara="0" vertOverflow="ellipsis" vert="horz" wrap="square" anchor="ctr" anchorCtr="1"/>
          <a:lstStyle/>
          <a:p>
            <a:pPr>
              <a:defRPr lang="zh-CN" sz="900" b="0" i="0" u="none" strike="noStrike" kern="1200" baseline="0">
                <a:solidFill>
                  <a:srgbClr val="595959">
                    <a:lumMod val="65000"/>
                    <a:lumOff val="35000"/>
                  </a:srgbClr>
                </a:solidFill>
                <a:latin typeface="+mn-lt"/>
                <a:ea typeface="+mn-ea"/>
                <a:cs typeface="+mn-cs"/>
              </a:defRPr>
            </a:pPr>
          </a:p>
        </c:txPr>
        <c:crossAx val="161009278"/>
        <c:crosses val="autoZero"/>
        <c:auto val="1"/>
        <c:lblAlgn val="ctr"/>
        <c:lblOffset val="100"/>
        <c:noMultiLvlLbl val="0"/>
      </c:catAx>
      <c:valAx>
        <c:axId val="161009278"/>
        <c:scaling>
          <c:orientation val="minMax"/>
        </c:scaling>
        <c:delete val="0"/>
        <c:axPos val="l"/>
        <c:majorGridlines>
          <c:spPr>
            <a:ln w="9525">
              <a:solidFill>
                <a:srgbClr val="D9D9D9">
                  <a:lumMod val="15000"/>
                  <a:lumOff val="85000"/>
                </a:srgbClr>
              </a:solidFill>
              <a:round/>
            </a:ln>
            <a:effectLst/>
          </c:spPr>
        </c:majorGridlines>
        <c:numFmt formatCode="#,##0.00" sourceLinked="1"/>
        <c:majorTickMark val="none"/>
        <c:minorTickMark val="none"/>
        <c:tickLblPos val="nextTo"/>
        <c:spPr>
          <a:noFill/>
          <a:ln>
            <a:noFill/>
          </a:ln>
          <a:effectLst/>
        </c:spPr>
        <c:txPr>
          <a:bodyPr rot="-60000000" spcFirstLastPara="0" vertOverflow="ellipsis" vert="horz" wrap="square" anchor="ctr" anchorCtr="1"/>
          <a:lstStyle/>
          <a:p>
            <a:pPr>
              <a:defRPr lang="zh-CN" sz="900" b="0" i="0" u="none" strike="noStrike" kern="1200" baseline="0">
                <a:solidFill>
                  <a:srgbClr val="595959">
                    <a:lumMod val="65000"/>
                    <a:lumOff val="35000"/>
                  </a:srgbClr>
                </a:solidFill>
                <a:latin typeface="+mn-lt"/>
                <a:ea typeface="+mn-ea"/>
                <a:cs typeface="+mn-cs"/>
              </a:defRPr>
            </a:pPr>
          </a:p>
        </c:txPr>
        <c:crossAx val="165120584"/>
        <c:crosses val="autoZero"/>
        <c:crossBetween val="between"/>
      </c:valAx>
      <c:spPr>
        <a:noFill/>
        <a:ln>
          <a:noFill/>
        </a:ln>
        <a:effectLst/>
      </c:spPr>
    </c:plotArea>
    <c:plotVisOnly val="1"/>
    <c:dispBlanksAs val="gap"/>
    <c:showDLblsOverMax val="0"/>
  </c:chart>
  <c:spPr>
    <a:solidFill>
      <a:srgbClr val="FFFFFF"/>
    </a:solidFill>
    <a:ln w="9525">
      <a:solidFill>
        <a:srgbClr val="D9D9D9">
          <a:lumMod val="15000"/>
          <a:lumOff val="85000"/>
        </a:srgbClr>
      </a:solidFill>
      <a:round/>
    </a:ln>
    <a:effectLst/>
  </c:spPr>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3"/>
    </mc:Choice>
    <mc:Fallback>
      <c:style val="3"/>
    </mc:Fallback>
  </mc:AlternateContent>
  <c:chart>
    <c:title>
      <c:tx>
        <c:rich>
          <a:bodyPr rot="0" spcFirstLastPara="0" vertOverflow="ellipsis" vert="horz" wrap="square" anchor="ctr" anchorCtr="1"/>
          <a:lstStyle/>
          <a:p>
            <a:pPr>
              <a:defRPr lang="zh-CN" sz="1400" b="0" i="0" u="none" strike="noStrike" kern="1200" cap="none" spc="20" baseline="0">
                <a:solidFill>
                  <a:srgbClr val="808080">
                    <a:lumMod val="50000"/>
                    <a:lumOff val="50000"/>
                  </a:srgbClr>
                </a:solidFill>
                <a:latin typeface="+mn-lt"/>
                <a:ea typeface="+mn-ea"/>
                <a:cs typeface="+mn-cs"/>
              </a:defRPr>
            </a:pPr>
            <a:r>
              <a:rPr/>
              <a:t>一般公共预算财政拨款支出决算具体情况</a:t>
            </a:r>
          </a:p>
        </c:rich>
      </c:tx>
      <c:layout/>
      <c:overlay val="0"/>
      <c:spPr>
        <a:noFill/>
        <a:ln>
          <a:noFill/>
        </a:ln>
        <a:effectLst/>
      </c:spPr>
    </c:title>
    <c:autoTitleDeleted val="0"/>
    <c:plotArea>
      <c:layout/>
      <c:pieChart>
        <c:varyColors val="1"/>
        <c:ser>
          <c:idx val="0"/>
          <c:order val="0"/>
          <c:explosion val="0"/>
          <c:dPt>
            <c:idx val="0"/>
            <c:bubble3D val="0"/>
            <c:spPr>
              <a:gradFill rotWithShape="1">
                <a:gsLst>
                  <a:gs pos="0">
                    <a:srgbClr val="A2AEC6">
                      <a:shade val="53333"/>
                      <a:lumMod val="110000"/>
                      <a:satMod val="105000"/>
                      <a:tint val="67000"/>
                    </a:srgbClr>
                  </a:gs>
                  <a:gs pos="50000">
                    <a:srgbClr val="95A3BB">
                      <a:shade val="53333"/>
                      <a:lumMod val="105000"/>
                      <a:satMod val="103000"/>
                      <a:tint val="73000"/>
                    </a:srgbClr>
                  </a:gs>
                  <a:gs pos="100000">
                    <a:srgbClr val="8294B3">
                      <a:shade val="53333"/>
                      <a:lumMod val="105000"/>
                      <a:satMod val="109000"/>
                      <a:tint val="81000"/>
                    </a:srgbClr>
                  </a:gs>
                </a:gsLst>
                <a:lin ang="5400000" scaled="0"/>
              </a:gradFill>
              <a:ln w="9525">
                <a:solidFill>
                  <a:srgbClr val="385E8B">
                    <a:shade val="53333"/>
                    <a:shade val="95000"/>
                  </a:srgbClr>
                </a:solidFill>
                <a:round/>
              </a:ln>
              <a:effectLst/>
            </c:spPr>
          </c:dPt>
          <c:dPt>
            <c:idx val="1"/>
            <c:bubble3D val="0"/>
            <c:spPr>
              <a:gradFill rotWithShape="1">
                <a:gsLst>
                  <a:gs pos="0">
                    <a:srgbClr val="A5B6D3">
                      <a:shade val="76667"/>
                      <a:lumMod val="110000"/>
                      <a:satMod val="105000"/>
                      <a:tint val="67000"/>
                    </a:srgbClr>
                  </a:gs>
                  <a:gs pos="50000">
                    <a:srgbClr val="98ABCA">
                      <a:shade val="76667"/>
                      <a:lumMod val="105000"/>
                      <a:satMod val="103000"/>
                      <a:tint val="73000"/>
                    </a:srgbClr>
                  </a:gs>
                  <a:gs pos="100000">
                    <a:srgbClr val="869EC6">
                      <a:shade val="76667"/>
                      <a:lumMod val="105000"/>
                      <a:satMod val="109000"/>
                      <a:tint val="81000"/>
                    </a:srgbClr>
                  </a:gs>
                </a:gsLst>
                <a:lin ang="5400000" scaled="0"/>
              </a:gradFill>
              <a:ln w="9525">
                <a:solidFill>
                  <a:srgbClr val="436FA4">
                    <a:shade val="76667"/>
                    <a:shade val="95000"/>
                  </a:srgbClr>
                </a:solidFill>
                <a:round/>
              </a:ln>
              <a:effectLst/>
            </c:spPr>
          </c:dPt>
          <c:dPt>
            <c:idx val="2"/>
            <c:bubble3D val="0"/>
            <c:spPr>
              <a:gradFill rotWithShape="1">
                <a:gsLst>
                  <a:gs pos="0">
                    <a:srgbClr val="ABBEDB">
                      <a:lumMod val="110000"/>
                      <a:satMod val="105000"/>
                      <a:tint val="67000"/>
                    </a:srgbClr>
                  </a:gs>
                  <a:gs pos="50000">
                    <a:srgbClr val="9EB3D5">
                      <a:lumMod val="105000"/>
                      <a:satMod val="103000"/>
                      <a:tint val="73000"/>
                    </a:srgbClr>
                  </a:gs>
                  <a:gs pos="100000">
                    <a:srgbClr val="8CA7D2">
                      <a:lumMod val="105000"/>
                      <a:satMod val="109000"/>
                      <a:tint val="81000"/>
                    </a:srgbClr>
                  </a:gs>
                </a:gsLst>
                <a:lin ang="5400000" scaled="0"/>
              </a:gradFill>
              <a:ln w="9525">
                <a:solidFill>
                  <a:srgbClr val="4D7EB9">
                    <a:shade val="95000"/>
                  </a:srgbClr>
                </a:solidFill>
                <a:round/>
              </a:ln>
              <a:effectLst/>
            </c:spPr>
          </c:dPt>
          <c:dPt>
            <c:idx val="3"/>
            <c:bubble3D val="0"/>
            <c:spPr>
              <a:gradFill rotWithShape="1">
                <a:gsLst>
                  <a:gs pos="0">
                    <a:srgbClr val="CCD6E8">
                      <a:tint val="76667"/>
                      <a:lumMod val="110000"/>
                      <a:satMod val="105000"/>
                      <a:tint val="67000"/>
                    </a:srgbClr>
                  </a:gs>
                  <a:gs pos="50000">
                    <a:srgbClr val="BFCCE1">
                      <a:tint val="76667"/>
                      <a:lumMod val="105000"/>
                      <a:satMod val="103000"/>
                      <a:tint val="73000"/>
                    </a:srgbClr>
                  </a:gs>
                  <a:gs pos="100000">
                    <a:srgbClr val="B5C5DF">
                      <a:tint val="76667"/>
                      <a:lumMod val="105000"/>
                      <a:satMod val="109000"/>
                      <a:tint val="81000"/>
                    </a:srgbClr>
                  </a:gs>
                </a:gsLst>
                <a:lin ang="5400000" scaled="0"/>
              </a:gradFill>
              <a:ln w="9525">
                <a:solidFill>
                  <a:srgbClr val="90A6CA">
                    <a:tint val="76667"/>
                    <a:shade val="95000"/>
                  </a:srgbClr>
                </a:solidFill>
                <a:round/>
              </a:ln>
              <a:effectLst/>
            </c:spPr>
          </c:dPt>
          <c:dPt>
            <c:idx val="4"/>
            <c:bubble3D val="0"/>
            <c:spPr>
              <a:gradFill rotWithShape="1">
                <a:gsLst>
                  <a:gs pos="0">
                    <a:srgbClr val="E6EBF3">
                      <a:tint val="53333"/>
                      <a:lumMod val="110000"/>
                      <a:satMod val="105000"/>
                      <a:tint val="67000"/>
                    </a:srgbClr>
                  </a:gs>
                  <a:gs pos="50000">
                    <a:srgbClr val="DAE1ED">
                      <a:tint val="53333"/>
                      <a:lumMod val="105000"/>
                      <a:satMod val="103000"/>
                      <a:tint val="73000"/>
                    </a:srgbClr>
                  </a:gs>
                  <a:gs pos="100000">
                    <a:srgbClr val="D5DDEC">
                      <a:tint val="53333"/>
                      <a:lumMod val="105000"/>
                      <a:satMod val="109000"/>
                      <a:tint val="81000"/>
                    </a:srgbClr>
                  </a:gs>
                </a:gsLst>
                <a:lin ang="5400000" scaled="0"/>
              </a:gradFill>
              <a:ln w="9525">
                <a:solidFill>
                  <a:srgbClr val="B9C4DA">
                    <a:tint val="53333"/>
                    <a:shade val="95000"/>
                  </a:srgbClr>
                </a:solidFill>
                <a:round/>
              </a:ln>
              <a:effectLst/>
            </c:spPr>
          </c:dPt>
          <c:dLbls>
            <c:dLbl>
              <c:idx val="4"/>
              <c:dLblPos val="ctr"/>
              <c:showLegendKey val="0"/>
              <c:showVal val="0"/>
              <c:showCatName val="0"/>
              <c:showSerName val="0"/>
              <c:showPercent val="1"/>
              <c:showBubbleSize val="0"/>
              <c:extLst>
                <c:ext xmlns:c15="http://schemas.microsoft.com/office/drawing/2012/chart" uri="{CE6537A1-D6FC-4f65-9D91-7224C49458BB}">
                  <c15:layout>
                    <c:manualLayout>
                      <c:w val="0.0491666666666667"/>
                      <c:h val="0.16087962962963"/>
                    </c:manualLayout>
                  </c15:layout>
                </c:ext>
              </c:extLst>
            </c:dLbl>
            <c:numFmt formatCode="General" sourceLinked="1"/>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rgbClr val="595959">
                        <a:lumMod val="65000"/>
                        <a:lumOff val="35000"/>
                      </a:srgbClr>
                    </a:solidFill>
                    <a:latin typeface="+mn-lt"/>
                    <a:ea typeface="+mn-ea"/>
                    <a:cs typeface="+mn-cs"/>
                  </a:defRPr>
                </a:pPr>
              </a:p>
            </c:txPr>
            <c:dLblPos val="ctr"/>
            <c:showLegendKey val="0"/>
            <c:showVal val="0"/>
            <c:showCatName val="0"/>
            <c:showSerName val="0"/>
            <c:showPercent val="1"/>
            <c:showBubbleSize val="0"/>
            <c:showLeaderLines val="1"/>
            <c:extLst>
              <c:ext xmlns:c15="http://schemas.microsoft.com/office/drawing/2012/chart" uri="{CE6537A1-D6FC-4f65-9D91-7224C49458BB}">
                <c15:showLeaderLines val="1"/>
                <c15:leaderLines>
                  <c:spPr>
                    <a:ln w="9525">
                      <a:solidFill>
                        <a:srgbClr val="A6A6A6">
                          <a:lumMod val="35000"/>
                          <a:lumOff val="65000"/>
                        </a:srgbClr>
                      </a:solidFill>
                    </a:ln>
                    <a:effectLst/>
                  </c:spPr>
                </c15:leaderLines>
              </c:ext>
            </c:extLst>
          </c:dLbls>
          <c:cat>
            <c:strRef>
              <c:f>[Book2]Sheet1!$A$1:$A$5</c:f>
              <c:strCache>
                <c:ptCount val="5"/>
                <c:pt idx="0">
                  <c:v>教育支出</c:v>
                </c:pt>
                <c:pt idx="1">
                  <c:v>社会保障和就业支出</c:v>
                </c:pt>
                <c:pt idx="2">
                  <c:v>医疗卫生与计划生育支出</c:v>
                </c:pt>
                <c:pt idx="3">
                  <c:v>农林水支出</c:v>
                </c:pt>
                <c:pt idx="4">
                  <c:v>住房保障支出</c:v>
                </c:pt>
              </c:strCache>
            </c:strRef>
          </c:cat>
          <c:val>
            <c:numRef>
              <c:f>[Book2]Sheet1!$B$1:$B$5</c:f>
              <c:numCache>
                <c:formatCode>General</c:formatCode>
                <c:ptCount val="5"/>
                <c:pt idx="0">
                  <c:v>8348.25</c:v>
                </c:pt>
                <c:pt idx="1">
                  <c:v>74.23</c:v>
                </c:pt>
                <c:pt idx="2">
                  <c:v>42.87</c:v>
                </c:pt>
                <c:pt idx="3">
                  <c:v>827.53</c:v>
                </c:pt>
                <c:pt idx="4">
                  <c:v>45.1</c:v>
                </c:pt>
              </c:numCache>
            </c:numRef>
          </c:val>
        </c:ser>
        <c:dLbls>
          <c:showLegendKey val="0"/>
          <c:showVal val="1"/>
          <c:showCatName val="0"/>
          <c:showSerName val="0"/>
          <c:showPercent val="0"/>
          <c:showBubbleSize val="0"/>
          <c:showLeaderLines val="1"/>
        </c:dLbls>
        <c:firstSliceAng val="0"/>
      </c:pieChart>
      <c:spPr>
        <a:noFill/>
        <a:ln>
          <a:noFill/>
        </a:ln>
        <a:effectLst/>
      </c:spPr>
    </c:plotArea>
    <c:legend>
      <c:legendPos val="b"/>
      <c:layout/>
      <c:overlay val="0"/>
      <c:spPr>
        <a:noFill/>
        <a:ln>
          <a:noFill/>
        </a:ln>
        <a:effectLst/>
      </c:spPr>
      <c:txPr>
        <a:bodyPr rot="0" spcFirstLastPara="0" vertOverflow="ellipsis" vert="horz" wrap="square" anchor="ctr" anchorCtr="1"/>
        <a:lstStyle/>
        <a:p>
          <a:pPr>
            <a:defRPr lang="zh-CN" sz="900" b="0" i="0" u="none" strike="noStrike" kern="1200" baseline="0">
              <a:solidFill>
                <a:srgbClr val="808080">
                  <a:lumMod val="50000"/>
                  <a:lumOff val="50000"/>
                </a:srgbClr>
              </a:solidFill>
              <a:latin typeface="+mn-lt"/>
              <a:ea typeface="+mn-ea"/>
              <a:cs typeface="+mn-cs"/>
            </a:defRPr>
          </a:pPr>
        </a:p>
      </c:txPr>
    </c:legend>
    <c:plotVisOnly val="1"/>
    <c:dispBlanksAs val="gap"/>
    <c:showDLblsOverMax val="0"/>
  </c:chart>
  <c:spPr>
    <a:solidFill>
      <a:srgbClr val="FFFFFF"/>
    </a:solidFill>
    <a:ln w="9525">
      <a:solidFill>
        <a:srgbClr val="D9D9D9">
          <a:lumMod val="15000"/>
          <a:lumOff val="85000"/>
        </a:srgbClr>
      </a:solidFill>
      <a:round/>
    </a:ln>
    <a:effectLst/>
  </c:spPr>
  <c:txPr>
    <a:bodyPr/>
    <a:lstStyle/>
    <a:p>
      <a:pPr>
        <a:defRPr lang="zh-CN"/>
      </a:pPr>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9</Pages>
  <Words>598</Words>
  <Characters>3413</Characters>
  <Application>Microsoft Office Word</Application>
  <DocSecurity>0</DocSecurity>
  <Lines>28</Lines>
  <Paragraphs>8</Paragraphs>
  <ScaleCrop>false</ScaleCrop>
  <Company>微软中国</Company>
  <LinksUpToDate>false</LinksUpToDate>
  <CharactersWithSpaces>4003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四川省财政厅2011年部门预算编制说明</dc:title>
  <dc:creator>赵树子</dc:creator>
  <cp:lastModifiedBy>qzuser</cp:lastModifiedBy>
  <cp:revision>130</cp:revision>
  <cp:lastPrinted>2019-06-21T10:52:00Z</cp:lastPrinted>
  <dcterms:created xsi:type="dcterms:W3CDTF">2013-05-09T09:41:00Z</dcterms:created>
  <dcterms:modified xsi:type="dcterms:W3CDTF">2019-10-09T02:33:21Z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2052-11.1.0.9022</vt:lpwstr>
  </property>
</Properties>
</file>