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lang w:val="en-US" w:eastAsia="zh-CN"/>
        </w:rPr>
      </w:pPr>
      <w:r>
        <w:rPr>
          <w:rFonts w:hint="eastAsia"/>
          <w:b/>
          <w:bCs/>
          <w:lang w:eastAsia="zh-CN"/>
        </w:rPr>
        <w:t>维西县文体广电旅游局</w:t>
      </w:r>
      <w:r>
        <w:rPr>
          <w:rFonts w:hint="eastAsia"/>
          <w:b/>
          <w:bCs/>
          <w:lang w:val="en-US" w:eastAsia="zh-CN"/>
        </w:rPr>
        <w:t>2019年度部门预算公开（补充公开）</w:t>
      </w:r>
    </w:p>
    <w:p>
      <w:pPr>
        <w:numPr>
          <w:ilvl w:val="0"/>
          <w:numId w:val="1"/>
        </w:numPr>
        <w:rPr>
          <w:rFonts w:hint="eastAsia"/>
          <w:lang w:val="en-US" w:eastAsia="zh-CN"/>
        </w:rPr>
      </w:pPr>
      <w:r>
        <w:rPr>
          <w:rFonts w:hint="eastAsia"/>
          <w:lang w:val="en-US" w:eastAsia="zh-CN"/>
        </w:rPr>
        <w:t>预算收支增减变化情况的原因</w:t>
      </w:r>
    </w:p>
    <w:p>
      <w:pPr>
        <w:numPr>
          <w:ilvl w:val="0"/>
          <w:numId w:val="2"/>
        </w:numPr>
        <w:rPr>
          <w:rFonts w:hint="eastAsia"/>
          <w:lang w:val="en-US" w:eastAsia="zh-CN"/>
        </w:rPr>
      </w:pPr>
      <w:r>
        <w:rPr>
          <w:rFonts w:hint="eastAsia"/>
          <w:lang w:val="en-US" w:eastAsia="zh-CN"/>
        </w:rPr>
        <w:t>本年基本支出合计为2266.59万元；2018年为1409.88万元；增加856.71万元，增幅为60.76%。其中：1、工资福利支出上年为1258.13万元；2019年为1911.61万元；增加653.48万元，增幅为51.94%；增加的主要原因是：政策性调资，薪金增加。2、商品和服务支出上年为99.02万元；2019年为102.01万元；增加2.99万元，增幅为3.02%。增加的主要原因是：政策性调资，薪金增加，从而引起工会经费计提基数增加，工会费相应增加。3、对个人和家庭的补助上年为52.73万元，2019年为52.97万元，增加0.24万元；增幅为0.46%。增加的主要原因是：政策性调资，遗属生活补助标准提高。</w:t>
      </w:r>
    </w:p>
    <w:p>
      <w:pPr>
        <w:numPr>
          <w:ilvl w:val="0"/>
          <w:numId w:val="3"/>
        </w:numPr>
        <w:rPr>
          <w:rFonts w:hint="eastAsia"/>
          <w:lang w:val="en-US" w:eastAsia="zh-CN"/>
        </w:rPr>
      </w:pPr>
      <w:r>
        <w:rPr>
          <w:rFonts w:hint="eastAsia"/>
          <w:lang w:val="en-US" w:eastAsia="zh-CN"/>
        </w:rPr>
        <w:t>机关运行经费增减变化情况及原因</w:t>
      </w:r>
    </w:p>
    <w:p>
      <w:pPr>
        <w:numPr>
          <w:ilvl w:val="0"/>
          <w:numId w:val="4"/>
        </w:numPr>
        <w:rPr>
          <w:rFonts w:hint="eastAsia"/>
          <w:lang w:val="en-US" w:eastAsia="zh-CN"/>
        </w:rPr>
      </w:pPr>
      <w:r>
        <w:rPr>
          <w:rFonts w:hint="eastAsia"/>
          <w:lang w:val="en-US" w:eastAsia="zh-CN"/>
        </w:rPr>
        <w:t>机关运行经费安排</w:t>
      </w:r>
    </w:p>
    <w:p>
      <w:pPr>
        <w:numPr>
          <w:ilvl w:val="0"/>
          <w:numId w:val="0"/>
        </w:numPr>
        <w:ind w:firstLine="210" w:firstLineChars="100"/>
        <w:rPr>
          <w:rFonts w:hint="eastAsia"/>
          <w:lang w:val="en-US" w:eastAsia="zh-CN"/>
        </w:rPr>
      </w:pPr>
      <w:r>
        <w:rPr>
          <w:rFonts w:hint="eastAsia"/>
          <w:lang w:val="en-US" w:eastAsia="zh-CN"/>
        </w:rPr>
        <w:t>本年机关运行经费安排239.44万元；2018年机关运行经费217.95万元；增加21.49万元，增幅为9.86%。其中：</w:t>
      </w:r>
    </w:p>
    <w:p>
      <w:pPr>
        <w:numPr>
          <w:ilvl w:val="0"/>
          <w:numId w:val="0"/>
        </w:numPr>
        <w:ind w:firstLine="210" w:firstLineChars="100"/>
        <w:rPr>
          <w:rFonts w:hint="eastAsia"/>
          <w:lang w:val="en-US" w:eastAsia="zh-CN"/>
        </w:rPr>
      </w:pPr>
      <w:r>
        <w:rPr>
          <w:rFonts w:hint="eastAsia"/>
          <w:lang w:val="en-US" w:eastAsia="zh-CN"/>
        </w:rPr>
        <w:t>1、2019年办公经费为156.44万元；2018年办公经费为42.95万元；增加113.49万元，增幅为264.24%。主要原因是：</w:t>
      </w:r>
      <w:r>
        <w:rPr>
          <w:rFonts w:hint="eastAsia"/>
          <w:lang w:val="en-US" w:eastAsia="zh-CN"/>
        </w:rPr>
        <w:sym w:font="Wingdings" w:char="F081"/>
      </w:r>
      <w:r>
        <w:rPr>
          <w:rFonts w:hint="eastAsia"/>
          <w:lang w:val="en-US" w:eastAsia="zh-CN"/>
        </w:rPr>
        <w:t>2019年度的机关运行经费提数时将局机关事业的“商品和服务支出——办公经费”19.95万元提取在了机关商品和服务支出中，而2018年未将此部分经费提取在该项中，而在提取在“对事业单位经常性补助——商品和服务支出”之下，增幅为46.45%；</w:t>
      </w:r>
      <w:r>
        <w:rPr>
          <w:rFonts w:hint="eastAsia"/>
          <w:lang w:val="en-US" w:eastAsia="zh-CN"/>
        </w:rPr>
        <w:sym w:font="Wingdings" w:char="F082"/>
      </w:r>
      <w:r>
        <w:rPr>
          <w:rFonts w:hint="eastAsia"/>
          <w:lang w:val="en-US" w:eastAsia="zh-CN"/>
        </w:rPr>
        <w:t>2019年项目支出中的“旅游宣传经费”200万元中，列入办公经费预算数为120万元，2018年则只列入了30万元，差额为90万元，增幅为209.55%；</w:t>
      </w:r>
      <w:r>
        <w:rPr>
          <w:rFonts w:hint="eastAsia" w:ascii="宋体" w:hAnsi="宋体" w:eastAsia="宋体" w:cs="宋体"/>
          <w:lang w:val="en-US" w:eastAsia="zh-CN"/>
        </w:rPr>
        <w:t>③2019年预算时我单位局机关行政人员减少1人，减少办公经费0.48万元，减幅为1.12%；④2019年预算时因政策性</w:t>
      </w:r>
      <w:r>
        <w:rPr>
          <w:rFonts w:hint="eastAsia"/>
          <w:lang w:val="en-US" w:eastAsia="zh-CN"/>
        </w:rPr>
        <w:t>政策性调资，薪金增加，从而引起旅游工会经费计提基数增加，工会费相应增加0.02万元，增幅为0.05%；</w:t>
      </w:r>
      <w:r>
        <w:rPr>
          <w:rFonts w:hint="eastAsia" w:ascii="宋体" w:hAnsi="宋体" w:eastAsia="宋体" w:cs="宋体"/>
          <w:lang w:val="en-US" w:eastAsia="zh-CN"/>
        </w:rPr>
        <w:t>④2019年预算时旅游业务费8万元直接列入了办公经费，而2018年预算时只列入了4万元，增加4万元，增幅为9.31%。</w:t>
      </w:r>
    </w:p>
    <w:p>
      <w:pPr>
        <w:numPr>
          <w:numId w:val="0"/>
        </w:numPr>
        <w:ind w:firstLine="210" w:firstLineChars="100"/>
        <w:rPr>
          <w:rFonts w:hint="eastAsia"/>
          <w:lang w:val="en-US" w:eastAsia="zh-CN"/>
        </w:rPr>
      </w:pPr>
      <w:r>
        <w:rPr>
          <w:rFonts w:hint="eastAsia"/>
          <w:lang w:val="en-US" w:eastAsia="zh-CN"/>
        </w:rPr>
        <w:t>2、2019年委托业务费20万元；2018年委托业务费100万元；减少80万元，减幅为80%。主要原因是委托业务减少，预算相应减少。</w:t>
      </w:r>
    </w:p>
    <w:p>
      <w:pPr>
        <w:numPr>
          <w:numId w:val="0"/>
        </w:numPr>
        <w:ind w:firstLine="210" w:firstLineChars="100"/>
        <w:rPr>
          <w:rFonts w:hint="eastAsia"/>
          <w:lang w:val="en-US" w:eastAsia="zh-CN"/>
        </w:rPr>
      </w:pPr>
      <w:r>
        <w:rPr>
          <w:rFonts w:hint="eastAsia"/>
          <w:lang w:val="en-US" w:eastAsia="zh-CN"/>
        </w:rPr>
        <w:t>3、2019年维修（护）费1万元；2018年维修（护）费1万元；无增减变化。</w:t>
      </w:r>
    </w:p>
    <w:p>
      <w:pPr>
        <w:numPr>
          <w:numId w:val="0"/>
        </w:numPr>
        <w:ind w:firstLine="210" w:firstLineChars="100"/>
        <w:rPr>
          <w:rFonts w:hint="eastAsia"/>
          <w:lang w:val="en-US" w:eastAsia="zh-CN"/>
        </w:rPr>
      </w:pPr>
      <w:r>
        <w:rPr>
          <w:rFonts w:hint="eastAsia"/>
          <w:lang w:val="en-US" w:eastAsia="zh-CN"/>
        </w:rPr>
        <w:t>4、2019年公务接待费60万元；2018年公务接待费74万元；减少14万元，减幅为23.33%。主要是从贯彻落实中央八项规定精神出发，厉行节约，减少支出，故预算相应减少。</w:t>
      </w:r>
    </w:p>
    <w:p>
      <w:pPr>
        <w:numPr>
          <w:numId w:val="0"/>
        </w:numPr>
        <w:ind w:firstLine="210" w:firstLineChars="100"/>
        <w:rPr>
          <w:rFonts w:hint="eastAsia"/>
          <w:lang w:val="en-US" w:eastAsia="zh-CN"/>
        </w:rPr>
      </w:pPr>
      <w:r>
        <w:rPr>
          <w:rFonts w:hint="eastAsia"/>
          <w:lang w:val="en-US" w:eastAsia="zh-CN"/>
        </w:rPr>
        <w:t>5、2019年公务用车运行维护费2万元；2018年公务用车运行维护费0万元；增加2万元，主要原因是2018年的公务用车运行维护费未纳入年初预算，而是财政以单独下文的方式补助。</w:t>
      </w:r>
    </w:p>
    <w:p>
      <w:pPr>
        <w:numPr>
          <w:ilvl w:val="0"/>
          <w:numId w:val="3"/>
        </w:numPr>
        <w:rPr>
          <w:rFonts w:hint="eastAsia"/>
          <w:lang w:val="en-US" w:eastAsia="zh-CN"/>
        </w:rPr>
      </w:pPr>
      <w:r>
        <w:rPr>
          <w:rFonts w:hint="eastAsia"/>
          <w:lang w:val="en-US" w:eastAsia="zh-CN"/>
        </w:rPr>
        <w:t>预算绩效目标情况</w:t>
      </w:r>
    </w:p>
    <w:p>
      <w:pPr>
        <w:numPr>
          <w:numId w:val="0"/>
        </w:numPr>
        <w:rPr>
          <w:rFonts w:hint="eastAsia"/>
          <w:lang w:val="en-US" w:eastAsia="zh-CN"/>
        </w:rPr>
      </w:pPr>
      <w:r>
        <w:rPr>
          <w:rFonts w:hint="eastAsia"/>
          <w:lang w:val="en-US" w:eastAsia="zh-CN"/>
        </w:rPr>
        <w:t xml:space="preserve">  根据部门预算编制要求和文体广电旅游局的主要职能职责及重点工作任务要求，我局制定文体广电旅游局预算部门整体支出绩效目标。主要目标为：一、抓好文体活动。二、继续加大非物质文化遗产的传承和保护力度。三、完善公共文化设施。 四、实施惠民工程。五、加大文化市场监管力度。六、加大新闻宣传力度.七、继续抓好广电工作。八、加大对外交流。九、继续做好旅游工作。十、继续抓好项目工作。十一、继续抓好目标督查工作、综治维稳、安全生产、消防安全、行政审批、政务服务、禁毒防艾、森林防火、信访、普法工作、全民科学素质提升等工作。十二、继续抓好党风廉政和党建工作。</w:t>
      </w:r>
    </w:p>
    <w:p>
      <w:pPr>
        <w:numPr>
          <w:ilvl w:val="0"/>
          <w:numId w:val="5"/>
        </w:numPr>
        <w:rPr>
          <w:rFonts w:hint="eastAsia"/>
          <w:lang w:val="en-US" w:eastAsia="zh-CN"/>
        </w:rPr>
      </w:pPr>
      <w:r>
        <w:rPr>
          <w:rFonts w:hint="eastAsia"/>
          <w:lang w:val="en-US" w:eastAsia="zh-CN"/>
        </w:rPr>
        <w:t>产出指标——数量指标：争年内实现接待游客220万人次，实现旅游业社会总收入16.7亿元以上。完成州级下达的目标任务。</w:t>
      </w:r>
    </w:p>
    <w:p>
      <w:pPr>
        <w:numPr>
          <w:ilvl w:val="0"/>
          <w:numId w:val="5"/>
        </w:numPr>
        <w:rPr>
          <w:rFonts w:hint="eastAsia"/>
          <w:lang w:val="en-US" w:eastAsia="zh-CN"/>
        </w:rPr>
      </w:pPr>
      <w:r>
        <w:rPr>
          <w:rFonts w:hint="eastAsia"/>
          <w:lang w:val="en-US" w:eastAsia="zh-CN"/>
        </w:rPr>
        <w:t>效益指标——社会效益指标：</w:t>
      </w:r>
      <w:bookmarkStart w:id="0" w:name="_GoBack"/>
      <w:bookmarkEnd w:id="0"/>
      <w:r>
        <w:rPr>
          <w:rFonts w:hint="eastAsia"/>
          <w:lang w:val="en-US" w:eastAsia="zh-CN"/>
        </w:rPr>
        <w:t>通过加强文化体育基础设施建设，提升全县人民群众的文化素质。使文化体育基础设施人群覆盖率达到85%以上，演出活动收看率及宣传阵地占领率达到90%以上。</w:t>
      </w:r>
    </w:p>
    <w:p>
      <w:pPr>
        <w:numPr>
          <w:ilvl w:val="0"/>
          <w:numId w:val="5"/>
        </w:numPr>
        <w:rPr>
          <w:rFonts w:hint="eastAsia"/>
          <w:lang w:val="en-US" w:eastAsia="zh-CN"/>
        </w:rPr>
      </w:pPr>
      <w:r>
        <w:rPr>
          <w:rFonts w:hint="eastAsia"/>
          <w:lang w:val="en-US" w:eastAsia="zh-CN"/>
        </w:rPr>
        <w:t>满意度指标——服务对象满意度指标：加强“宽带乡村”，光纤入户建设，完善“村村通”“户户通”广播电视覆盖工程，使群众满意率达到98%以上。</w:t>
      </w:r>
    </w:p>
    <w:p>
      <w:pPr>
        <w:numPr>
          <w:numId w:val="0"/>
        </w:numPr>
        <w:rPr>
          <w:rFonts w:hint="eastAsia"/>
          <w:lang w:val="en-US" w:eastAsia="zh-CN"/>
        </w:rPr>
      </w:pP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（三）国有资产占用情况</w:t>
      </w:r>
    </w:p>
    <w:p>
      <w:pPr>
        <w:widowControl/>
        <w:ind w:firstLine="600" w:firstLineChars="200"/>
        <w:jc w:val="left"/>
        <w:rPr>
          <w:rFonts w:eastAsia="仿宋_GB2312"/>
          <w:kern w:val="0"/>
          <w:sz w:val="21"/>
          <w:szCs w:val="21"/>
        </w:rPr>
      </w:pPr>
      <w:r>
        <w:rPr>
          <w:rFonts w:hint="eastAsia" w:ascii="宋体" w:hAnsi="宋体" w:eastAsia="宋体" w:cs="宋体"/>
          <w:kern w:val="0"/>
          <w:sz w:val="21"/>
          <w:szCs w:val="21"/>
        </w:rPr>
        <w:t>鉴于截至2018年12月31日的国有资产占有使用情况需在完成2018年决算编制后才能统计汇总相关数据，因此，将在公开2018年度部门决算时一并公开部门截至2018年12月31日的国有资产占有使用情况。</w:t>
      </w:r>
    </w:p>
    <w:p>
      <w:pPr>
        <w:numPr>
          <w:numId w:val="0"/>
        </w:numPr>
        <w:rPr>
          <w:rFonts w:hint="eastAsia"/>
          <w:sz w:val="21"/>
          <w:szCs w:val="21"/>
          <w:lang w:val="en-US" w:eastAsia="zh-CN"/>
        </w:rPr>
      </w:pPr>
    </w:p>
    <w:p>
      <w:pPr>
        <w:numPr>
          <w:ilvl w:val="0"/>
          <w:numId w:val="3"/>
        </w:numPr>
        <w:rPr>
          <w:rFonts w:hint="eastAsia"/>
          <w:lang w:val="en-US" w:eastAsia="zh-CN"/>
        </w:rPr>
      </w:pPr>
      <w:r>
        <w:rPr>
          <w:rFonts w:hint="eastAsia"/>
          <w:lang w:val="en-US" w:eastAsia="zh-CN"/>
        </w:rPr>
        <w:t>其他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方正仿宋_GBK">
    <w:panose1 w:val="02000000000000000000"/>
    <w:charset w:val="86"/>
    <w:family w:val="auto"/>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F44BFA"/>
    <w:multiLevelType w:val="singleLevel"/>
    <w:tmpl w:val="5DF44BFA"/>
    <w:lvl w:ilvl="0" w:tentative="0">
      <w:start w:val="1"/>
      <w:numFmt w:val="chineseCounting"/>
      <w:suff w:val="nothing"/>
      <w:lvlText w:val="%1、"/>
      <w:lvlJc w:val="left"/>
    </w:lvl>
  </w:abstractNum>
  <w:abstractNum w:abstractNumId="1">
    <w:nsid w:val="5DF4591C"/>
    <w:multiLevelType w:val="singleLevel"/>
    <w:tmpl w:val="5DF4591C"/>
    <w:lvl w:ilvl="0" w:tentative="0">
      <w:start w:val="2"/>
      <w:numFmt w:val="decimal"/>
      <w:suff w:val="nothing"/>
      <w:lvlText w:val="%1、"/>
      <w:lvlJc w:val="left"/>
    </w:lvl>
  </w:abstractNum>
  <w:abstractNum w:abstractNumId="2">
    <w:nsid w:val="5DF479F2"/>
    <w:multiLevelType w:val="singleLevel"/>
    <w:tmpl w:val="5DF479F2"/>
    <w:lvl w:ilvl="0" w:tentative="0">
      <w:start w:val="2"/>
      <w:numFmt w:val="chineseCounting"/>
      <w:suff w:val="nothing"/>
      <w:lvlText w:val="%1、"/>
      <w:lvlJc w:val="left"/>
    </w:lvl>
  </w:abstractNum>
  <w:abstractNum w:abstractNumId="3">
    <w:nsid w:val="5DF48745"/>
    <w:multiLevelType w:val="singleLevel"/>
    <w:tmpl w:val="5DF48745"/>
    <w:lvl w:ilvl="0" w:tentative="0">
      <w:start w:val="2"/>
      <w:numFmt w:val="chineseCounting"/>
      <w:suff w:val="nothing"/>
      <w:lvlText w:val="（%1）"/>
      <w:lvlJc w:val="left"/>
    </w:lvl>
  </w:abstractNum>
  <w:abstractNum w:abstractNumId="4">
    <w:nsid w:val="5DF4C219"/>
    <w:multiLevelType w:val="singleLevel"/>
    <w:tmpl w:val="5DF4C219"/>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9563AA"/>
    <w:rsid w:val="209563AA"/>
    <w:rsid w:val="32FD5BCA"/>
    <w:rsid w:val="61D72BBB"/>
    <w:rsid w:val="644365ED"/>
    <w:rsid w:val="6B68343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迪庆州维西县党政机关单位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2019-12-14T02:38:00Z</dcterms:created>
  <dc:creator>Administrator</dc:creator>
  <cp:lastModifiedBy>Administrator</cp:lastModifiedBy>
  <dcterms:modified xsi:type="dcterms:W3CDTF">2019-12-14T11:10:14Z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