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eastAsia="zh-CN"/>
        </w:rPr>
      </w:pPr>
      <w:bookmarkStart w:id="0" w:name="_GoBack"/>
      <w:bookmarkEnd w:id="0"/>
      <w:r>
        <w:rPr>
          <w:rFonts w:hint="eastAsia"/>
          <w:b/>
          <w:bCs/>
          <w:sz w:val="32"/>
          <w:szCs w:val="32"/>
          <w:lang w:eastAsia="zh-CN"/>
        </w:rPr>
        <w:t>“双随机、一公开”检查事项清单</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25"/>
        <w:gridCol w:w="2489"/>
        <w:gridCol w:w="1126"/>
        <w:gridCol w:w="2340"/>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center"/>
              <w:rPr>
                <w:rFonts w:hint="eastAsia"/>
                <w:b/>
                <w:bCs/>
                <w:sz w:val="21"/>
                <w:szCs w:val="21"/>
                <w:vertAlign w:val="baseline"/>
                <w:lang w:eastAsia="zh-CN"/>
              </w:rPr>
            </w:pPr>
            <w:r>
              <w:rPr>
                <w:rFonts w:hint="eastAsia"/>
                <w:b/>
                <w:bCs/>
                <w:sz w:val="21"/>
                <w:szCs w:val="21"/>
                <w:vertAlign w:val="baseline"/>
                <w:lang w:eastAsia="zh-CN"/>
              </w:rPr>
              <w:t>序号</w:t>
            </w:r>
          </w:p>
        </w:tc>
        <w:tc>
          <w:tcPr>
            <w:tcW w:w="1125" w:type="dxa"/>
          </w:tcPr>
          <w:p>
            <w:pPr>
              <w:jc w:val="center"/>
              <w:rPr>
                <w:rFonts w:hint="eastAsia"/>
                <w:b/>
                <w:bCs/>
                <w:sz w:val="21"/>
                <w:szCs w:val="21"/>
                <w:vertAlign w:val="baseline"/>
                <w:lang w:eastAsia="zh-CN"/>
              </w:rPr>
            </w:pPr>
            <w:r>
              <w:rPr>
                <w:rFonts w:hint="eastAsia"/>
                <w:b/>
                <w:bCs/>
                <w:sz w:val="21"/>
                <w:szCs w:val="21"/>
                <w:vertAlign w:val="baseline"/>
                <w:lang w:eastAsia="zh-CN"/>
              </w:rPr>
              <w:t>检查事项</w:t>
            </w:r>
          </w:p>
        </w:tc>
        <w:tc>
          <w:tcPr>
            <w:tcW w:w="2489" w:type="dxa"/>
          </w:tcPr>
          <w:p>
            <w:pPr>
              <w:jc w:val="center"/>
              <w:rPr>
                <w:rFonts w:hint="eastAsia"/>
                <w:b/>
                <w:bCs/>
                <w:sz w:val="21"/>
                <w:szCs w:val="21"/>
                <w:vertAlign w:val="baseline"/>
                <w:lang w:eastAsia="zh-CN"/>
              </w:rPr>
            </w:pPr>
            <w:r>
              <w:rPr>
                <w:rFonts w:hint="eastAsia"/>
                <w:b/>
                <w:bCs/>
                <w:sz w:val="21"/>
                <w:szCs w:val="21"/>
                <w:vertAlign w:val="baseline"/>
                <w:lang w:eastAsia="zh-CN"/>
              </w:rPr>
              <w:t>检查内容</w:t>
            </w:r>
          </w:p>
        </w:tc>
        <w:tc>
          <w:tcPr>
            <w:tcW w:w="1126" w:type="dxa"/>
          </w:tcPr>
          <w:p>
            <w:pPr>
              <w:jc w:val="center"/>
              <w:rPr>
                <w:rFonts w:hint="eastAsia"/>
                <w:b/>
                <w:bCs/>
                <w:sz w:val="21"/>
                <w:szCs w:val="21"/>
                <w:vertAlign w:val="baseline"/>
                <w:lang w:eastAsia="zh-CN"/>
              </w:rPr>
            </w:pPr>
            <w:r>
              <w:rPr>
                <w:rFonts w:hint="eastAsia"/>
                <w:b/>
                <w:bCs/>
                <w:sz w:val="21"/>
                <w:szCs w:val="21"/>
                <w:vertAlign w:val="baseline"/>
                <w:lang w:eastAsia="zh-CN"/>
              </w:rPr>
              <w:t>检查方式</w:t>
            </w:r>
          </w:p>
        </w:tc>
        <w:tc>
          <w:tcPr>
            <w:tcW w:w="2340" w:type="dxa"/>
          </w:tcPr>
          <w:p>
            <w:pPr>
              <w:jc w:val="center"/>
              <w:rPr>
                <w:rFonts w:hint="eastAsia"/>
                <w:b/>
                <w:bCs/>
                <w:sz w:val="21"/>
                <w:szCs w:val="21"/>
                <w:vertAlign w:val="baseline"/>
                <w:lang w:eastAsia="zh-CN"/>
              </w:rPr>
            </w:pPr>
            <w:r>
              <w:rPr>
                <w:rFonts w:hint="eastAsia"/>
                <w:b/>
                <w:bCs/>
                <w:sz w:val="21"/>
                <w:szCs w:val="21"/>
                <w:vertAlign w:val="baseline"/>
                <w:lang w:eastAsia="zh-CN"/>
              </w:rPr>
              <w:t>检查依据</w:t>
            </w:r>
          </w:p>
        </w:tc>
        <w:tc>
          <w:tcPr>
            <w:tcW w:w="796" w:type="dxa"/>
          </w:tcPr>
          <w:p>
            <w:pPr>
              <w:jc w:val="center"/>
              <w:rPr>
                <w:rFonts w:hint="eastAsia"/>
                <w:b/>
                <w:bCs/>
                <w:sz w:val="21"/>
                <w:szCs w:val="21"/>
                <w:vertAlign w:val="baseline"/>
                <w:lang w:eastAsia="zh-CN"/>
              </w:rPr>
            </w:pPr>
            <w:r>
              <w:rPr>
                <w:rFonts w:hint="eastAsia"/>
                <w:b/>
                <w:bCs/>
                <w:sz w:val="21"/>
                <w:szCs w:val="21"/>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1</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涂改、出租、出借或者以其他方式转让《网络文化经营许可证》，尚不构成刑事处罚的</w:t>
            </w:r>
          </w:p>
        </w:tc>
        <w:tc>
          <w:tcPr>
            <w:tcW w:w="1126" w:type="dxa"/>
            <w:shd w:val="clear" w:color="auto" w:fill="auto"/>
            <w:vAlign w:val="center"/>
          </w:tcPr>
          <w:p>
            <w:pPr>
              <w:widowControl/>
              <w:spacing w:line="240" w:lineRule="exact"/>
              <w:jc w:val="left"/>
              <w:rPr>
                <w:rFonts w:hint="eastAsia" w:eastAsiaTheme="minor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《互联网上网服务营业场所管理条例》第二十九条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2</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互联网上网服务营业场所经营单位利用营业场所制作、下载、复制、查阅、发布、传播或者以其他方式使用含有本条例第十四条规定禁止含有的内容的信息</w:t>
            </w:r>
          </w:p>
        </w:tc>
        <w:tc>
          <w:tcPr>
            <w:tcW w:w="1126" w:type="dxa"/>
            <w:shd w:val="clear" w:color="auto" w:fill="auto"/>
            <w:vAlign w:val="center"/>
          </w:tcPr>
          <w:p>
            <w:pPr>
              <w:widowControl/>
              <w:spacing w:line="240" w:lineRule="exact"/>
              <w:jc w:val="left"/>
              <w:rPr>
                <w:rFonts w:hint="eastAsia" w:eastAsiaTheme="minor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《互联网上网服务营业场所管理条例》第三十条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3</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在规定的营业时间以外营业</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《互联网上网服务营业场所管理条例》第三十一条第一款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4</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接纳未成年人进入营业场所</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《互联网上网服务营业场所管理条例》第三十一条第二款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5</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经营非网络游戏</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《互联网上网服务营业场所管理条例》第三十一条第三款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6</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擅自停止实施经营管理技术措施</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《互联网上网服务营业场所管理条例》第三十一条第四款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7</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未悬挂《网络文化经营许可证》</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《互联网上网服务营业场所管理条例》第三十一条第五款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8</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未悬挂未成年人禁入标志</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《互联网上网服务营业场所管理条例》第三十一条第五款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9</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向上网消费者提供的计算机未通过局域网的方式接入互联网</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《互联网上网服务营业场所管理条例》第三十二条第一款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10</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未建立场内巡查制度，或者发现上网消费者的违法行为未予制止并向文化行政部门、公安机关举报</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《互联网上网服务营业场所管理条例》第三十二条第二款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11</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未按规定核对、登记上网消费者的有效身份证件或者记录有关上网信息</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《互联网上网服务营业场所管理条例》第三十二条第三款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12</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未按规定时间保存登记内容、记录备份，或者在保存期内修改、删除登记内容、记录备份</w:t>
            </w:r>
          </w:p>
        </w:tc>
        <w:tc>
          <w:tcPr>
            <w:tcW w:w="1126" w:type="dxa"/>
            <w:shd w:val="clear" w:color="auto" w:fill="auto"/>
            <w:vAlign w:val="center"/>
          </w:tcPr>
          <w:p>
            <w:pPr>
              <w:widowControl/>
              <w:spacing w:line="240" w:lineRule="exact"/>
              <w:jc w:val="left"/>
              <w:rPr>
                <w:rFonts w:hint="eastAsia" w:eastAsiaTheme="minor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《互联网上网服务营业场所管理条例》第三十二条第四款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13</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违反《互联网上网服务营业场所管理条例》第二十四条规定，情节严重的</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《互联网上网服务营业场所管理条例》第三十三条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14</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歌舞娱乐场所的歌曲点播系统与境外的曲库联接</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《娱乐场所管理条例》第四十八条第一款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15</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舞娱乐场所播放的曲目、屏幕画面含有本条例第十三条禁止内容</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《娱乐场所管理条例》第四十八条第二款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16</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游艺娱乐场所电子游戏机内的游戏项目含有本条例第十三条禁止内容</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《娱乐场所管理条例》第四十八条第二款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17</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歌舞娱乐场所接纳未成年人</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《娱乐场所管理条例》第四十八条第三款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18</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游艺娱乐场所设置的电子游戏机在国家法定节假日外向未成年人提供</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《娱乐场所管理条例》第四十八条第四款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19</w:t>
            </w:r>
          </w:p>
        </w:tc>
        <w:tc>
          <w:tcPr>
            <w:tcW w:w="1125" w:type="dxa"/>
          </w:tcPr>
          <w:p>
            <w:pPr>
              <w:jc w:val="both"/>
              <w:rPr>
                <w:rFonts w:hint="eastAsia"/>
                <w:b w:val="0"/>
                <w:bCs w:val="0"/>
                <w:sz w:val="21"/>
                <w:szCs w:val="21"/>
                <w:vertAlign w:val="baseline"/>
                <w:lang w:eastAsia="zh-CN"/>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娱乐场所容纳的消费者超过核定人数</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《娱乐场所管理条例》第四十八条第五款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20</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变更有关事项，未按照《娱乐场所管理条例》规定申请重新核发娱乐经营许可证</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《娱乐场所管理条例》第四十九条第一款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21</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在《娱乐场所管理条例》规定的禁止营业时间内营业</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《娱乐场所管理条例》第四十九条第二款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22</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从业人员在营业期间未统一着装并佩带工作标志</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《娱乐场所管理条例》第四十九条第三款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23</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娱乐场所未按照《娱乐场所管理条例》规定建立从业人员名簿</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《娱乐场所管理条例》第五十条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24</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娱乐场所未按照《娱乐场所管理条例》规定建立从业日志</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《娱乐场所管理条例》第五十条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25</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发现违法犯罪行为未按照《娱乐场所管理条例》规定报告</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《娱乐场所管理条例》第五十条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26</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娱乐场所未按照《娱乐场所管理条例》规定悬挂警示标志、未成年人禁入或者限入标志</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《娱乐场所管理条例》第五十一条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27</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娱乐场所及其从业人员实施条例第十四条所列行为，或者为进入娱乐场所的人员实施上述行为提供条件</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《娱乐场所管理条例》第四十三条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28</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娱乐场所指使、纵容从业人员侵犯消费者人身权利的，造成严重后果的</w:t>
            </w:r>
          </w:p>
        </w:tc>
        <w:tc>
          <w:tcPr>
            <w:tcW w:w="1126" w:type="dxa"/>
            <w:shd w:val="clear" w:color="auto" w:fill="auto"/>
            <w:vAlign w:val="center"/>
          </w:tcPr>
          <w:p>
            <w:pPr>
              <w:widowControl/>
              <w:spacing w:line="240" w:lineRule="exact"/>
              <w:jc w:val="left"/>
              <w:rPr>
                <w:rFonts w:hint="eastAsia" w:eastAsiaTheme="minor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《娱乐场所管理条例》第四十六条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4" w:hRule="atLeast"/>
        </w:trPr>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29</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擅自变更场所使用的歌曲点播系统</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《娱乐场所管理条例》第四十九条第一款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30</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设置未经文化主管部门内容核查的游戏游艺设备</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《娱乐场所管理办法》第三十条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31</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进行有奖经营活动的，奖品目录未报所在地县级文化主管部门备案</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《娱乐场所管理办法》第第三十条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32</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擅自变更游戏游艺设备</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《娱乐场所管理办法》第三十条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33</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未实行游戏、游艺分区经营，或者设有明显的分区标志</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《娱乐场所管理办法》第三十条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34</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娱乐场所为未经文化主管部门批准的营业性演出活动提供场地</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《娱乐场所管理办法》第三十一条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35</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违法违规行为未及时采取措施制止并依法报告</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《娱乐场所管理办法》第三十二条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36</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娱乐场所未在显著位置悬挂娱乐经营许可证、未成年人禁入或者限入标志，或者未注明“12318”文化市场举报电话</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《娱乐场所管理办法》第三十三条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37</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娱乐场所不配合文化主管部门的日常检查和技术监管措施</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《娱乐场所管理办法》第三十四条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38</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娱乐场所检查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除国家法定节假日外接纳未成年人进入游戏区</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《娱乐场所管理办法》第三十条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39</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艺术品经营检查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经营含有《艺术品经营管理办法》第六条禁止内容</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《艺术品经营管理办法》第二十条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40</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艺术品经营检查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经营《艺术品经营管理办法》第七条禁止经营的艺术品</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《艺术品经营管理办法》第二十条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41</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艺术品经营检查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向消费者隐瞒艺术品来源，或者在艺术品说明中隐瞒重要事项，误导消费者</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《艺术品经营管理办法》第二十一条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42</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艺术品经营检查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伪造、变造艺术品来源证明、艺术品签定评估文件以及其他交易凭证</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《艺术品经营管理办法》第二十一条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43</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艺术品经营检查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以非法集资为目的或者以非法传销为手段进行经营</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《艺术品经营管理办法》第二十一条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44</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艺术品经营检查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未经批准，将艺术品权益拆分为均等份额公开发行，以集中竟价、做市商等集中交易方式进行交易</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《艺术品经营管理办法》第二十一条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45</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艺术品经营检查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未标明所经营的艺术品作者、年代、尺寸、材料、保存状况和销售价格等信息</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《艺术品经营管理办法》第二十二条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46</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艺术品经营检查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未按规定期限保留交易有关的原始凭证、销售合同、台账、账簿等销售记录</w:t>
            </w:r>
          </w:p>
        </w:tc>
        <w:tc>
          <w:tcPr>
            <w:tcW w:w="1126" w:type="dxa"/>
            <w:shd w:val="clear" w:color="auto" w:fill="auto"/>
            <w:vAlign w:val="center"/>
          </w:tcPr>
          <w:p>
            <w:pPr>
              <w:widowControl/>
              <w:spacing w:line="240" w:lineRule="exact"/>
              <w:jc w:val="left"/>
              <w:rPr>
                <w:rFonts w:hint="eastAsia" w:eastAsiaTheme="minor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《艺术品经营管理办法》第二十二条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47</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艺术品经营检查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艺术品经营单位从事艺术品鉴定、评估等服务未与委托人签订书面协议，或者签订了协议，但协议未约定鉴定、评估的事项，鉴定、评估的结论适用范围以及被委托人应当承担的责任</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b w:val="0"/>
                <w:bCs w:val="0"/>
                <w:sz w:val="21"/>
                <w:szCs w:val="21"/>
                <w:vertAlign w:val="baseline"/>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《艺术品经营管理办法》第二十二条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48</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艺术品经营检查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艺术品经营单位从事艺术品鉴定、评估等服务未明示艺术品鉴定、评估程序或者需要告知、提示委托人的事项</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《艺术品经营管理办法》第二十二条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49</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艺术品经营检查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单位从事艺术品鉴定、评估等服务未书面出具鉴定、评估结论，或者出具了鉴定、评估结论，但鉴定、评估结论不包括对委托艺术品的全面客观说明，鉴定、评估的程序，做出鉴定、评估结论的证据，鉴定、评估结论的责任说明，并对鉴定、评估结论的真实性负责</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《艺术品经营管理办法》第二十二条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50</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艺术品经营检查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艺术品经营单位从事艺术品鉴定、评估等服务保留书面鉴定、评估结论副本及鉴定、评估人签字等档案少于5年</w:t>
            </w:r>
          </w:p>
        </w:tc>
        <w:tc>
          <w:tcPr>
            <w:tcW w:w="1126" w:type="dxa"/>
            <w:shd w:val="clear" w:color="auto" w:fill="auto"/>
            <w:vAlign w:val="center"/>
          </w:tcPr>
          <w:p>
            <w:pPr>
              <w:widowControl/>
              <w:spacing w:line="240" w:lineRule="exact"/>
              <w:jc w:val="left"/>
              <w:rPr>
                <w:rFonts w:hint="eastAsia" w:eastAsiaTheme="minor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《艺术品经营管理办法》第二十二条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51</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艺术品经营检查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从境外进口或者向境外出口艺术品，未技照《艺术品经营管理办法》第十四条规定办理相关手续</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《艺术品经营管理办法》第二十三条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52</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艺术品经营检查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销售或者利用其他商业形式传播未经文化行政部门批准进口的艺术品</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《艺术品经营管理办法》第二十三条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53</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互联网文化单位检查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非经营性互联网文化单位逾期未办理备案手续的</w:t>
            </w:r>
          </w:p>
        </w:tc>
        <w:tc>
          <w:tcPr>
            <w:tcW w:w="1126" w:type="dxa"/>
            <w:shd w:val="clear" w:color="auto" w:fill="auto"/>
            <w:vAlign w:val="center"/>
          </w:tcPr>
          <w:p>
            <w:pPr>
              <w:widowControl/>
              <w:spacing w:line="240" w:lineRule="exac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r>
              <w:rPr>
                <w:rFonts w:hint="eastAsia" w:cs="宋体" w:asciiTheme="minorEastAsia" w:hAnsiTheme="minorEastAsia"/>
                <w:kern w:val="0"/>
                <w:sz w:val="20"/>
                <w:szCs w:val="20"/>
              </w:rPr>
              <w:t>、网络检查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《互联网文化管理暂行规定》第二十二条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54</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互联网文化单位检查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经营性互联网文化单位未在其网站主页的显著位置标明《网络文化经营许可证》编号</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r>
              <w:rPr>
                <w:rFonts w:hint="eastAsia" w:cs="宋体" w:asciiTheme="minorEastAsia" w:hAnsiTheme="minorEastAsia"/>
                <w:kern w:val="0"/>
                <w:sz w:val="20"/>
                <w:szCs w:val="20"/>
              </w:rPr>
              <w:t>、网络检查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《互联网文化管理暂行规定》第二十三条第一款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55</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互联网文化单位检查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非经营性互联网文化单位未在其网站主页的显著位置标明《网络文化经营许可证》备案编号</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r>
              <w:rPr>
                <w:rFonts w:hint="eastAsia" w:cs="宋体" w:asciiTheme="minorEastAsia" w:hAnsiTheme="minorEastAsia"/>
                <w:kern w:val="0"/>
                <w:sz w:val="20"/>
                <w:szCs w:val="20"/>
              </w:rPr>
              <w:t>、网络检查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《互联网文化管理暂行规定》第二十三条第二款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56</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互联网文化单位检查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经营性互联网文化单位变更有关信息未办理变更手续</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r>
              <w:rPr>
                <w:rFonts w:hint="eastAsia" w:cs="宋体" w:asciiTheme="minorEastAsia" w:hAnsiTheme="minorEastAsia"/>
                <w:kern w:val="0"/>
                <w:sz w:val="20"/>
                <w:szCs w:val="20"/>
              </w:rPr>
              <w:t>、网络检查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《互联网文化管理暂行规定》第二十四条第一款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57</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互联网文化单位检查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非经营性互联网文化单位变更有关信息未办理备案手续</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r>
              <w:rPr>
                <w:rFonts w:hint="eastAsia" w:cs="宋体" w:asciiTheme="minorEastAsia" w:hAnsiTheme="minorEastAsia"/>
                <w:kern w:val="0"/>
                <w:sz w:val="20"/>
                <w:szCs w:val="20"/>
              </w:rPr>
              <w:t>、网络检查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《互联网文化管理暂行规定》第二十四条第二款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58</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互联网文化单位检查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经营性互联网文化单位经营进ロ互联网文化产品未在其显著位置标明文化部批准文号</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r>
              <w:rPr>
                <w:rFonts w:hint="eastAsia" w:cs="宋体" w:asciiTheme="minorEastAsia" w:hAnsiTheme="minorEastAsia"/>
                <w:kern w:val="0"/>
                <w:sz w:val="20"/>
                <w:szCs w:val="20"/>
              </w:rPr>
              <w:t>、网络检查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《互联网文化管理暂行规定》第二十五条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59</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互联网文化单位检查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经营性互联网文化单位经营国产互联网文化产品未在其显著位置标明文化部备案蝙号的</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r>
              <w:rPr>
                <w:rFonts w:hint="eastAsia" w:cs="宋体" w:asciiTheme="minorEastAsia" w:hAnsiTheme="minorEastAsia"/>
                <w:kern w:val="0"/>
                <w:sz w:val="20"/>
                <w:szCs w:val="20"/>
              </w:rPr>
              <w:t>、网络检查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《互联网文化管理暂行规定》第二十五条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60</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互联网文化单位检查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经营性互联网文化单位擅自变更进口互联网文化产品的名称或者增删内容的</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r>
              <w:rPr>
                <w:rFonts w:hint="eastAsia" w:cs="宋体" w:asciiTheme="minorEastAsia" w:hAnsiTheme="minorEastAsia"/>
                <w:kern w:val="0"/>
                <w:sz w:val="20"/>
                <w:szCs w:val="20"/>
              </w:rPr>
              <w:t>、网络检查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《互联网文化管理暂行规定》第二十六条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61</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互联网文化单位检查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经营性互联网文化单位经营国产互联网文化产品逾期未报文化行政部门备案的</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r>
              <w:rPr>
                <w:rFonts w:hint="eastAsia" w:cs="宋体" w:asciiTheme="minorEastAsia" w:hAnsiTheme="minorEastAsia"/>
                <w:kern w:val="0"/>
                <w:sz w:val="20"/>
                <w:szCs w:val="20"/>
              </w:rPr>
              <w:t>、网络检查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《互联网文化管理暂行规定》第二十七条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62</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互联网文化单位检查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经营性互联网文化单位提供含有禁止内容的互联网文化产品</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实地检查、网络检查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《互联网文化管理暂行规定》第二十八条第一款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63</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互联网文化单位检查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经营性互联网文化单位提供未经文化部批准进口的互联网文化产品的</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r>
              <w:rPr>
                <w:rFonts w:hint="eastAsia" w:cs="宋体" w:asciiTheme="minorEastAsia" w:hAnsiTheme="minorEastAsia"/>
                <w:kern w:val="0"/>
                <w:sz w:val="20"/>
                <w:szCs w:val="20"/>
              </w:rPr>
              <w:t>、网络检查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《互联网文化管理暂行规定》第二十八条第二款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64</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经营场所</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《旅游法》第二十八条、第八十三条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65</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营业设施</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《旅游法》第二十八条、第八十三条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66</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注册资本</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《旅游法》第二十八条、第八十三条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67</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质量保证金</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《旅游法》第二十八条、第八十三条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68</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旅行社是否取得经营许可</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《旅游法》第八十五条；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《云南省旅游条例》第四十一条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69</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旅行社是否安排取得导游证或领队证的人员提供导游或领队服务。</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《旅游法》第八十五条；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《云南省旅游条例》第四十一条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70</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旅行社是否超范围经营和出租、出借、转让经营许可</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《旅游法》第八十三条、《旅行社条例》第四十四条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71</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旅行社分支机构是否按规定备案</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《旅游法》第八十三条；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《旅行社条例》第四十四条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72</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旅行社是否按规定悬挂许可证、备案证明</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《旅游法》第八十三条；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《旅行社条例》第四十四条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73</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有无出现不合理低价、虚假宣传、价格欺诈等损害消费者合法权益的行为</w:t>
            </w:r>
          </w:p>
        </w:tc>
        <w:tc>
          <w:tcPr>
            <w:tcW w:w="1126" w:type="dxa"/>
            <w:shd w:val="clear" w:color="auto" w:fill="auto"/>
            <w:vAlign w:val="center"/>
          </w:tcPr>
          <w:p>
            <w:pPr>
              <w:widowControl/>
              <w:spacing w:line="240" w:lineRule="exact"/>
              <w:jc w:val="left"/>
              <w:rPr>
                <w:rFonts w:hint="eastAsia" w:eastAsiaTheme="minor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《旅游法》第八十五条；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《旅行社条例》第四十四条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74</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是否按规定投保旅行社责任保险</w:t>
            </w:r>
          </w:p>
        </w:tc>
        <w:tc>
          <w:tcPr>
            <w:tcW w:w="1126" w:type="dxa"/>
            <w:shd w:val="clear" w:color="auto" w:fill="auto"/>
            <w:vAlign w:val="center"/>
          </w:tcPr>
          <w:p>
            <w:pPr>
              <w:widowControl/>
              <w:spacing w:line="240" w:lineRule="exact"/>
              <w:jc w:val="left"/>
              <w:rPr>
                <w:rFonts w:hint="eastAsia" w:eastAsiaTheme="minor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《旅游法》第八十五条；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《旅行社条例》第四十四条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75</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是否安排违法或违反社会公德的活动。</w:t>
            </w:r>
          </w:p>
        </w:tc>
        <w:tc>
          <w:tcPr>
            <w:tcW w:w="1126" w:type="dxa"/>
            <w:shd w:val="clear" w:color="auto" w:fill="auto"/>
            <w:vAlign w:val="center"/>
          </w:tcPr>
          <w:p>
            <w:pPr>
              <w:widowControl/>
              <w:spacing w:line="240" w:lineRule="exact"/>
              <w:jc w:val="left"/>
              <w:rPr>
                <w:rFonts w:hint="eastAsia" w:eastAsiaTheme="minor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《旅游法》第八十五条；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《旅行社条例》第四十四条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76</w:t>
            </w:r>
          </w:p>
        </w:tc>
        <w:tc>
          <w:tcPr>
            <w:tcW w:w="1125" w:type="dxa"/>
            <w:shd w:val="clear" w:color="auto" w:fill="auto"/>
            <w:vAlign w:val="center"/>
          </w:tcPr>
          <w:p>
            <w:pPr>
              <w:widowControl/>
              <w:spacing w:line="240" w:lineRule="exact"/>
              <w:jc w:val="left"/>
              <w:rPr>
                <w:rFonts w:hint="eastAsia" w:cs="宋体" w:asciiTheme="minorEastAsia" w:hAnsiTheme="minorEastAsia"/>
                <w:kern w:val="0"/>
                <w:sz w:val="20"/>
                <w:szCs w:val="20"/>
              </w:rPr>
            </w:pPr>
            <w:r>
              <w:rPr>
                <w:rFonts w:hint="eastAsia" w:cs="宋体" w:asciiTheme="minorEastAsia" w:hAnsiTheme="minorEastAsia"/>
                <w:kern w:val="0"/>
                <w:sz w:val="20"/>
                <w:szCs w:val="20"/>
              </w:rPr>
              <w:t>导游和领队的检查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导游、领队是否私自承揽业务。</w:t>
            </w:r>
          </w:p>
        </w:tc>
        <w:tc>
          <w:tcPr>
            <w:tcW w:w="1126" w:type="dxa"/>
            <w:shd w:val="clear" w:color="auto" w:fill="auto"/>
            <w:vAlign w:val="center"/>
          </w:tcPr>
          <w:p>
            <w:pPr>
              <w:widowControl/>
              <w:spacing w:line="240" w:lineRule="exact"/>
              <w:jc w:val="left"/>
              <w:rPr>
                <w:rFonts w:hint="eastAsia" w:eastAsiaTheme="minorEastAsia"/>
                <w:b w:val="0"/>
                <w:bCs w:val="0"/>
                <w:sz w:val="21"/>
                <w:szCs w:val="21"/>
                <w:vertAlign w:val="baseline"/>
                <w:lang w:eastAsia="zh-CN"/>
              </w:rPr>
            </w:pPr>
            <w:r>
              <w:rPr>
                <w:rFonts w:hint="eastAsia" w:cs="宋体" w:asciiTheme="minorEastAsia" w:hAnsiTheme="minorEastAsia"/>
                <w:kern w:val="0"/>
                <w:sz w:val="20"/>
                <w:szCs w:val="20"/>
                <w:lang w:eastAsia="zh-CN"/>
              </w:rPr>
              <w:t>随机抽查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《旅游法》第八十五条；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《云南省旅游条例》第二十八条第一款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77</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导游和领队的检查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导游、领队是否向旅游者兜售物品或者购买旅游者的物品</w:t>
            </w:r>
          </w:p>
        </w:tc>
        <w:tc>
          <w:tcPr>
            <w:tcW w:w="1126" w:type="dxa"/>
            <w:shd w:val="clear" w:color="auto" w:fill="auto"/>
            <w:vAlign w:val="center"/>
          </w:tcPr>
          <w:p>
            <w:pPr>
              <w:widowControl/>
              <w:spacing w:line="240" w:lineRule="exact"/>
              <w:jc w:val="left"/>
              <w:rPr>
                <w:rFonts w:hint="eastAsia" w:eastAsiaTheme="minor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《旅游法》第八十五条；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《云南省旅游条例》第二十八条第一款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78</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导游和领队的检查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导游是否按规定携带相关证件、佩戴等级评定标志</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《旅游法》第八十五条；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《云南省旅游条例》第二十八条第一款</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79</w:t>
            </w:r>
          </w:p>
        </w:tc>
        <w:tc>
          <w:tcPr>
            <w:tcW w:w="1125" w:type="dxa"/>
            <w:shd w:val="clear" w:color="auto" w:fill="auto"/>
            <w:vAlign w:val="center"/>
          </w:tcPr>
          <w:p>
            <w:pPr>
              <w:widowControl/>
              <w:spacing w:line="240" w:lineRule="exact"/>
              <w:jc w:val="left"/>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旅行社是否依法与旅游者签订旅游合同</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《旅游法》第八十五条；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《旅行社条例》第四十四条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80</w:t>
            </w:r>
          </w:p>
        </w:tc>
        <w:tc>
          <w:tcPr>
            <w:tcW w:w="1125" w:type="dxa"/>
            <w:shd w:val="clear" w:color="auto" w:fill="auto"/>
            <w:vAlign w:val="center"/>
          </w:tcPr>
          <w:p>
            <w:pPr>
              <w:widowControl/>
              <w:spacing w:line="240" w:lineRule="exact"/>
              <w:jc w:val="left"/>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是否提供与合同内容相符的旅游服务</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《旅游法》第八十五条；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《旅行社条例》第四十四条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81</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旅行社是否按规定安排导游或领队</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《旅游法》第八十三条；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九十七条《云南省旅游条例》第二十六条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82</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旅行社是否向合格的供应商订购产品和服务</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《旅游法》第八十三条；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九十七条《云南省旅游条例》第二十六条</w:t>
            </w:r>
          </w:p>
        </w:tc>
        <w:tc>
          <w:tcPr>
            <w:tcW w:w="796" w:type="dxa"/>
          </w:tcPr>
          <w:p>
            <w:pPr>
              <w:jc w:val="both"/>
              <w:rPr>
                <w:rFonts w:hint="eastAsia"/>
                <w:b w:val="0"/>
                <w:bCs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6" w:type="dxa"/>
          </w:tcPr>
          <w:p>
            <w:p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83</w:t>
            </w:r>
          </w:p>
        </w:tc>
        <w:tc>
          <w:tcPr>
            <w:tcW w:w="1125" w:type="dxa"/>
          </w:tcPr>
          <w:p>
            <w:pPr>
              <w:jc w:val="both"/>
              <w:rPr>
                <w:rFonts w:hint="eastAsia" w:cs="宋体" w:asciiTheme="minorEastAsia" w:hAnsiTheme="minorEastAsia"/>
                <w:kern w:val="0"/>
                <w:sz w:val="20"/>
                <w:szCs w:val="20"/>
              </w:rPr>
            </w:pPr>
            <w:r>
              <w:rPr>
                <w:rFonts w:hint="eastAsia" w:cs="宋体" w:asciiTheme="minorEastAsia" w:hAnsiTheme="minorEastAsia"/>
                <w:kern w:val="0"/>
                <w:sz w:val="20"/>
                <w:szCs w:val="20"/>
              </w:rPr>
              <w:t>旅行社检查</w:t>
            </w:r>
          </w:p>
        </w:tc>
        <w:tc>
          <w:tcPr>
            <w:tcW w:w="2489"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接待旅游团队的旅游经营者及其从业人员是否经等级认定或评定</w:t>
            </w:r>
          </w:p>
        </w:tc>
        <w:tc>
          <w:tcPr>
            <w:tcW w:w="1126" w:type="dxa"/>
            <w:shd w:val="clear" w:color="auto" w:fill="auto"/>
            <w:vAlign w:val="center"/>
          </w:tcPr>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lang w:eastAsia="zh-CN"/>
              </w:rPr>
              <w:t>普遍检查</w:t>
            </w:r>
          </w:p>
        </w:tc>
        <w:tc>
          <w:tcPr>
            <w:tcW w:w="2340" w:type="dxa"/>
            <w:shd w:val="clear" w:color="auto" w:fill="auto"/>
            <w:vAlign w:val="center"/>
          </w:tcPr>
          <w:p>
            <w:pPr>
              <w:widowControl/>
              <w:spacing w:line="240" w:lineRule="exact"/>
              <w:jc w:val="left"/>
              <w:rPr>
                <w:rFonts w:cs="宋体" w:asciiTheme="minorEastAsia" w:hAnsiTheme="minorEastAsia"/>
                <w:kern w:val="0"/>
                <w:sz w:val="20"/>
                <w:szCs w:val="20"/>
              </w:rPr>
            </w:pPr>
            <w:r>
              <w:rPr>
                <w:rFonts w:hint="eastAsia" w:cs="宋体" w:asciiTheme="minorEastAsia" w:hAnsiTheme="minorEastAsia"/>
                <w:kern w:val="0"/>
                <w:sz w:val="20"/>
                <w:szCs w:val="20"/>
              </w:rPr>
              <w:t>《旅游法》第八十三条；</w:t>
            </w:r>
          </w:p>
          <w:p>
            <w:pPr>
              <w:widowControl/>
              <w:spacing w:line="240" w:lineRule="exact"/>
              <w:jc w:val="left"/>
              <w:rPr>
                <w:rFonts w:hint="eastAsia"/>
                <w:b w:val="0"/>
                <w:bCs w:val="0"/>
                <w:sz w:val="21"/>
                <w:szCs w:val="21"/>
                <w:vertAlign w:val="baseline"/>
                <w:lang w:eastAsia="zh-CN"/>
              </w:rPr>
            </w:pPr>
            <w:r>
              <w:rPr>
                <w:rFonts w:hint="eastAsia" w:cs="宋体" w:asciiTheme="minorEastAsia" w:hAnsiTheme="minorEastAsia"/>
                <w:kern w:val="0"/>
                <w:sz w:val="20"/>
                <w:szCs w:val="20"/>
              </w:rPr>
              <w:t>九十七条《云南省旅游条例》第二十六条</w:t>
            </w:r>
          </w:p>
        </w:tc>
        <w:tc>
          <w:tcPr>
            <w:tcW w:w="796" w:type="dxa"/>
          </w:tcPr>
          <w:p>
            <w:pPr>
              <w:jc w:val="both"/>
              <w:rPr>
                <w:rFonts w:hint="eastAsia"/>
                <w:b w:val="0"/>
                <w:bCs w:val="0"/>
                <w:sz w:val="21"/>
                <w:szCs w:val="21"/>
                <w:vertAlign w:val="baseline"/>
                <w:lang w:eastAsia="zh-CN"/>
              </w:rPr>
            </w:pPr>
          </w:p>
        </w:tc>
      </w:tr>
    </w:tbl>
    <w:p>
      <w:pPr>
        <w:jc w:val="both"/>
        <w:rPr>
          <w:rFonts w:hint="eastAsia"/>
          <w:b w:val="0"/>
          <w:bCs w:val="0"/>
          <w:sz w:val="21"/>
          <w:szCs w:val="21"/>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B7901"/>
    <w:rsid w:val="141B7901"/>
    <w:rsid w:val="157F300F"/>
    <w:rsid w:val="2F873FD5"/>
    <w:rsid w:val="69903892"/>
    <w:rsid w:val="6EFF65CF"/>
    <w:rsid w:val="7A057A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2020-07-14T01:54:00Z</dcterms:created>
  <dc:creator>Administrator</dc:creator>
  <cp:lastModifiedBy>Administrator</cp:lastModifiedBy>
  <dcterms:modified xsi:type="dcterms:W3CDTF">2020-07-15T01:01:45Z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