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b/>
          <w:bCs/>
          <w:sz w:val="44"/>
          <w:szCs w:val="44"/>
        </w:rPr>
      </w:pPr>
      <w:r>
        <w:rPr>
          <w:rFonts w:hint="eastAsia" w:ascii="方正小标宋简体" w:eastAsia="方正小标宋简体"/>
          <w:b/>
          <w:bCs/>
          <w:sz w:val="44"/>
          <w:szCs w:val="44"/>
        </w:rPr>
        <w:t>中共维西县委政法委201</w:t>
      </w:r>
      <w:r>
        <w:rPr>
          <w:rFonts w:hint="eastAsia" w:ascii="方正小标宋简体" w:eastAsia="方正小标宋简体"/>
          <w:b/>
          <w:bCs/>
          <w:sz w:val="44"/>
          <w:szCs w:val="44"/>
          <w:lang w:val="en-US" w:eastAsia="zh-CN"/>
        </w:rPr>
        <w:t>9</w:t>
      </w:r>
      <w:r>
        <w:rPr>
          <w:rFonts w:hint="eastAsia" w:ascii="方正小标宋简体" w:eastAsia="方正小标宋简体"/>
          <w:b/>
          <w:bCs/>
          <w:sz w:val="44"/>
          <w:szCs w:val="44"/>
        </w:rPr>
        <w:t>年部门</w:t>
      </w:r>
    </w:p>
    <w:p>
      <w:pPr>
        <w:jc w:val="center"/>
        <w:rPr>
          <w:rFonts w:hint="eastAsia" w:ascii="方正仿宋简体" w:eastAsia="方正仿宋简体"/>
          <w:sz w:val="32"/>
          <w:szCs w:val="32"/>
        </w:rPr>
      </w:pPr>
      <w:r>
        <w:rPr>
          <w:rFonts w:hint="eastAsia" w:ascii="方正小标宋简体" w:eastAsia="方正小标宋简体"/>
          <w:b/>
          <w:bCs/>
          <w:sz w:val="44"/>
          <w:szCs w:val="44"/>
        </w:rPr>
        <w:t>决算</w:t>
      </w:r>
      <w:r>
        <w:rPr>
          <w:rFonts w:hint="eastAsia" w:ascii="方正小标宋简体" w:eastAsia="方正小标宋简体"/>
          <w:b/>
          <w:bCs/>
          <w:sz w:val="44"/>
          <w:szCs w:val="44"/>
          <w:lang w:eastAsia="zh-CN"/>
        </w:rPr>
        <w:t>情况说明</w:t>
      </w:r>
    </w:p>
    <w:p>
      <w:pPr>
        <w:jc w:val="center"/>
        <w:rPr>
          <w:rFonts w:hint="eastAsia" w:ascii="方正仿宋简体" w:eastAsia="方正仿宋简体"/>
          <w:sz w:val="32"/>
          <w:szCs w:val="32"/>
        </w:rPr>
      </w:pPr>
    </w:p>
    <w:p>
      <w:pPr>
        <w:jc w:val="center"/>
        <w:rPr>
          <w:rFonts w:hint="eastAsia" w:ascii="黑体" w:hAnsi="黑体" w:eastAsia="黑体" w:cs="黑体"/>
          <w:b/>
          <w:bCs/>
          <w:sz w:val="36"/>
          <w:szCs w:val="36"/>
          <w:u w:val="none"/>
        </w:rPr>
      </w:pPr>
      <w:r>
        <w:rPr>
          <w:rFonts w:hint="eastAsia" w:ascii="黑体" w:hAnsi="黑体" w:eastAsia="黑体" w:cs="黑体"/>
          <w:b w:val="0"/>
          <w:bCs w:val="0"/>
          <w:sz w:val="36"/>
          <w:szCs w:val="36"/>
          <w:u w:val="none"/>
          <w:lang w:eastAsia="zh-CN"/>
        </w:rPr>
        <w:t>第一部分</w:t>
      </w:r>
      <w:r>
        <w:rPr>
          <w:rFonts w:hint="eastAsia" w:ascii="黑体" w:hAnsi="黑体" w:eastAsia="黑体" w:cs="黑体"/>
          <w:b w:val="0"/>
          <w:bCs w:val="0"/>
          <w:sz w:val="36"/>
          <w:szCs w:val="36"/>
          <w:u w:val="none"/>
          <w:lang w:val="en-US" w:eastAsia="zh-CN"/>
        </w:rPr>
        <w:t xml:space="preserve">  单位概况</w:t>
      </w:r>
      <w:r>
        <w:rPr>
          <w:rFonts w:hint="eastAsia" w:ascii="黑体" w:hAnsi="黑体" w:eastAsia="黑体" w:cs="黑体"/>
          <w:b/>
          <w:bCs/>
          <w:sz w:val="36"/>
          <w:szCs w:val="36"/>
          <w:u w:val="none"/>
        </w:rPr>
        <w:t xml:space="preserve"> </w:t>
      </w:r>
    </w:p>
    <w:p>
      <w:pPr>
        <w:ind w:firstLine="960" w:firstLineChars="300"/>
        <w:rPr>
          <w:rFonts w:hint="eastAsia" w:ascii="黑体" w:hAnsi="黑体" w:eastAsia="黑体" w:cs="黑体"/>
          <w:b w:val="0"/>
          <w:bCs w:val="0"/>
          <w:sz w:val="32"/>
          <w:szCs w:val="32"/>
          <w:u w:val="none"/>
        </w:rPr>
      </w:pPr>
      <w:r>
        <w:rPr>
          <w:rFonts w:hint="eastAsia" w:ascii="黑体" w:hAnsi="黑体" w:eastAsia="黑体" w:cs="黑体"/>
          <w:b w:val="0"/>
          <w:bCs w:val="0"/>
          <w:sz w:val="32"/>
          <w:szCs w:val="32"/>
          <w:u w:val="none"/>
        </w:rPr>
        <w:t>一、部门</w:t>
      </w:r>
      <w:r>
        <w:rPr>
          <w:rFonts w:hint="eastAsia" w:ascii="黑体" w:hAnsi="黑体" w:eastAsia="黑体" w:cs="黑体"/>
          <w:b w:val="0"/>
          <w:bCs w:val="0"/>
          <w:sz w:val="32"/>
          <w:szCs w:val="32"/>
          <w:u w:val="none"/>
          <w:lang w:eastAsia="zh-CN"/>
        </w:rPr>
        <w:t>主要</w:t>
      </w:r>
      <w:r>
        <w:rPr>
          <w:rFonts w:hint="eastAsia" w:ascii="黑体" w:hAnsi="黑体" w:eastAsia="黑体" w:cs="黑体"/>
          <w:b w:val="0"/>
          <w:bCs w:val="0"/>
          <w:sz w:val="32"/>
          <w:szCs w:val="32"/>
          <w:u w:val="none"/>
        </w:rPr>
        <w:t>职能</w:t>
      </w:r>
    </w:p>
    <w:p>
      <w:pPr>
        <w:ind w:firstLine="640" w:firstLineChars="200"/>
        <w:rPr>
          <w:rFonts w:hint="eastAsia" w:ascii="方正仿宋简体" w:eastAsia="方正仿宋简体"/>
          <w:sz w:val="32"/>
          <w:szCs w:val="32"/>
          <w:u w:val="none"/>
        </w:rPr>
      </w:pPr>
      <w:r>
        <w:rPr>
          <w:rFonts w:hint="eastAsia" w:ascii="方正仿宋简体" w:eastAsia="方正仿宋简体"/>
          <w:sz w:val="32"/>
          <w:szCs w:val="32"/>
          <w:u w:val="none"/>
        </w:rPr>
        <w:t>1</w:t>
      </w:r>
      <w:r>
        <w:rPr>
          <w:rFonts w:hint="eastAsia" w:ascii="方正仿宋简体" w:eastAsia="方正仿宋简体"/>
          <w:sz w:val="32"/>
          <w:szCs w:val="32"/>
          <w:u w:val="none"/>
          <w:lang w:eastAsia="zh-CN"/>
        </w:rPr>
        <w:t>、</w:t>
      </w:r>
      <w:r>
        <w:rPr>
          <w:rFonts w:hint="eastAsia" w:ascii="方正仿宋简体" w:eastAsia="方正仿宋简体"/>
          <w:sz w:val="32"/>
          <w:szCs w:val="32"/>
          <w:u w:val="none"/>
        </w:rPr>
        <w:t>根据国家、省、州关于政法工作的方针政策和县委的决策部署，研究制定贯彻落实全县政法工作的具体措施，统一全县政法各部门的思想和行动。</w:t>
      </w:r>
    </w:p>
    <w:p>
      <w:pPr>
        <w:ind w:firstLine="640" w:firstLineChars="200"/>
        <w:rPr>
          <w:rFonts w:hint="eastAsia" w:ascii="方正仿宋简体" w:eastAsia="方正仿宋简体"/>
          <w:sz w:val="32"/>
          <w:szCs w:val="32"/>
          <w:u w:val="none"/>
        </w:rPr>
      </w:pPr>
      <w:r>
        <w:rPr>
          <w:rFonts w:hint="eastAsia" w:ascii="方正仿宋简体" w:eastAsia="方正仿宋简体"/>
          <w:sz w:val="32"/>
          <w:szCs w:val="32"/>
          <w:u w:val="none"/>
          <w:lang w:val="en-US" w:eastAsia="zh-CN"/>
        </w:rPr>
        <w:t>2、</w:t>
      </w:r>
      <w:r>
        <w:rPr>
          <w:rFonts w:hint="eastAsia" w:ascii="方正仿宋简体" w:eastAsia="方正仿宋简体"/>
          <w:sz w:val="32"/>
          <w:szCs w:val="32"/>
          <w:u w:val="none"/>
        </w:rPr>
        <w:t>组织协调、指导开展全县维护社会稳定工作，掌握和分析社会稳定情况，协调处理群体性事件。</w:t>
      </w:r>
    </w:p>
    <w:p>
      <w:pPr>
        <w:ind w:firstLine="640" w:firstLineChars="200"/>
        <w:rPr>
          <w:rFonts w:hint="eastAsia" w:ascii="方正仿宋简体" w:eastAsia="方正仿宋简体"/>
          <w:sz w:val="32"/>
          <w:szCs w:val="32"/>
          <w:u w:val="none"/>
        </w:rPr>
      </w:pPr>
      <w:r>
        <w:rPr>
          <w:rFonts w:hint="eastAsia" w:ascii="方正仿宋简体" w:eastAsia="方正仿宋简体"/>
          <w:sz w:val="32"/>
          <w:szCs w:val="32"/>
          <w:u w:val="none"/>
          <w:lang w:val="en-US" w:eastAsia="zh-CN"/>
        </w:rPr>
        <w:t>3、</w:t>
      </w:r>
      <w:r>
        <w:rPr>
          <w:rFonts w:hint="eastAsia" w:ascii="方正仿宋简体" w:eastAsia="方正仿宋简体"/>
          <w:sz w:val="32"/>
          <w:szCs w:val="32"/>
          <w:u w:val="none"/>
        </w:rPr>
        <w:t>检查全县政法各部门公正廉洁执法情况，结合实际，研究制定促进公正廉洁执法的具体办法。</w:t>
      </w:r>
    </w:p>
    <w:p>
      <w:pPr>
        <w:ind w:firstLine="640" w:firstLineChars="200"/>
        <w:rPr>
          <w:rFonts w:hint="eastAsia" w:ascii="方正仿宋简体" w:eastAsia="方正仿宋简体"/>
          <w:sz w:val="32"/>
          <w:szCs w:val="32"/>
          <w:u w:val="none"/>
        </w:rPr>
      </w:pPr>
      <w:r>
        <w:rPr>
          <w:rFonts w:hint="eastAsia" w:ascii="方正仿宋简体" w:eastAsia="方正仿宋简体"/>
          <w:sz w:val="32"/>
          <w:szCs w:val="32"/>
          <w:u w:val="none"/>
          <w:lang w:val="en-US" w:eastAsia="zh-CN"/>
        </w:rPr>
        <w:t>4、</w:t>
      </w:r>
      <w:r>
        <w:rPr>
          <w:rFonts w:hint="eastAsia" w:ascii="方正仿宋简体" w:eastAsia="方正仿宋简体"/>
          <w:sz w:val="32"/>
          <w:szCs w:val="32"/>
          <w:u w:val="none"/>
        </w:rPr>
        <w:t>大力支持和严格监督全县政法各部门依法行使职权，指导和协调政法各部门在依法相互制约的同时密切配合，督促大案要案的查处工作。</w:t>
      </w:r>
    </w:p>
    <w:p>
      <w:pPr>
        <w:ind w:firstLine="640" w:firstLineChars="200"/>
        <w:rPr>
          <w:rFonts w:hint="eastAsia" w:ascii="方正仿宋简体" w:eastAsia="方正仿宋简体"/>
          <w:sz w:val="32"/>
          <w:szCs w:val="32"/>
          <w:u w:val="none"/>
        </w:rPr>
      </w:pPr>
      <w:r>
        <w:rPr>
          <w:rFonts w:hint="eastAsia" w:ascii="方正仿宋简体" w:eastAsia="方正仿宋简体"/>
          <w:sz w:val="32"/>
          <w:szCs w:val="32"/>
          <w:u w:val="none"/>
          <w:lang w:val="en-US" w:eastAsia="zh-CN"/>
        </w:rPr>
        <w:t>5、</w:t>
      </w:r>
      <w:r>
        <w:rPr>
          <w:rFonts w:hint="eastAsia" w:ascii="方正仿宋简体" w:eastAsia="方正仿宋简体"/>
          <w:sz w:val="32"/>
          <w:szCs w:val="32"/>
          <w:u w:val="none"/>
        </w:rPr>
        <w:t>牵头协调社会管理相关工作，加强和创新社会管理，组织开展社会治安综合治理，营造平安稳定的社会环境。</w:t>
      </w:r>
    </w:p>
    <w:p>
      <w:pPr>
        <w:ind w:firstLine="640" w:firstLineChars="200"/>
        <w:rPr>
          <w:rFonts w:hint="eastAsia" w:ascii="方正仿宋简体" w:eastAsia="方正仿宋简体"/>
          <w:sz w:val="32"/>
          <w:szCs w:val="32"/>
          <w:u w:val="none"/>
        </w:rPr>
      </w:pPr>
      <w:r>
        <w:rPr>
          <w:rFonts w:hint="eastAsia" w:ascii="方正仿宋简体" w:eastAsia="方正仿宋简体"/>
          <w:sz w:val="32"/>
          <w:szCs w:val="32"/>
          <w:u w:val="none"/>
          <w:lang w:val="en-US" w:eastAsia="zh-CN"/>
        </w:rPr>
        <w:t>6、</w:t>
      </w:r>
      <w:r>
        <w:rPr>
          <w:rFonts w:hint="eastAsia" w:ascii="方正仿宋简体" w:eastAsia="方正仿宋简体"/>
          <w:sz w:val="32"/>
          <w:szCs w:val="32"/>
          <w:u w:val="none"/>
        </w:rPr>
        <w:t>组织构建大调解工作体系，排查化解矛盾隐患，指导、协调、推动政法各部门做好涉法涉诉信访工作，监督政法各部门涉涉诉案件的调处工作。</w:t>
      </w:r>
    </w:p>
    <w:p>
      <w:pPr>
        <w:ind w:firstLine="640" w:firstLineChars="200"/>
        <w:rPr>
          <w:rFonts w:hint="eastAsia" w:ascii="方正仿宋简体" w:eastAsia="方正仿宋简体"/>
          <w:sz w:val="32"/>
          <w:szCs w:val="32"/>
          <w:u w:val="none"/>
        </w:rPr>
      </w:pPr>
      <w:r>
        <w:rPr>
          <w:rFonts w:hint="eastAsia" w:ascii="方正仿宋简体" w:eastAsia="方正仿宋简体"/>
          <w:sz w:val="32"/>
          <w:szCs w:val="32"/>
          <w:u w:val="none"/>
          <w:lang w:val="en-US" w:eastAsia="zh-CN"/>
        </w:rPr>
        <w:t>7、</w:t>
      </w:r>
      <w:r>
        <w:rPr>
          <w:rFonts w:hint="eastAsia" w:ascii="方正仿宋简体" w:eastAsia="方正仿宋简体"/>
          <w:sz w:val="32"/>
          <w:szCs w:val="32"/>
          <w:u w:val="none"/>
        </w:rPr>
        <w:t>组织落实政法综治（平安建设）各项措施，加强政法综治（平安建设）和群众安全感宣传，推进基层平安创建工作开展。</w:t>
      </w:r>
    </w:p>
    <w:p>
      <w:pPr>
        <w:ind w:firstLine="640" w:firstLineChars="200"/>
        <w:rPr>
          <w:rFonts w:hint="eastAsia" w:ascii="方正仿宋简体" w:eastAsia="方正仿宋简体"/>
          <w:sz w:val="32"/>
          <w:szCs w:val="32"/>
          <w:u w:val="none"/>
        </w:rPr>
      </w:pPr>
      <w:r>
        <w:rPr>
          <w:rFonts w:hint="eastAsia" w:ascii="方正仿宋简体" w:eastAsia="方正仿宋简体"/>
          <w:sz w:val="32"/>
          <w:szCs w:val="32"/>
          <w:u w:val="none"/>
          <w:lang w:val="en-US" w:eastAsia="zh-CN"/>
        </w:rPr>
        <w:t>8、</w:t>
      </w:r>
      <w:r>
        <w:rPr>
          <w:rFonts w:hint="eastAsia" w:ascii="方正仿宋简体" w:eastAsia="方正仿宋简体"/>
          <w:sz w:val="32"/>
          <w:szCs w:val="32"/>
          <w:u w:val="none"/>
        </w:rPr>
        <w:t>研究加强政法队伍建设和领导班子建设，协助县委及其组织部门考察、管理政法各部门的领导干部。</w:t>
      </w:r>
    </w:p>
    <w:p>
      <w:pPr>
        <w:ind w:firstLine="640" w:firstLineChars="200"/>
        <w:rPr>
          <w:rFonts w:hint="eastAsia" w:ascii="方正仿宋简体" w:eastAsia="方正仿宋简体"/>
          <w:sz w:val="32"/>
          <w:szCs w:val="32"/>
          <w:u w:val="none"/>
        </w:rPr>
      </w:pPr>
      <w:r>
        <w:rPr>
          <w:rFonts w:hint="eastAsia" w:ascii="方正仿宋简体" w:eastAsia="方正仿宋简体"/>
          <w:sz w:val="32"/>
          <w:szCs w:val="32"/>
          <w:u w:val="none"/>
          <w:lang w:val="en-US" w:eastAsia="zh-CN"/>
        </w:rPr>
        <w:t>9、</w:t>
      </w:r>
      <w:r>
        <w:rPr>
          <w:rFonts w:hint="eastAsia" w:ascii="方正仿宋简体" w:eastAsia="方正仿宋简体"/>
          <w:sz w:val="32"/>
          <w:szCs w:val="32"/>
          <w:u w:val="none"/>
        </w:rPr>
        <w:t>组织、推动政法部门开展党风廉政建设，协助纪检部门查处违纪违法行为。</w:t>
      </w:r>
    </w:p>
    <w:p>
      <w:pPr>
        <w:ind w:firstLine="640" w:firstLineChars="200"/>
        <w:rPr>
          <w:rFonts w:hint="eastAsia" w:ascii="方正仿宋简体" w:eastAsia="方正仿宋简体"/>
          <w:sz w:val="32"/>
          <w:szCs w:val="32"/>
          <w:u w:val="none"/>
        </w:rPr>
      </w:pPr>
      <w:r>
        <w:rPr>
          <w:rFonts w:hint="eastAsia" w:ascii="方正仿宋简体" w:eastAsia="方正仿宋简体"/>
          <w:sz w:val="32"/>
          <w:szCs w:val="32"/>
          <w:u w:val="none"/>
          <w:lang w:val="en-US" w:eastAsia="zh-CN"/>
        </w:rPr>
        <w:t>10、</w:t>
      </w:r>
      <w:r>
        <w:rPr>
          <w:rFonts w:hint="eastAsia" w:ascii="方正仿宋简体" w:eastAsia="方正仿宋简体"/>
          <w:sz w:val="32"/>
          <w:szCs w:val="32"/>
          <w:u w:val="none"/>
        </w:rPr>
        <w:t>研究分析涉及政法工作和影响社会稳定的网络舆情信息，指导协调全县政法综治（平安建设）、社会稳定等方面的网络舆论宣传和引导工作，传递正能量。</w:t>
      </w:r>
    </w:p>
    <w:p>
      <w:pPr>
        <w:ind w:firstLine="640" w:firstLineChars="200"/>
        <w:rPr>
          <w:rFonts w:hint="eastAsia" w:ascii="方正仿宋简体" w:eastAsia="方正仿宋简体"/>
          <w:sz w:val="32"/>
          <w:szCs w:val="32"/>
          <w:u w:val="none"/>
        </w:rPr>
      </w:pPr>
      <w:r>
        <w:rPr>
          <w:rFonts w:hint="eastAsia" w:ascii="方正仿宋简体" w:eastAsia="方正仿宋简体"/>
          <w:sz w:val="32"/>
          <w:szCs w:val="32"/>
          <w:u w:val="none"/>
          <w:lang w:val="en-US" w:eastAsia="zh-CN"/>
        </w:rPr>
        <w:t>11、</w:t>
      </w:r>
      <w:r>
        <w:rPr>
          <w:rFonts w:hint="eastAsia" w:ascii="方正仿宋简体" w:eastAsia="方正仿宋简体"/>
          <w:sz w:val="32"/>
          <w:szCs w:val="32"/>
          <w:u w:val="none"/>
        </w:rPr>
        <w:t>组织开展政法综治（平安建设）和群众安全感的调查研究，推进政法综治（平安建设）工作，及时向县委报告政法综治（平安建设）工作的重大情况。</w:t>
      </w:r>
    </w:p>
    <w:p>
      <w:pPr>
        <w:ind w:firstLine="640" w:firstLineChars="200"/>
        <w:rPr>
          <w:rFonts w:hint="eastAsia" w:ascii="方正仿宋简体" w:eastAsia="方正仿宋简体"/>
          <w:sz w:val="32"/>
          <w:szCs w:val="32"/>
          <w:u w:val="none"/>
        </w:rPr>
      </w:pPr>
      <w:r>
        <w:rPr>
          <w:rFonts w:hint="eastAsia" w:ascii="方正仿宋简体" w:eastAsia="方正仿宋简体"/>
          <w:sz w:val="32"/>
          <w:szCs w:val="32"/>
          <w:u w:val="none"/>
          <w:lang w:val="en-US" w:eastAsia="zh-CN"/>
        </w:rPr>
        <w:t>12、</w:t>
      </w:r>
      <w:r>
        <w:rPr>
          <w:rFonts w:hint="eastAsia" w:ascii="方正仿宋简体" w:eastAsia="方正仿宋简体"/>
          <w:sz w:val="32"/>
          <w:szCs w:val="32"/>
          <w:u w:val="none"/>
        </w:rPr>
        <w:t>承办县委和上级党委政法委交办的其他事项。</w:t>
      </w:r>
    </w:p>
    <w:p>
      <w:pPr>
        <w:ind w:firstLine="640" w:firstLineChars="200"/>
        <w:rPr>
          <w:rFonts w:hint="eastAsia" w:ascii="方正仿宋简体" w:eastAsia="方正仿宋简体"/>
          <w:sz w:val="32"/>
          <w:szCs w:val="32"/>
          <w:u w:val="none"/>
        </w:rPr>
      </w:pPr>
      <w:r>
        <w:rPr>
          <w:rFonts w:hint="eastAsia" w:ascii="方正仿宋简体" w:eastAsia="方正仿宋简体"/>
          <w:sz w:val="32"/>
          <w:szCs w:val="32"/>
          <w:u w:val="none"/>
          <w:lang w:val="en-US" w:eastAsia="zh-CN"/>
        </w:rPr>
        <w:t>13、</w:t>
      </w:r>
      <w:r>
        <w:rPr>
          <w:rFonts w:hint="eastAsia" w:ascii="方正仿宋简体" w:eastAsia="方正仿宋简体"/>
          <w:sz w:val="32"/>
          <w:szCs w:val="32"/>
          <w:u w:val="none"/>
        </w:rPr>
        <w:t>协调组织本县法学研究、法学建设和法学宣传。</w:t>
      </w:r>
    </w:p>
    <w:p>
      <w:pPr>
        <w:ind w:firstLine="640" w:firstLineChars="200"/>
        <w:rPr>
          <w:rFonts w:hint="eastAsia" w:ascii="黑体" w:hAnsi="黑体" w:eastAsia="黑体" w:cs="黑体"/>
          <w:b w:val="0"/>
          <w:bCs w:val="0"/>
          <w:sz w:val="32"/>
          <w:szCs w:val="32"/>
          <w:u w:val="none"/>
          <w:lang w:eastAsia="zh-CN"/>
        </w:rPr>
      </w:pPr>
      <w:r>
        <w:rPr>
          <w:rFonts w:hint="eastAsia" w:ascii="黑体" w:hAnsi="黑体" w:eastAsia="黑体" w:cs="黑体"/>
          <w:b w:val="0"/>
          <w:bCs w:val="0"/>
          <w:sz w:val="32"/>
          <w:szCs w:val="32"/>
          <w:u w:val="none"/>
          <w:lang w:eastAsia="zh-CN"/>
        </w:rPr>
        <w:t>二、部门基本情况</w:t>
      </w:r>
    </w:p>
    <w:p>
      <w:pPr>
        <w:ind w:firstLine="640" w:firstLineChars="200"/>
        <w:rPr>
          <w:rFonts w:hint="eastAsia" w:ascii="黑体" w:hAnsi="黑体" w:eastAsia="黑体" w:cs="黑体"/>
          <w:b w:val="0"/>
          <w:bCs w:val="0"/>
          <w:sz w:val="32"/>
          <w:szCs w:val="32"/>
          <w:u w:val="none"/>
        </w:rPr>
      </w:pPr>
      <w:r>
        <w:rPr>
          <w:rFonts w:hint="eastAsia" w:ascii="黑体" w:hAnsi="黑体" w:eastAsia="黑体" w:cs="黑体"/>
          <w:b w:val="0"/>
          <w:bCs w:val="0"/>
          <w:sz w:val="32"/>
          <w:szCs w:val="32"/>
          <w:u w:val="none"/>
          <w:lang w:val="en-US" w:eastAsia="zh-CN"/>
        </w:rPr>
        <w:t>1、</w:t>
      </w:r>
      <w:r>
        <w:rPr>
          <w:rFonts w:hint="eastAsia" w:ascii="黑体" w:hAnsi="黑体" w:eastAsia="黑体" w:cs="黑体"/>
          <w:b w:val="0"/>
          <w:bCs w:val="0"/>
          <w:sz w:val="32"/>
          <w:szCs w:val="32"/>
          <w:u w:val="none"/>
        </w:rPr>
        <w:t>机构情况及增减变动</w:t>
      </w:r>
    </w:p>
    <w:p>
      <w:pPr>
        <w:ind w:firstLine="640" w:firstLineChars="200"/>
        <w:rPr>
          <w:rFonts w:hint="eastAsia" w:ascii="方正仿宋简体" w:eastAsia="方正仿宋简体"/>
          <w:sz w:val="32"/>
          <w:szCs w:val="32"/>
          <w:u w:val="none"/>
        </w:rPr>
      </w:pPr>
      <w:r>
        <w:rPr>
          <w:rFonts w:hint="eastAsia" w:ascii="方正仿宋简体" w:eastAsia="方正仿宋简体"/>
          <w:sz w:val="32"/>
          <w:szCs w:val="32"/>
          <w:u w:val="none"/>
        </w:rPr>
        <w:t>201</w:t>
      </w:r>
      <w:r>
        <w:rPr>
          <w:rFonts w:hint="eastAsia" w:ascii="方正仿宋简体" w:eastAsia="方正仿宋简体"/>
          <w:sz w:val="32"/>
          <w:szCs w:val="32"/>
          <w:u w:val="none"/>
          <w:lang w:val="en-US" w:eastAsia="zh-CN"/>
        </w:rPr>
        <w:t>9</w:t>
      </w:r>
      <w:r>
        <w:rPr>
          <w:rFonts w:hint="eastAsia" w:ascii="方正仿宋简体" w:eastAsia="方正仿宋简体"/>
          <w:sz w:val="32"/>
          <w:szCs w:val="32"/>
          <w:u w:val="none"/>
        </w:rPr>
        <w:t>年县政法委职能机构与上年度相一致。县委政法委属于独立编制机构，内设依法治县办、政工科、情报信息科、执法监督室、维稳办、综治办、610办和政法委办公室。</w:t>
      </w:r>
    </w:p>
    <w:p>
      <w:pPr>
        <w:numPr>
          <w:ilvl w:val="0"/>
          <w:numId w:val="0"/>
        </w:numPr>
        <w:ind w:left="420" w:leftChars="200" w:firstLine="320" w:firstLineChars="100"/>
        <w:rPr>
          <w:rFonts w:hint="eastAsia" w:ascii="黑体" w:hAnsi="黑体" w:eastAsia="黑体" w:cs="黑体"/>
          <w:b w:val="0"/>
          <w:bCs w:val="0"/>
          <w:sz w:val="32"/>
          <w:szCs w:val="32"/>
          <w:u w:val="none"/>
        </w:rPr>
      </w:pPr>
      <w:r>
        <w:rPr>
          <w:rFonts w:hint="eastAsia" w:ascii="黑体" w:hAnsi="黑体" w:eastAsia="黑体" w:cs="黑体"/>
          <w:b w:val="0"/>
          <w:bCs w:val="0"/>
          <w:sz w:val="32"/>
          <w:szCs w:val="32"/>
          <w:u w:val="none"/>
          <w:lang w:val="en-US" w:eastAsia="zh-CN"/>
        </w:rPr>
        <w:t>2、</w:t>
      </w:r>
      <w:r>
        <w:rPr>
          <w:rFonts w:hint="eastAsia" w:ascii="黑体" w:hAnsi="黑体" w:eastAsia="黑体" w:cs="黑体"/>
          <w:b w:val="0"/>
          <w:bCs w:val="0"/>
          <w:sz w:val="32"/>
          <w:szCs w:val="32"/>
          <w:u w:val="none"/>
        </w:rPr>
        <w:t>人员情况及增减变动原因</w:t>
      </w:r>
    </w:p>
    <w:p>
      <w:pPr>
        <w:ind w:firstLine="640" w:firstLineChars="200"/>
        <w:rPr>
          <w:rFonts w:hint="eastAsia" w:ascii="方正仿宋简体" w:eastAsia="方正仿宋简体"/>
          <w:sz w:val="32"/>
          <w:szCs w:val="32"/>
          <w:u w:val="none"/>
        </w:rPr>
      </w:pPr>
      <w:r>
        <w:rPr>
          <w:rFonts w:hint="eastAsia" w:ascii="方正仿宋简体" w:eastAsia="方正仿宋简体"/>
          <w:sz w:val="32"/>
          <w:szCs w:val="32"/>
          <w:u w:val="none"/>
        </w:rPr>
        <w:t>201</w:t>
      </w:r>
      <w:r>
        <w:rPr>
          <w:rFonts w:hint="eastAsia" w:ascii="方正仿宋简体" w:eastAsia="方正仿宋简体"/>
          <w:sz w:val="32"/>
          <w:szCs w:val="32"/>
          <w:u w:val="none"/>
          <w:lang w:val="en-US" w:eastAsia="zh-CN"/>
        </w:rPr>
        <w:t>9</w:t>
      </w:r>
      <w:r>
        <w:rPr>
          <w:rFonts w:hint="eastAsia" w:ascii="方正仿宋简体" w:eastAsia="方正仿宋简体"/>
          <w:sz w:val="32"/>
          <w:szCs w:val="32"/>
          <w:u w:val="none"/>
        </w:rPr>
        <w:t>本单位在职职工行政人员1</w:t>
      </w:r>
      <w:r>
        <w:rPr>
          <w:rFonts w:hint="eastAsia" w:ascii="方正仿宋简体" w:eastAsia="方正仿宋简体"/>
          <w:sz w:val="32"/>
          <w:szCs w:val="32"/>
          <w:u w:val="none"/>
          <w:lang w:val="en-US" w:eastAsia="zh-CN"/>
        </w:rPr>
        <w:t>4</w:t>
      </w:r>
      <w:r>
        <w:rPr>
          <w:rFonts w:hint="eastAsia" w:ascii="方正仿宋简体" w:eastAsia="方正仿宋简体"/>
          <w:sz w:val="32"/>
          <w:szCs w:val="32"/>
          <w:u w:val="none"/>
        </w:rPr>
        <w:t>人(含提前退休2人)；工勤人员3人</w:t>
      </w:r>
      <w:r>
        <w:rPr>
          <w:rFonts w:hint="eastAsia" w:ascii="方正仿宋简体" w:eastAsia="方正仿宋简体"/>
          <w:sz w:val="32"/>
          <w:szCs w:val="32"/>
          <w:u w:val="none"/>
          <w:lang w:val="en-US" w:eastAsia="zh-CN"/>
        </w:rPr>
        <w:t>(含提前退休2人)</w:t>
      </w:r>
      <w:r>
        <w:rPr>
          <w:rFonts w:hint="eastAsia" w:ascii="方正仿宋简体" w:eastAsia="方正仿宋简体"/>
          <w:sz w:val="32"/>
          <w:szCs w:val="32"/>
          <w:u w:val="none"/>
        </w:rPr>
        <w:t>、退休2人。</w:t>
      </w:r>
    </w:p>
    <w:p>
      <w:pPr>
        <w:numPr>
          <w:ilvl w:val="0"/>
          <w:numId w:val="0"/>
        </w:numPr>
        <w:ind w:firstLine="640" w:firstLineChars="200"/>
        <w:rPr>
          <w:rFonts w:hint="eastAsia" w:ascii="方正仿宋简体" w:eastAsia="方正仿宋简体"/>
          <w:b/>
          <w:bCs/>
          <w:sz w:val="32"/>
          <w:szCs w:val="32"/>
          <w:u w:val="none"/>
          <w:lang w:eastAsia="zh-CN"/>
        </w:rPr>
      </w:pPr>
      <w:r>
        <w:rPr>
          <w:rFonts w:hint="eastAsia" w:ascii="黑体" w:hAnsi="黑体" w:eastAsia="黑体" w:cs="黑体"/>
          <w:b w:val="0"/>
          <w:bCs w:val="0"/>
          <w:sz w:val="32"/>
          <w:szCs w:val="32"/>
          <w:u w:val="none"/>
          <w:lang w:val="en-US" w:eastAsia="zh-CN"/>
        </w:rPr>
        <w:t>3、</w:t>
      </w:r>
      <w:r>
        <w:rPr>
          <w:rFonts w:hint="eastAsia" w:ascii="黑体" w:hAnsi="黑体" w:eastAsia="黑体" w:cs="黑体"/>
          <w:b w:val="0"/>
          <w:bCs w:val="0"/>
          <w:sz w:val="32"/>
          <w:szCs w:val="32"/>
          <w:u w:val="none"/>
          <w:lang w:eastAsia="zh-CN"/>
        </w:rPr>
        <w:t>车辆编制实有情况</w:t>
      </w:r>
    </w:p>
    <w:p>
      <w:pPr>
        <w:pStyle w:val="9"/>
        <w:rPr>
          <w:u w:val="none"/>
        </w:rPr>
      </w:pPr>
      <w:r>
        <w:rPr>
          <w:rFonts w:hint="eastAsia" w:ascii="方正仿宋简体" w:eastAsia="方正仿宋简体"/>
          <w:b/>
          <w:bCs/>
          <w:sz w:val="32"/>
          <w:szCs w:val="32"/>
          <w:u w:val="none"/>
          <w:lang w:val="en-US" w:eastAsia="zh-CN"/>
        </w:rPr>
        <w:t xml:space="preserve">  </w:t>
      </w:r>
      <w:r>
        <w:rPr>
          <w:u w:val="none"/>
        </w:rPr>
        <w:t>窗体顶端</w:t>
      </w:r>
    </w:p>
    <w:p>
      <w:pPr>
        <w:pStyle w:val="4"/>
        <w:keepNext w:val="0"/>
        <w:keepLines w:val="0"/>
        <w:widowControl/>
        <w:suppressLineNumbers w:val="0"/>
        <w:spacing w:before="150" w:beforeAutospacing="0" w:after="0" w:afterAutospacing="0" w:line="580" w:lineRule="atLeast"/>
        <w:ind w:left="0" w:right="0" w:firstLine="640"/>
        <w:jc w:val="both"/>
        <w:rPr>
          <w:rFonts w:hint="default" w:ascii="Times New Roman" w:hAnsi="Times New Roman" w:cs="Times New Roman"/>
          <w:sz w:val="21"/>
          <w:szCs w:val="21"/>
          <w:u w:val="none"/>
        </w:rPr>
      </w:pPr>
      <w:r>
        <w:rPr>
          <w:rFonts w:ascii="方正仿宋_GBK" w:hAnsi="方正仿宋_GBK" w:eastAsia="方正仿宋_GBK" w:cs="方正仿宋_GBK"/>
          <w:sz w:val="32"/>
          <w:szCs w:val="32"/>
          <w:u w:val="none"/>
        </w:rPr>
        <w:t>实有车辆编制</w:t>
      </w:r>
      <w:r>
        <w:rPr>
          <w:rFonts w:hint="eastAsia" w:ascii="方正仿宋_GBK" w:hAnsi="方正仿宋_GBK" w:eastAsia="方正仿宋_GBK" w:cs="方正仿宋_GBK"/>
          <w:sz w:val="32"/>
          <w:szCs w:val="32"/>
          <w:u w:val="none"/>
          <w:lang w:val="en-US" w:eastAsia="zh-CN"/>
        </w:rPr>
        <w:t>1</w:t>
      </w:r>
      <w:r>
        <w:rPr>
          <w:rFonts w:hint="eastAsia" w:ascii="方正仿宋_GBK" w:hAnsi="方正仿宋_GBK" w:eastAsia="方正仿宋_GBK" w:cs="方正仿宋_GBK"/>
          <w:sz w:val="32"/>
          <w:szCs w:val="32"/>
          <w:u w:val="none"/>
        </w:rPr>
        <w:t>辆，在编实有车辆</w:t>
      </w:r>
      <w:r>
        <w:rPr>
          <w:rFonts w:hint="eastAsia" w:ascii="方正仿宋_GBK" w:hAnsi="方正仿宋_GBK" w:eastAsia="方正仿宋_GBK" w:cs="方正仿宋_GBK"/>
          <w:sz w:val="32"/>
          <w:szCs w:val="32"/>
          <w:u w:val="none"/>
          <w:lang w:val="en-US" w:eastAsia="zh-CN"/>
        </w:rPr>
        <w:t>1</w:t>
      </w:r>
      <w:r>
        <w:rPr>
          <w:rFonts w:hint="eastAsia" w:ascii="方正仿宋_GBK" w:hAnsi="方正仿宋_GBK" w:eastAsia="方正仿宋_GBK" w:cs="方正仿宋_GBK"/>
          <w:sz w:val="32"/>
          <w:szCs w:val="32"/>
          <w:u w:val="none"/>
        </w:rPr>
        <w:t>辆。</w:t>
      </w:r>
    </w:p>
    <w:p>
      <w:pPr>
        <w:pStyle w:val="10"/>
        <w:rPr>
          <w:u w:val="single"/>
        </w:rPr>
      </w:pPr>
      <w:r>
        <w:rPr>
          <w:u w:val="single"/>
        </w:rPr>
        <w:t>窗体底端</w:t>
      </w:r>
    </w:p>
    <w:p>
      <w:pPr>
        <w:numPr>
          <w:ilvl w:val="0"/>
          <w:numId w:val="0"/>
        </w:numPr>
        <w:rPr>
          <w:rFonts w:hint="eastAsia" w:ascii="方正仿宋简体" w:eastAsia="方正仿宋简体"/>
          <w:b/>
          <w:bCs/>
          <w:sz w:val="32"/>
          <w:szCs w:val="32"/>
          <w:u w:val="single"/>
          <w:lang w:val="en-US" w:eastAsia="zh-CN"/>
        </w:rPr>
      </w:pPr>
    </w:p>
    <w:p>
      <w:pPr>
        <w:pStyle w:val="9"/>
      </w:pPr>
      <w:r>
        <w:t>窗体顶端</w:t>
      </w:r>
    </w:p>
    <w:p>
      <w:pPr>
        <w:pStyle w:val="4"/>
        <w:keepNext w:val="0"/>
        <w:keepLines w:val="0"/>
        <w:widowControl/>
        <w:suppressLineNumbers w:val="0"/>
        <w:spacing w:before="150" w:beforeAutospacing="0" w:after="0" w:afterAutospacing="0" w:line="580" w:lineRule="atLeast"/>
        <w:ind w:left="0" w:right="0"/>
        <w:jc w:val="center"/>
        <w:rPr>
          <w:rFonts w:hint="default" w:ascii="Times New Roman" w:hAnsi="Times New Roman" w:cs="Times New Roman"/>
          <w:sz w:val="36"/>
          <w:szCs w:val="36"/>
        </w:rPr>
      </w:pPr>
      <w:r>
        <w:rPr>
          <w:rFonts w:hint="eastAsia" w:ascii="黑体" w:hAnsi="黑体" w:eastAsia="黑体" w:cs="黑体"/>
          <w:sz w:val="36"/>
          <w:szCs w:val="36"/>
        </w:rPr>
        <w:t>第二部分  201</w:t>
      </w:r>
      <w:r>
        <w:rPr>
          <w:rFonts w:hint="eastAsia" w:ascii="黑体" w:hAnsi="黑体" w:eastAsia="黑体" w:cs="黑体"/>
          <w:sz w:val="36"/>
          <w:szCs w:val="36"/>
          <w:lang w:val="en-US" w:eastAsia="zh-CN"/>
        </w:rPr>
        <w:t>9</w:t>
      </w:r>
      <w:r>
        <w:rPr>
          <w:rFonts w:hint="eastAsia" w:ascii="黑体" w:hAnsi="黑体" w:eastAsia="黑体" w:cs="黑体"/>
          <w:sz w:val="36"/>
          <w:szCs w:val="36"/>
        </w:rPr>
        <w:t>年度部门决算表</w:t>
      </w:r>
    </w:p>
    <w:p>
      <w:pPr>
        <w:pStyle w:val="4"/>
        <w:keepNext w:val="0"/>
        <w:keepLines w:val="0"/>
        <w:widowControl/>
        <w:suppressLineNumbers w:val="0"/>
        <w:tabs>
          <w:tab w:val="center" w:pos="4722"/>
          <w:tab w:val="left" w:pos="6195"/>
        </w:tabs>
        <w:spacing w:before="150" w:beforeAutospacing="0" w:after="0" w:afterAutospacing="0" w:line="580" w:lineRule="atLeast"/>
        <w:ind w:left="0" w:right="0" w:firstLine="640"/>
        <w:jc w:val="left"/>
        <w:rPr>
          <w:rFonts w:hint="eastAsia" w:ascii="方正仿宋_GBK" w:hAnsi="方正仿宋_GBK" w:eastAsia="方正仿宋_GBK" w:cs="方正仿宋_GBK"/>
          <w:sz w:val="32"/>
          <w:szCs w:val="32"/>
        </w:rPr>
      </w:pPr>
      <w:r>
        <w:rPr>
          <w:rFonts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（详见附件）</w:t>
      </w:r>
    </w:p>
    <w:p>
      <w:pPr>
        <w:pStyle w:val="4"/>
        <w:keepNext w:val="0"/>
        <w:keepLines w:val="0"/>
        <w:widowControl/>
        <w:suppressLineNumbers w:val="0"/>
        <w:tabs>
          <w:tab w:val="center" w:pos="4722"/>
          <w:tab w:val="left" w:pos="6195"/>
        </w:tabs>
        <w:spacing w:before="150" w:beforeAutospacing="0" w:after="0" w:afterAutospacing="0" w:line="580" w:lineRule="atLeast"/>
        <w:ind w:left="0" w:right="0" w:firstLine="64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w:t>
      </w:r>
    </w:p>
    <w:p>
      <w:pPr>
        <w:pStyle w:val="4"/>
        <w:keepNext w:val="0"/>
        <w:keepLines w:val="0"/>
        <w:widowControl/>
        <w:suppressLineNumbers w:val="0"/>
        <w:tabs>
          <w:tab w:val="center" w:pos="4722"/>
          <w:tab w:val="left" w:pos="6195"/>
        </w:tabs>
        <w:spacing w:before="150" w:beforeAutospacing="0" w:after="0" w:afterAutospacing="0" w:line="580" w:lineRule="atLeast"/>
        <w:ind w:left="0" w:right="0" w:firstLine="640"/>
        <w:jc w:val="left"/>
        <w:rPr>
          <w:rFonts w:hint="eastAsia" w:ascii="方正仿宋_GBK" w:hAnsi="方正仿宋_GBK" w:eastAsia="方正仿宋_GBK" w:cs="方正仿宋_GBK"/>
          <w:sz w:val="32"/>
          <w:szCs w:val="32"/>
        </w:rPr>
      </w:pPr>
    </w:p>
    <w:p>
      <w:pPr>
        <w:pStyle w:val="9"/>
      </w:pPr>
      <w:r>
        <w:t>窗体顶端</w:t>
      </w:r>
    </w:p>
    <w:p>
      <w:pPr>
        <w:pStyle w:val="4"/>
        <w:keepNext w:val="0"/>
        <w:keepLines w:val="0"/>
        <w:widowControl/>
        <w:suppressLineNumbers w:val="0"/>
        <w:spacing w:before="150" w:beforeAutospacing="0" w:after="0" w:afterAutospacing="0" w:line="580" w:lineRule="atLeast"/>
        <w:ind w:left="0" w:right="0"/>
        <w:jc w:val="center"/>
        <w:rPr>
          <w:rFonts w:hint="default" w:ascii="Times New Roman" w:hAnsi="Times New Roman" w:cs="Times New Roman"/>
          <w:sz w:val="21"/>
          <w:szCs w:val="21"/>
        </w:rPr>
      </w:pPr>
      <w:r>
        <w:rPr>
          <w:rFonts w:hint="eastAsia" w:ascii="黑体" w:hAnsi="黑体" w:eastAsia="黑体" w:cs="黑体"/>
          <w:sz w:val="36"/>
          <w:szCs w:val="36"/>
        </w:rPr>
        <w:t>第三部分  201</w:t>
      </w:r>
      <w:r>
        <w:rPr>
          <w:rFonts w:hint="eastAsia" w:ascii="黑体" w:hAnsi="黑体" w:eastAsia="黑体" w:cs="黑体"/>
          <w:sz w:val="36"/>
          <w:szCs w:val="36"/>
          <w:lang w:val="en-US" w:eastAsia="zh-CN"/>
        </w:rPr>
        <w:t>9</w:t>
      </w:r>
      <w:r>
        <w:rPr>
          <w:rFonts w:hint="eastAsia" w:ascii="黑体" w:hAnsi="黑体" w:eastAsia="黑体" w:cs="黑体"/>
          <w:sz w:val="36"/>
          <w:szCs w:val="36"/>
        </w:rPr>
        <w:t>年度部门决算情况说明</w:t>
      </w:r>
    </w:p>
    <w:p>
      <w:pPr>
        <w:pStyle w:val="10"/>
      </w:pPr>
      <w:r>
        <w:t>窗体底端</w:t>
      </w:r>
    </w:p>
    <w:p>
      <w:pPr>
        <w:pStyle w:val="10"/>
      </w:pPr>
      <w:r>
        <w:t>窗体底端</w:t>
      </w:r>
    </w:p>
    <w:p>
      <w:pPr>
        <w:numPr>
          <w:ilvl w:val="0"/>
          <w:numId w:val="0"/>
        </w:numPr>
        <w:ind w:left="525" w:leftChars="250" w:firstLine="320" w:firstLineChars="100"/>
        <w:rPr>
          <w:rFonts w:hint="eastAsia" w:ascii="黑体" w:hAnsi="黑体" w:eastAsia="黑体" w:cs="黑体"/>
          <w:b w:val="0"/>
          <w:bCs w:val="0"/>
          <w:sz w:val="32"/>
          <w:szCs w:val="32"/>
          <w:u w:val="none"/>
          <w:lang w:eastAsia="zh-CN"/>
        </w:rPr>
      </w:pPr>
    </w:p>
    <w:p>
      <w:pPr>
        <w:numPr>
          <w:ilvl w:val="0"/>
          <w:numId w:val="0"/>
        </w:numPr>
        <w:ind w:left="525" w:leftChars="250" w:firstLine="320" w:firstLineChars="100"/>
        <w:rPr>
          <w:rFonts w:hint="eastAsia" w:ascii="黑体" w:hAnsi="黑体" w:eastAsia="黑体" w:cs="黑体"/>
          <w:sz w:val="32"/>
          <w:szCs w:val="32"/>
          <w:u w:val="none"/>
          <w:lang w:val="en-US" w:eastAsia="zh-CN"/>
        </w:rPr>
      </w:pPr>
      <w:r>
        <w:rPr>
          <w:rFonts w:hint="eastAsia" w:ascii="黑体" w:hAnsi="黑体" w:eastAsia="黑体" w:cs="黑体"/>
          <w:b w:val="0"/>
          <w:bCs w:val="0"/>
          <w:sz w:val="32"/>
          <w:szCs w:val="32"/>
          <w:u w:val="none"/>
          <w:lang w:eastAsia="zh-CN"/>
        </w:rPr>
        <w:t>一</w:t>
      </w:r>
      <w:r>
        <w:rPr>
          <w:rFonts w:hint="eastAsia" w:ascii="黑体" w:hAnsi="黑体" w:eastAsia="黑体" w:cs="黑体"/>
          <w:b w:val="0"/>
          <w:bCs w:val="0"/>
          <w:sz w:val="32"/>
          <w:szCs w:val="32"/>
          <w:u w:val="none"/>
        </w:rPr>
        <w:t>、201</w:t>
      </w:r>
      <w:r>
        <w:rPr>
          <w:rFonts w:hint="eastAsia" w:ascii="黑体" w:hAnsi="黑体" w:eastAsia="黑体" w:cs="黑体"/>
          <w:b w:val="0"/>
          <w:bCs w:val="0"/>
          <w:sz w:val="32"/>
          <w:szCs w:val="32"/>
          <w:u w:val="none"/>
          <w:lang w:val="en-US" w:eastAsia="zh-CN"/>
        </w:rPr>
        <w:t>9</w:t>
      </w:r>
      <w:r>
        <w:rPr>
          <w:rFonts w:hint="eastAsia" w:ascii="黑体" w:hAnsi="黑体" w:eastAsia="黑体" w:cs="黑体"/>
          <w:b w:val="0"/>
          <w:bCs w:val="0"/>
          <w:sz w:val="32"/>
          <w:szCs w:val="32"/>
          <w:u w:val="none"/>
        </w:rPr>
        <w:t>年</w:t>
      </w:r>
      <w:r>
        <w:rPr>
          <w:rFonts w:hint="eastAsia" w:ascii="黑体" w:hAnsi="黑体" w:eastAsia="黑体" w:cs="黑体"/>
          <w:sz w:val="32"/>
          <w:szCs w:val="32"/>
          <w:u w:val="none"/>
        </w:rPr>
        <w:t>收入决算情况</w:t>
      </w:r>
      <w:r>
        <w:rPr>
          <w:rFonts w:hint="eastAsia" w:ascii="黑体" w:hAnsi="黑体" w:eastAsia="黑体" w:cs="黑体"/>
          <w:sz w:val="32"/>
          <w:szCs w:val="32"/>
          <w:u w:val="none"/>
          <w:lang w:eastAsia="zh-CN"/>
        </w:rPr>
        <w:t>说明</w:t>
      </w:r>
    </w:p>
    <w:p>
      <w:pPr>
        <w:ind w:firstLine="640" w:firstLineChars="200"/>
        <w:rPr>
          <w:rFonts w:hint="eastAsia" w:ascii="仿宋" w:hAnsi="仿宋" w:eastAsia="仿宋"/>
          <w:sz w:val="32"/>
          <w:szCs w:val="32"/>
          <w:highlight w:val="none"/>
          <w:u w:val="none"/>
          <w:lang w:eastAsia="zh-CN"/>
        </w:rPr>
      </w:pPr>
      <w:r>
        <w:rPr>
          <w:rFonts w:hint="eastAsia" w:ascii="仿宋" w:hAnsi="仿宋" w:eastAsia="仿宋"/>
          <w:sz w:val="32"/>
          <w:szCs w:val="32"/>
          <w:u w:val="none"/>
          <w:lang w:eastAsia="zh-CN"/>
        </w:rPr>
        <w:t>县委政法委</w:t>
      </w:r>
      <w:r>
        <w:rPr>
          <w:rFonts w:hint="eastAsia" w:ascii="仿宋" w:hAnsi="仿宋" w:eastAsia="仿宋"/>
          <w:sz w:val="32"/>
          <w:szCs w:val="32"/>
          <w:u w:val="none"/>
          <w:lang w:val="en-US" w:eastAsia="zh-CN"/>
        </w:rPr>
        <w:t>2019年度</w:t>
      </w:r>
      <w:r>
        <w:rPr>
          <w:rFonts w:hint="eastAsia" w:ascii="仿宋" w:hAnsi="仿宋" w:eastAsia="仿宋"/>
          <w:sz w:val="32"/>
          <w:szCs w:val="32"/>
          <w:u w:val="none"/>
          <w:lang w:eastAsia="zh-CN"/>
        </w:rPr>
        <w:t>收入合计</w:t>
      </w:r>
      <w:r>
        <w:rPr>
          <w:rFonts w:hint="eastAsia" w:ascii="仿宋" w:hAnsi="仿宋" w:eastAsia="仿宋"/>
          <w:sz w:val="32"/>
          <w:szCs w:val="32"/>
          <w:u w:val="none"/>
          <w:lang w:val="en-US" w:eastAsia="zh-CN"/>
        </w:rPr>
        <w:t>766.65</w:t>
      </w:r>
      <w:r>
        <w:rPr>
          <w:rFonts w:hint="eastAsia" w:ascii="仿宋" w:hAnsi="仿宋" w:eastAsia="仿宋"/>
          <w:sz w:val="32"/>
          <w:szCs w:val="32"/>
          <w:u w:val="none"/>
        </w:rPr>
        <w:t>万元</w:t>
      </w:r>
      <w:r>
        <w:rPr>
          <w:rFonts w:hint="eastAsia" w:ascii="仿宋" w:hAnsi="仿宋" w:eastAsia="仿宋"/>
          <w:sz w:val="32"/>
          <w:szCs w:val="32"/>
          <w:u w:val="none"/>
          <w:lang w:val="en-US" w:eastAsia="zh-CN"/>
        </w:rPr>
        <w:t>,其中，财政拨款766.65万元，占总收入的100%，与去年相比增</w:t>
      </w:r>
      <w:r>
        <w:rPr>
          <w:rFonts w:hint="eastAsia" w:ascii="仿宋" w:hAnsi="仿宋" w:eastAsia="仿宋"/>
          <w:sz w:val="32"/>
          <w:szCs w:val="32"/>
          <w:highlight w:val="none"/>
          <w:u w:val="none"/>
          <w:lang w:val="en-US" w:eastAsia="zh-CN"/>
        </w:rPr>
        <w:t>-76.98万元，增幅为-9.12%</w:t>
      </w:r>
      <w:r>
        <w:rPr>
          <w:rFonts w:hint="eastAsia" w:ascii="仿宋" w:hAnsi="仿宋" w:eastAsia="仿宋"/>
          <w:sz w:val="32"/>
          <w:szCs w:val="32"/>
          <w:highlight w:val="none"/>
          <w:u w:val="none"/>
        </w:rPr>
        <w:t>。</w:t>
      </w:r>
      <w:r>
        <w:rPr>
          <w:rFonts w:hint="eastAsia" w:ascii="仿宋" w:hAnsi="仿宋" w:eastAsia="仿宋"/>
          <w:sz w:val="32"/>
          <w:szCs w:val="32"/>
          <w:highlight w:val="none"/>
          <w:u w:val="none"/>
          <w:lang w:eastAsia="zh-CN"/>
        </w:rPr>
        <w:t>其原因是本年度预算项目减少。</w:t>
      </w:r>
    </w:p>
    <w:p>
      <w:pPr>
        <w:ind w:firstLine="640" w:firstLineChars="200"/>
        <w:rPr>
          <w:rFonts w:hint="eastAsia" w:ascii="仿宋" w:hAnsi="仿宋" w:eastAsia="仿宋"/>
          <w:sz w:val="32"/>
          <w:szCs w:val="32"/>
          <w:highlight w:val="none"/>
          <w:u w:val="none"/>
        </w:rPr>
      </w:pPr>
    </w:p>
    <w:p>
      <w:pPr>
        <w:ind w:firstLine="643" w:firstLineChars="200"/>
        <w:rPr>
          <w:rFonts w:hint="eastAsia" w:ascii="仿宋" w:hAnsi="仿宋" w:eastAsia="仿宋"/>
          <w:sz w:val="32"/>
          <w:szCs w:val="32"/>
          <w:highlight w:val="none"/>
          <w:u w:val="none"/>
          <w:lang w:eastAsia="zh-CN"/>
        </w:rPr>
      </w:pPr>
      <w:r>
        <w:rPr>
          <w:rFonts w:hint="eastAsia" w:asciiTheme="majorEastAsia" w:hAnsiTheme="majorEastAsia" w:eastAsiaTheme="majorEastAsia" w:cstheme="majorEastAsia"/>
          <w:b/>
          <w:sz w:val="32"/>
          <w:szCs w:val="32"/>
        </w:rPr>
        <w:object>
          <v:shape id="_x0000_i1025" o:spt="75" type="#_x0000_t75" style="height:239.45pt;width:284.65pt;" o:ole="t" filled="f" o:preferrelative="t" stroked="f" coordsize="21600,21600">
            <v:path/>
            <v:fill on="f" focussize="0,0"/>
            <v:stroke on="f"/>
            <v:imagedata r:id="rId5" o:title=""/>
            <o:lock v:ext="edit" aspectratio="t"/>
            <w10:wrap type="none"/>
            <w10:anchorlock/>
          </v:shape>
          <o:OLEObject Type="Embed" ProgID="MSGraph.Chart.8" ShapeID="_x0000_i1025" DrawAspect="Content" ObjectID="_1468075725" r:id="rId4">
            <o:LockedField>false</o:LockedField>
          </o:OLEObject>
        </w:object>
      </w:r>
    </w:p>
    <w:p>
      <w:pPr>
        <w:ind w:firstLine="800" w:firstLineChars="250"/>
        <w:rPr>
          <w:rFonts w:hint="eastAsia" w:ascii="黑体" w:hAnsi="黑体" w:eastAsia="黑体" w:cs="黑体"/>
          <w:b/>
          <w:bCs/>
          <w:sz w:val="32"/>
          <w:szCs w:val="32"/>
          <w:u w:val="none"/>
        </w:rPr>
      </w:pPr>
      <w:r>
        <w:rPr>
          <w:rFonts w:hint="eastAsia" w:ascii="黑体" w:hAnsi="黑体" w:eastAsia="黑体" w:cs="黑体"/>
          <w:sz w:val="32"/>
          <w:szCs w:val="32"/>
          <w:u w:val="none"/>
          <w:lang w:eastAsia="zh-CN"/>
        </w:rPr>
        <w:t>二</w:t>
      </w:r>
      <w:r>
        <w:rPr>
          <w:rFonts w:hint="eastAsia" w:ascii="黑体" w:hAnsi="黑体" w:eastAsia="黑体" w:cs="黑体"/>
          <w:sz w:val="32"/>
          <w:szCs w:val="32"/>
          <w:u w:val="none"/>
        </w:rPr>
        <w:t>、201</w:t>
      </w:r>
      <w:r>
        <w:rPr>
          <w:rFonts w:hint="eastAsia" w:ascii="黑体" w:hAnsi="黑体" w:eastAsia="黑体" w:cs="黑体"/>
          <w:sz w:val="32"/>
          <w:szCs w:val="32"/>
          <w:u w:val="none"/>
          <w:lang w:val="en-US" w:eastAsia="zh-CN"/>
        </w:rPr>
        <w:t>9</w:t>
      </w:r>
      <w:r>
        <w:rPr>
          <w:rFonts w:hint="eastAsia" w:ascii="黑体" w:hAnsi="黑体" w:eastAsia="黑体" w:cs="黑体"/>
          <w:sz w:val="32"/>
          <w:szCs w:val="32"/>
          <w:u w:val="none"/>
        </w:rPr>
        <w:t>年财政拨款支出决算情况</w:t>
      </w:r>
    </w:p>
    <w:p>
      <w:pPr>
        <w:ind w:firstLine="800" w:firstLineChars="250"/>
        <w:rPr>
          <w:rFonts w:hint="eastAsia" w:ascii="仿宋" w:hAnsi="仿宋" w:eastAsia="仿宋"/>
          <w:sz w:val="32"/>
          <w:szCs w:val="32"/>
          <w:u w:val="none"/>
        </w:rPr>
      </w:pPr>
      <w:r>
        <w:rPr>
          <w:rFonts w:hint="eastAsia" w:ascii="仿宋_GB2312" w:hAnsi="黑体" w:eastAsia="仿宋_GB2312" w:cs="Times New Roman"/>
          <w:bCs/>
          <w:color w:val="000000"/>
          <w:kern w:val="0"/>
          <w:sz w:val="32"/>
          <w:szCs w:val="32"/>
          <w:u w:val="none"/>
        </w:rPr>
        <w:t>县委政法委</w:t>
      </w:r>
      <w:r>
        <w:rPr>
          <w:rFonts w:hint="eastAsia" w:ascii="仿宋_GB2312" w:hAnsi="Times New Roman" w:eastAsia="仿宋_GB2312" w:cs="Times New Roman"/>
          <w:color w:val="333333"/>
          <w:kern w:val="0"/>
          <w:sz w:val="32"/>
          <w:szCs w:val="32"/>
          <w:u w:val="none"/>
          <w:lang w:eastAsia="zh-CN"/>
        </w:rPr>
        <w:t>201</w:t>
      </w:r>
      <w:r>
        <w:rPr>
          <w:rFonts w:hint="eastAsia" w:ascii="仿宋_GB2312" w:hAnsi="Times New Roman" w:eastAsia="仿宋_GB2312" w:cs="Times New Roman"/>
          <w:color w:val="333333"/>
          <w:kern w:val="0"/>
          <w:sz w:val="32"/>
          <w:szCs w:val="32"/>
          <w:u w:val="none"/>
          <w:lang w:val="en-US" w:eastAsia="zh-CN"/>
        </w:rPr>
        <w:t>9</w:t>
      </w:r>
      <w:r>
        <w:rPr>
          <w:rFonts w:hint="eastAsia" w:ascii="仿宋_GB2312" w:hAnsi="Times New Roman" w:eastAsia="仿宋_GB2312" w:cs="仿宋_GB2312"/>
          <w:color w:val="333333"/>
          <w:kern w:val="0"/>
          <w:sz w:val="32"/>
          <w:szCs w:val="32"/>
          <w:u w:val="none"/>
        </w:rPr>
        <w:t>年度</w:t>
      </w:r>
      <w:r>
        <w:rPr>
          <w:rFonts w:hint="eastAsia" w:ascii="仿宋_GB2312" w:hAnsi="Times New Roman" w:eastAsia="仿宋_GB2312" w:cs="Times New Roman"/>
          <w:color w:val="333333"/>
          <w:kern w:val="0"/>
          <w:sz w:val="32"/>
          <w:szCs w:val="32"/>
          <w:u w:val="none"/>
        </w:rPr>
        <w:t>一般</w:t>
      </w:r>
      <w:r>
        <w:rPr>
          <w:rFonts w:hint="eastAsia" w:ascii="仿宋_GB2312" w:hAnsi="Times New Roman" w:eastAsia="仿宋_GB2312" w:cs="仿宋_GB2312"/>
          <w:color w:val="333333"/>
          <w:kern w:val="0"/>
          <w:sz w:val="32"/>
          <w:szCs w:val="32"/>
          <w:u w:val="none"/>
        </w:rPr>
        <w:t>公共预算支出</w:t>
      </w:r>
      <w:r>
        <w:rPr>
          <w:rFonts w:hint="eastAsia" w:ascii="Times New Roman" w:hAnsi="Times New Roman" w:eastAsia="仿宋_GB2312" w:cs="Times New Roman"/>
          <w:color w:val="333333"/>
          <w:kern w:val="0"/>
          <w:sz w:val="32"/>
          <w:szCs w:val="32"/>
          <w:u w:val="none"/>
          <w:lang w:val="en-US" w:eastAsia="zh-CN"/>
        </w:rPr>
        <w:t>729.47</w:t>
      </w:r>
      <w:r>
        <w:rPr>
          <w:rFonts w:hint="eastAsia" w:ascii="Times New Roman" w:hAnsi="Times New Roman" w:eastAsia="仿宋_GB2312" w:cs="Times New Roman"/>
          <w:color w:val="333333"/>
          <w:kern w:val="0"/>
          <w:sz w:val="32"/>
          <w:szCs w:val="32"/>
          <w:u w:val="none"/>
        </w:rPr>
        <w:t>万元</w:t>
      </w:r>
      <w:r>
        <w:rPr>
          <w:rFonts w:hint="eastAsia" w:ascii="仿宋_GB2312" w:hAnsi="Times New Roman" w:eastAsia="仿宋_GB2312" w:cs="仿宋_GB2312"/>
          <w:color w:val="333333"/>
          <w:kern w:val="0"/>
          <w:sz w:val="32"/>
          <w:szCs w:val="32"/>
          <w:u w:val="none"/>
        </w:rPr>
        <w:t>，</w:t>
      </w:r>
      <w:r>
        <w:rPr>
          <w:rFonts w:hint="eastAsia" w:ascii="仿宋" w:hAnsi="仿宋" w:eastAsia="仿宋"/>
          <w:sz w:val="32"/>
          <w:szCs w:val="32"/>
          <w:u w:val="none"/>
        </w:rPr>
        <w:t>其中，基本支出为</w:t>
      </w:r>
      <w:r>
        <w:rPr>
          <w:rFonts w:hint="eastAsia" w:ascii="仿宋" w:hAnsi="仿宋" w:eastAsia="仿宋"/>
          <w:sz w:val="32"/>
          <w:szCs w:val="32"/>
          <w:u w:val="none"/>
          <w:lang w:val="en-US" w:eastAsia="zh-CN"/>
        </w:rPr>
        <w:t>456.51</w:t>
      </w:r>
      <w:r>
        <w:rPr>
          <w:rFonts w:hint="eastAsia" w:ascii="仿宋" w:hAnsi="仿宋" w:eastAsia="仿宋"/>
          <w:sz w:val="32"/>
          <w:szCs w:val="32"/>
          <w:u w:val="none"/>
        </w:rPr>
        <w:t>万元，</w:t>
      </w:r>
      <w:r>
        <w:rPr>
          <w:rFonts w:hint="eastAsia" w:ascii="仿宋" w:hAnsi="仿宋" w:eastAsia="仿宋"/>
          <w:sz w:val="32"/>
          <w:szCs w:val="32"/>
          <w:u w:val="none"/>
          <w:lang w:eastAsia="zh-CN"/>
        </w:rPr>
        <w:t>占总支出的</w:t>
      </w:r>
      <w:r>
        <w:rPr>
          <w:rFonts w:hint="eastAsia" w:ascii="仿宋" w:hAnsi="仿宋" w:eastAsia="仿宋"/>
          <w:sz w:val="32"/>
          <w:szCs w:val="32"/>
          <w:highlight w:val="none"/>
          <w:u w:val="none"/>
          <w:lang w:val="en-US" w:eastAsia="zh-CN"/>
        </w:rPr>
        <w:t>62.58</w:t>
      </w:r>
      <w:r>
        <w:rPr>
          <w:rFonts w:hint="eastAsia" w:ascii="仿宋" w:hAnsi="仿宋" w:eastAsia="仿宋"/>
          <w:sz w:val="32"/>
          <w:szCs w:val="32"/>
          <w:u w:val="none"/>
          <w:lang w:val="en-US" w:eastAsia="zh-CN"/>
        </w:rPr>
        <w:t>%。</w:t>
      </w:r>
      <w:r>
        <w:rPr>
          <w:rFonts w:hint="eastAsia" w:ascii="仿宋" w:hAnsi="仿宋" w:eastAsia="仿宋"/>
          <w:sz w:val="32"/>
          <w:szCs w:val="32"/>
          <w:u w:val="none"/>
        </w:rPr>
        <w:t>项目支出</w:t>
      </w:r>
      <w:r>
        <w:rPr>
          <w:rFonts w:hint="eastAsia" w:ascii="仿宋" w:hAnsi="仿宋" w:eastAsia="仿宋"/>
          <w:sz w:val="32"/>
          <w:szCs w:val="32"/>
          <w:u w:val="none"/>
          <w:lang w:val="en-US" w:eastAsia="zh-CN"/>
        </w:rPr>
        <w:t>272.96</w:t>
      </w:r>
      <w:r>
        <w:rPr>
          <w:rFonts w:hint="eastAsia" w:ascii="仿宋" w:hAnsi="仿宋" w:eastAsia="仿宋"/>
          <w:sz w:val="32"/>
          <w:szCs w:val="32"/>
          <w:u w:val="none"/>
        </w:rPr>
        <w:t>万元，</w:t>
      </w:r>
      <w:r>
        <w:rPr>
          <w:rFonts w:hint="eastAsia" w:ascii="仿宋" w:hAnsi="仿宋" w:eastAsia="仿宋"/>
          <w:sz w:val="32"/>
          <w:szCs w:val="32"/>
          <w:u w:val="none"/>
          <w:lang w:eastAsia="zh-CN"/>
        </w:rPr>
        <w:t>占总支出的</w:t>
      </w:r>
      <w:r>
        <w:rPr>
          <w:rFonts w:hint="eastAsia" w:ascii="仿宋" w:hAnsi="仿宋" w:eastAsia="仿宋"/>
          <w:sz w:val="32"/>
          <w:szCs w:val="32"/>
          <w:u w:val="none"/>
          <w:lang w:val="en-US" w:eastAsia="zh-CN"/>
        </w:rPr>
        <w:t>37.42%。</w:t>
      </w:r>
      <w:r>
        <w:rPr>
          <w:rFonts w:hint="eastAsia" w:ascii="仿宋" w:hAnsi="仿宋" w:eastAsia="仿宋"/>
          <w:sz w:val="32"/>
          <w:szCs w:val="32"/>
          <w:u w:val="none"/>
        </w:rPr>
        <w:t>年末结余结转</w:t>
      </w:r>
      <w:r>
        <w:rPr>
          <w:rFonts w:hint="eastAsia" w:ascii="仿宋" w:hAnsi="仿宋" w:eastAsia="仿宋"/>
          <w:sz w:val="32"/>
          <w:szCs w:val="32"/>
          <w:u w:val="none"/>
          <w:lang w:val="en-US" w:eastAsia="zh-CN"/>
        </w:rPr>
        <w:t>143.94</w:t>
      </w:r>
      <w:r>
        <w:rPr>
          <w:rFonts w:hint="eastAsia" w:ascii="仿宋" w:hAnsi="仿宋" w:eastAsia="仿宋"/>
          <w:sz w:val="32"/>
          <w:szCs w:val="32"/>
          <w:u w:val="none"/>
        </w:rPr>
        <w:t>万元。</w:t>
      </w:r>
    </w:p>
    <w:p>
      <w:pPr>
        <w:numPr>
          <w:ilvl w:val="0"/>
          <w:numId w:val="1"/>
        </w:numPr>
        <w:ind w:firstLine="800" w:firstLineChars="250"/>
        <w:rPr>
          <w:rFonts w:hint="eastAsia" w:ascii="仿宋" w:hAnsi="仿宋" w:eastAsia="仿宋"/>
          <w:sz w:val="32"/>
          <w:szCs w:val="32"/>
          <w:u w:val="none"/>
          <w:lang w:eastAsia="zh-CN"/>
        </w:rPr>
      </w:pPr>
      <w:r>
        <w:rPr>
          <w:rFonts w:hint="eastAsia" w:ascii="仿宋" w:hAnsi="仿宋" w:eastAsia="仿宋"/>
          <w:sz w:val="32"/>
          <w:szCs w:val="32"/>
          <w:u w:val="none"/>
          <w:lang w:eastAsia="zh-CN"/>
        </w:rPr>
        <w:t>基本支出情况</w:t>
      </w:r>
    </w:p>
    <w:p>
      <w:pPr>
        <w:numPr>
          <w:ilvl w:val="0"/>
          <w:numId w:val="0"/>
        </w:numPr>
        <w:ind w:firstLine="640" w:firstLineChars="200"/>
        <w:rPr>
          <w:rFonts w:hint="eastAsia" w:ascii="仿宋" w:hAnsi="仿宋" w:eastAsia="仿宋"/>
          <w:b/>
          <w:bCs/>
          <w:sz w:val="32"/>
          <w:szCs w:val="32"/>
          <w:highlight w:val="none"/>
          <w:u w:val="single"/>
          <w:lang w:eastAsia="zh-CN"/>
        </w:rPr>
      </w:pPr>
      <w:r>
        <w:rPr>
          <w:rFonts w:hint="eastAsia" w:ascii="仿宋" w:hAnsi="仿宋" w:eastAsia="仿宋"/>
          <w:sz w:val="32"/>
          <w:szCs w:val="32"/>
          <w:u w:val="none"/>
        </w:rPr>
        <w:t>基本支出为</w:t>
      </w:r>
      <w:r>
        <w:rPr>
          <w:rFonts w:hint="eastAsia" w:ascii="仿宋" w:hAnsi="仿宋" w:eastAsia="仿宋"/>
          <w:sz w:val="32"/>
          <w:szCs w:val="32"/>
          <w:u w:val="none"/>
          <w:lang w:val="en-US" w:eastAsia="zh-CN"/>
        </w:rPr>
        <w:t>456.51</w:t>
      </w:r>
      <w:r>
        <w:rPr>
          <w:rFonts w:hint="eastAsia" w:ascii="仿宋" w:hAnsi="仿宋" w:eastAsia="仿宋"/>
          <w:sz w:val="32"/>
          <w:szCs w:val="32"/>
          <w:u w:val="none"/>
        </w:rPr>
        <w:t>万元，在基本支出中，人员经费支出</w:t>
      </w:r>
      <w:r>
        <w:rPr>
          <w:rFonts w:hint="eastAsia" w:ascii="仿宋" w:hAnsi="仿宋" w:eastAsia="仿宋"/>
          <w:sz w:val="32"/>
          <w:szCs w:val="32"/>
          <w:u w:val="none"/>
          <w:lang w:val="en-US" w:eastAsia="zh-CN"/>
        </w:rPr>
        <w:t>383.88</w:t>
      </w:r>
      <w:r>
        <w:rPr>
          <w:rFonts w:hint="eastAsia" w:ascii="仿宋" w:hAnsi="仿宋" w:eastAsia="仿宋"/>
          <w:sz w:val="32"/>
          <w:szCs w:val="32"/>
          <w:u w:val="none"/>
        </w:rPr>
        <w:t>万元，占基本支出的</w:t>
      </w:r>
      <w:r>
        <w:rPr>
          <w:rFonts w:hint="eastAsia" w:ascii="仿宋" w:hAnsi="仿宋" w:eastAsia="仿宋"/>
          <w:sz w:val="32"/>
          <w:szCs w:val="32"/>
          <w:highlight w:val="none"/>
          <w:u w:val="none"/>
          <w:lang w:val="en-US" w:eastAsia="zh-CN"/>
        </w:rPr>
        <w:t>84.09</w:t>
      </w:r>
      <w:r>
        <w:rPr>
          <w:rFonts w:hint="eastAsia" w:ascii="仿宋" w:hAnsi="仿宋" w:eastAsia="仿宋"/>
          <w:sz w:val="32"/>
          <w:szCs w:val="32"/>
          <w:highlight w:val="none"/>
          <w:u w:val="none"/>
        </w:rPr>
        <w:t>%</w:t>
      </w:r>
      <w:r>
        <w:rPr>
          <w:rFonts w:hint="eastAsia" w:ascii="仿宋" w:hAnsi="仿宋" w:eastAsia="仿宋"/>
          <w:sz w:val="32"/>
          <w:szCs w:val="32"/>
          <w:highlight w:val="none"/>
          <w:u w:val="none"/>
          <w:lang w:eastAsia="zh-CN"/>
        </w:rPr>
        <w:t>；</w:t>
      </w:r>
      <w:r>
        <w:rPr>
          <w:rFonts w:hint="eastAsia" w:ascii="仿宋" w:hAnsi="仿宋" w:eastAsia="仿宋"/>
          <w:sz w:val="32"/>
          <w:szCs w:val="32"/>
          <w:highlight w:val="none"/>
          <w:u w:val="none"/>
        </w:rPr>
        <w:t>日常公用经费支出</w:t>
      </w:r>
      <w:r>
        <w:rPr>
          <w:rFonts w:hint="eastAsia" w:ascii="仿宋" w:hAnsi="仿宋" w:eastAsia="仿宋"/>
          <w:sz w:val="32"/>
          <w:szCs w:val="32"/>
          <w:highlight w:val="none"/>
          <w:u w:val="none"/>
          <w:lang w:val="en-US" w:eastAsia="zh-CN"/>
        </w:rPr>
        <w:t>56.51</w:t>
      </w:r>
      <w:r>
        <w:rPr>
          <w:rFonts w:hint="eastAsia" w:ascii="仿宋" w:hAnsi="仿宋" w:eastAsia="仿宋"/>
          <w:sz w:val="32"/>
          <w:szCs w:val="32"/>
          <w:highlight w:val="none"/>
          <w:u w:val="none"/>
        </w:rPr>
        <w:t>万元，占基本支出的</w:t>
      </w:r>
      <w:r>
        <w:rPr>
          <w:rFonts w:hint="eastAsia" w:ascii="仿宋" w:hAnsi="仿宋" w:eastAsia="仿宋"/>
          <w:sz w:val="32"/>
          <w:szCs w:val="32"/>
          <w:highlight w:val="none"/>
          <w:u w:val="none"/>
          <w:lang w:val="en-US" w:eastAsia="zh-CN"/>
        </w:rPr>
        <w:t>12.38</w:t>
      </w:r>
      <w:r>
        <w:rPr>
          <w:rFonts w:hint="eastAsia" w:ascii="仿宋" w:hAnsi="仿宋" w:eastAsia="仿宋"/>
          <w:sz w:val="32"/>
          <w:szCs w:val="32"/>
          <w:highlight w:val="none"/>
          <w:u w:val="none"/>
        </w:rPr>
        <w:t>%</w:t>
      </w:r>
      <w:r>
        <w:rPr>
          <w:rFonts w:hint="eastAsia" w:ascii="仿宋" w:hAnsi="仿宋" w:eastAsia="仿宋"/>
          <w:sz w:val="32"/>
          <w:szCs w:val="32"/>
          <w:u w:val="none"/>
          <w:lang w:eastAsia="zh-CN"/>
        </w:rPr>
        <w:t>；个人与家庭支出</w:t>
      </w:r>
      <w:r>
        <w:rPr>
          <w:rFonts w:hint="eastAsia" w:ascii="仿宋" w:hAnsi="仿宋" w:eastAsia="仿宋"/>
          <w:sz w:val="32"/>
          <w:szCs w:val="32"/>
          <w:u w:val="none"/>
          <w:lang w:val="en-US" w:eastAsia="zh-CN"/>
        </w:rPr>
        <w:t>16.12万元，占基本支出的3.53%</w:t>
      </w:r>
      <w:r>
        <w:rPr>
          <w:rFonts w:hint="eastAsia" w:ascii="仿宋" w:hAnsi="仿宋" w:eastAsia="仿宋"/>
          <w:sz w:val="32"/>
          <w:szCs w:val="32"/>
          <w:u w:val="none"/>
        </w:rPr>
        <w:t>。</w:t>
      </w:r>
      <w:r>
        <w:rPr>
          <w:rFonts w:hint="eastAsia" w:ascii="仿宋" w:hAnsi="仿宋" w:eastAsia="仿宋"/>
          <w:sz w:val="32"/>
          <w:szCs w:val="32"/>
          <w:u w:val="none"/>
          <w:lang w:eastAsia="zh-CN"/>
        </w:rPr>
        <w:t>201</w:t>
      </w:r>
      <w:r>
        <w:rPr>
          <w:rFonts w:hint="eastAsia" w:ascii="仿宋" w:hAnsi="仿宋" w:eastAsia="仿宋"/>
          <w:sz w:val="32"/>
          <w:szCs w:val="32"/>
          <w:u w:val="none"/>
          <w:lang w:val="en-US" w:eastAsia="zh-CN"/>
        </w:rPr>
        <w:t>9</w:t>
      </w:r>
      <w:r>
        <w:rPr>
          <w:rFonts w:hint="eastAsia" w:ascii="仿宋" w:hAnsi="仿宋" w:eastAsia="仿宋"/>
          <w:sz w:val="32"/>
          <w:szCs w:val="32"/>
          <w:u w:val="none"/>
        </w:rPr>
        <w:t>年比201</w:t>
      </w:r>
      <w:r>
        <w:rPr>
          <w:rFonts w:hint="eastAsia" w:ascii="仿宋" w:hAnsi="仿宋" w:eastAsia="仿宋"/>
          <w:sz w:val="32"/>
          <w:szCs w:val="32"/>
          <w:u w:val="none"/>
          <w:lang w:val="en-US" w:eastAsia="zh-CN"/>
        </w:rPr>
        <w:t>8</w:t>
      </w:r>
      <w:r>
        <w:rPr>
          <w:rFonts w:hint="eastAsia" w:ascii="仿宋" w:hAnsi="仿宋" w:eastAsia="仿宋"/>
          <w:sz w:val="32"/>
          <w:szCs w:val="32"/>
          <w:u w:val="none"/>
        </w:rPr>
        <w:t>年</w:t>
      </w:r>
      <w:r>
        <w:rPr>
          <w:rFonts w:hint="eastAsia" w:ascii="仿宋" w:hAnsi="仿宋" w:eastAsia="仿宋"/>
          <w:sz w:val="32"/>
          <w:szCs w:val="32"/>
          <w:u w:val="none"/>
          <w:lang w:eastAsia="zh-CN"/>
        </w:rPr>
        <w:t>支出</w:t>
      </w:r>
      <w:r>
        <w:rPr>
          <w:rFonts w:hint="eastAsia" w:ascii="仿宋" w:hAnsi="仿宋" w:eastAsia="仿宋"/>
          <w:sz w:val="32"/>
          <w:szCs w:val="32"/>
          <w:u w:val="none"/>
        </w:rPr>
        <w:t>增加</w:t>
      </w:r>
      <w:r>
        <w:rPr>
          <w:rFonts w:hint="eastAsia" w:ascii="仿宋" w:hAnsi="仿宋" w:eastAsia="仿宋"/>
          <w:sz w:val="32"/>
          <w:szCs w:val="32"/>
          <w:highlight w:val="none"/>
          <w:u w:val="none"/>
          <w:lang w:val="en-US" w:eastAsia="zh-CN"/>
        </w:rPr>
        <w:t>-28.28</w:t>
      </w:r>
      <w:r>
        <w:rPr>
          <w:rFonts w:hint="eastAsia" w:ascii="仿宋" w:hAnsi="仿宋" w:eastAsia="仿宋"/>
          <w:sz w:val="32"/>
          <w:szCs w:val="32"/>
          <w:highlight w:val="none"/>
          <w:u w:val="none"/>
        </w:rPr>
        <w:t>万元，增长</w:t>
      </w:r>
      <w:r>
        <w:rPr>
          <w:rFonts w:hint="eastAsia" w:ascii="仿宋" w:hAnsi="仿宋" w:eastAsia="仿宋"/>
          <w:sz w:val="32"/>
          <w:szCs w:val="32"/>
          <w:highlight w:val="none"/>
          <w:u w:val="none"/>
          <w:lang w:val="en-US" w:eastAsia="zh-CN"/>
        </w:rPr>
        <w:t>-5.83</w:t>
      </w:r>
      <w:r>
        <w:rPr>
          <w:rFonts w:hint="eastAsia" w:ascii="仿宋" w:hAnsi="仿宋" w:eastAsia="仿宋"/>
          <w:sz w:val="32"/>
          <w:szCs w:val="32"/>
          <w:highlight w:val="none"/>
          <w:u w:val="none"/>
        </w:rPr>
        <w:t>%；</w:t>
      </w:r>
      <w:r>
        <w:rPr>
          <w:rFonts w:hint="eastAsia" w:ascii="仿宋" w:hAnsi="仿宋" w:eastAsia="仿宋"/>
          <w:sz w:val="32"/>
          <w:szCs w:val="32"/>
          <w:highlight w:val="none"/>
          <w:u w:val="single"/>
        </w:rPr>
        <w:t>支出增减变动原因</w:t>
      </w:r>
      <w:r>
        <w:rPr>
          <w:rFonts w:hint="eastAsia" w:ascii="仿宋" w:hAnsi="仿宋" w:eastAsia="仿宋"/>
          <w:sz w:val="32"/>
          <w:szCs w:val="32"/>
          <w:highlight w:val="none"/>
          <w:u w:val="single"/>
          <w:lang w:eastAsia="zh-CN"/>
        </w:rPr>
        <w:t>：</w:t>
      </w:r>
      <w:r>
        <w:rPr>
          <w:rFonts w:hint="eastAsia" w:ascii="仿宋" w:hAnsi="仿宋" w:eastAsia="仿宋"/>
          <w:b/>
          <w:bCs/>
          <w:sz w:val="32"/>
          <w:szCs w:val="32"/>
          <w:highlight w:val="none"/>
          <w:u w:val="single"/>
        </w:rPr>
        <w:t>本年度基本支出工资福利支出调整增加津贴补贴</w:t>
      </w:r>
      <w:r>
        <w:rPr>
          <w:rFonts w:hint="eastAsia" w:ascii="仿宋" w:hAnsi="仿宋" w:eastAsia="仿宋"/>
          <w:b/>
          <w:bCs/>
          <w:sz w:val="32"/>
          <w:szCs w:val="32"/>
          <w:highlight w:val="none"/>
          <w:u w:val="single"/>
          <w:lang w:eastAsia="zh-CN"/>
        </w:rPr>
        <w:t>，同时公用经费超</w:t>
      </w:r>
      <w:r>
        <w:rPr>
          <w:rFonts w:hint="eastAsia" w:ascii="仿宋" w:hAnsi="仿宋" w:eastAsia="仿宋"/>
          <w:b/>
          <w:bCs/>
          <w:sz w:val="32"/>
          <w:szCs w:val="32"/>
          <w:highlight w:val="none"/>
          <w:u w:val="single"/>
          <w:lang w:val="en-US" w:eastAsia="zh-CN"/>
        </w:rPr>
        <w:t>50万元项目调整至项目收入和支出</w:t>
      </w:r>
      <w:r>
        <w:rPr>
          <w:rFonts w:hint="eastAsia" w:ascii="仿宋" w:hAnsi="仿宋" w:eastAsia="仿宋"/>
          <w:b/>
          <w:bCs/>
          <w:sz w:val="32"/>
          <w:szCs w:val="32"/>
          <w:highlight w:val="none"/>
          <w:u w:val="single"/>
          <w:lang w:eastAsia="zh-CN"/>
        </w:rPr>
        <w:t>。</w:t>
      </w:r>
    </w:p>
    <w:p>
      <w:pPr>
        <w:numPr>
          <w:ilvl w:val="0"/>
          <w:numId w:val="1"/>
        </w:numPr>
        <w:ind w:left="0" w:leftChars="0" w:firstLine="800" w:firstLineChars="250"/>
        <w:rPr>
          <w:rFonts w:hint="eastAsia" w:ascii="仿宋" w:hAnsi="仿宋" w:eastAsia="仿宋"/>
          <w:sz w:val="32"/>
          <w:szCs w:val="32"/>
          <w:highlight w:val="none"/>
          <w:u w:val="none"/>
          <w:lang w:eastAsia="zh-CN"/>
        </w:rPr>
      </w:pPr>
      <w:r>
        <w:rPr>
          <w:rFonts w:hint="eastAsia" w:ascii="仿宋" w:hAnsi="仿宋" w:eastAsia="仿宋"/>
          <w:sz w:val="32"/>
          <w:szCs w:val="32"/>
          <w:highlight w:val="none"/>
          <w:u w:val="none"/>
          <w:lang w:eastAsia="zh-CN"/>
        </w:rPr>
        <w:t>项目支出情况</w:t>
      </w:r>
    </w:p>
    <w:p>
      <w:pPr>
        <w:ind w:firstLine="800" w:firstLineChars="250"/>
        <w:rPr>
          <w:rFonts w:hint="eastAsia" w:ascii="仿宋" w:hAnsi="仿宋" w:eastAsia="仿宋"/>
          <w:b/>
          <w:bCs/>
          <w:sz w:val="32"/>
          <w:szCs w:val="32"/>
          <w:highlight w:val="none"/>
          <w:u w:val="single"/>
          <w:lang w:eastAsia="zh-CN"/>
        </w:rPr>
      </w:pPr>
      <w:r>
        <w:rPr>
          <w:rFonts w:hint="eastAsia" w:ascii="仿宋" w:hAnsi="仿宋" w:eastAsia="仿宋"/>
          <w:sz w:val="32"/>
          <w:szCs w:val="32"/>
        </w:rPr>
        <w:t>本年项目</w:t>
      </w:r>
      <w:r>
        <w:rPr>
          <w:rFonts w:hint="eastAsia" w:ascii="仿宋" w:hAnsi="仿宋" w:eastAsia="仿宋"/>
          <w:sz w:val="32"/>
          <w:szCs w:val="32"/>
          <w:highlight w:val="none"/>
          <w:u w:val="none"/>
        </w:rPr>
        <w:t>支出</w:t>
      </w:r>
      <w:r>
        <w:rPr>
          <w:rFonts w:hint="eastAsia" w:ascii="仿宋" w:hAnsi="仿宋" w:eastAsia="仿宋"/>
          <w:sz w:val="32"/>
          <w:szCs w:val="32"/>
          <w:highlight w:val="none"/>
          <w:u w:val="none"/>
          <w:lang w:val="en-US" w:eastAsia="zh-CN"/>
        </w:rPr>
        <w:t>272.96</w:t>
      </w:r>
      <w:r>
        <w:rPr>
          <w:rFonts w:hint="eastAsia" w:ascii="仿宋" w:hAnsi="仿宋" w:eastAsia="仿宋"/>
          <w:sz w:val="32"/>
          <w:szCs w:val="32"/>
          <w:highlight w:val="none"/>
          <w:u w:val="none"/>
        </w:rPr>
        <w:t>万元，</w:t>
      </w:r>
      <w:r>
        <w:rPr>
          <w:rFonts w:hint="eastAsia" w:ascii="仿宋_GB2312" w:eastAsia="仿宋_GB2312"/>
          <w:sz w:val="32"/>
          <w:szCs w:val="32"/>
          <w:highlight w:val="none"/>
        </w:rPr>
        <w:t>占</w:t>
      </w:r>
      <w:r>
        <w:rPr>
          <w:rFonts w:hint="eastAsia" w:ascii="仿宋_GB2312" w:eastAsia="仿宋_GB2312"/>
          <w:sz w:val="32"/>
          <w:szCs w:val="32"/>
          <w:highlight w:val="none"/>
          <w:lang w:eastAsia="zh-CN"/>
        </w:rPr>
        <w:t>总支出的</w:t>
      </w:r>
      <w:r>
        <w:rPr>
          <w:rFonts w:hint="eastAsia" w:ascii="仿宋_GB2312" w:eastAsia="仿宋_GB2312"/>
          <w:sz w:val="32"/>
          <w:szCs w:val="32"/>
          <w:highlight w:val="none"/>
          <w:lang w:val="en-US" w:eastAsia="zh-CN"/>
        </w:rPr>
        <w:t>37.42</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r>
        <w:rPr>
          <w:rFonts w:hint="eastAsia" w:ascii="仿宋" w:hAnsi="仿宋" w:eastAsia="仿宋"/>
          <w:sz w:val="32"/>
          <w:szCs w:val="32"/>
          <w:highlight w:val="none"/>
        </w:rPr>
        <w:t>比上年增加支出</w:t>
      </w:r>
      <w:r>
        <w:rPr>
          <w:rFonts w:hint="eastAsia" w:ascii="仿宋" w:hAnsi="仿宋" w:eastAsia="仿宋"/>
          <w:sz w:val="32"/>
          <w:szCs w:val="32"/>
          <w:highlight w:val="none"/>
          <w:lang w:val="en-US" w:eastAsia="zh-CN"/>
        </w:rPr>
        <w:t>208,770.48</w:t>
      </w:r>
      <w:r>
        <w:rPr>
          <w:rFonts w:hint="eastAsia" w:ascii="仿宋" w:hAnsi="仿宋" w:eastAsia="仿宋"/>
          <w:sz w:val="32"/>
          <w:szCs w:val="32"/>
          <w:highlight w:val="none"/>
        </w:rPr>
        <w:t>元，增长</w:t>
      </w:r>
      <w:r>
        <w:rPr>
          <w:rFonts w:hint="eastAsia" w:ascii="仿宋" w:hAnsi="仿宋" w:eastAsia="仿宋"/>
          <w:sz w:val="32"/>
          <w:szCs w:val="32"/>
          <w:highlight w:val="none"/>
          <w:lang w:val="en-US" w:eastAsia="zh-CN"/>
        </w:rPr>
        <w:t>8.28</w:t>
      </w:r>
      <w:r>
        <w:rPr>
          <w:rFonts w:hint="eastAsia" w:ascii="仿宋" w:hAnsi="仿宋" w:eastAsia="仿宋"/>
          <w:sz w:val="32"/>
          <w:szCs w:val="32"/>
          <w:highlight w:val="none"/>
        </w:rPr>
        <w:t>%。</w:t>
      </w:r>
      <w:r>
        <w:rPr>
          <w:rFonts w:hint="eastAsia" w:ascii="仿宋" w:hAnsi="仿宋" w:eastAsia="仿宋"/>
          <w:sz w:val="32"/>
          <w:szCs w:val="32"/>
          <w:highlight w:val="none"/>
          <w:u w:val="none"/>
        </w:rPr>
        <w:t>年末结余结转</w:t>
      </w:r>
      <w:r>
        <w:rPr>
          <w:rFonts w:hint="eastAsia" w:ascii="仿宋" w:hAnsi="仿宋" w:eastAsia="仿宋"/>
          <w:sz w:val="32"/>
          <w:szCs w:val="32"/>
          <w:highlight w:val="none"/>
          <w:u w:val="none"/>
          <w:lang w:val="en-US" w:eastAsia="zh-CN"/>
        </w:rPr>
        <w:t>143.94</w:t>
      </w:r>
      <w:r>
        <w:rPr>
          <w:rFonts w:hint="eastAsia" w:ascii="仿宋" w:hAnsi="仿宋" w:eastAsia="仿宋"/>
          <w:sz w:val="32"/>
          <w:szCs w:val="32"/>
          <w:highlight w:val="none"/>
          <w:u w:val="none"/>
        </w:rPr>
        <w:t>万元。</w:t>
      </w:r>
      <w:r>
        <w:rPr>
          <w:rFonts w:hint="eastAsia" w:ascii="仿宋_GB2312" w:eastAsia="仿宋_GB2312"/>
          <w:sz w:val="32"/>
          <w:szCs w:val="32"/>
          <w:highlight w:val="none"/>
          <w:lang w:eastAsia="zh-CN"/>
        </w:rPr>
        <w:t>其中，</w:t>
      </w:r>
      <w:r>
        <w:rPr>
          <w:rFonts w:hint="eastAsia" w:ascii="仿宋_GB2312" w:eastAsia="仿宋_GB2312"/>
          <w:sz w:val="32"/>
          <w:szCs w:val="32"/>
          <w:highlight w:val="none"/>
        </w:rPr>
        <w:t>上缴上级支出0万元；经营支出0万元；对附属单位补助支出0万元。</w:t>
      </w:r>
      <w:r>
        <w:rPr>
          <w:rFonts w:hint="eastAsia" w:ascii="仿宋" w:hAnsi="仿宋" w:eastAsia="仿宋"/>
          <w:sz w:val="32"/>
          <w:szCs w:val="32"/>
          <w:highlight w:val="none"/>
          <w:u w:val="single"/>
        </w:rPr>
        <w:t>支出增减变动原因</w:t>
      </w:r>
      <w:r>
        <w:rPr>
          <w:rFonts w:hint="eastAsia" w:ascii="仿宋" w:hAnsi="仿宋" w:eastAsia="仿宋"/>
          <w:sz w:val="32"/>
          <w:szCs w:val="32"/>
          <w:highlight w:val="none"/>
          <w:u w:val="single"/>
          <w:lang w:eastAsia="zh-CN"/>
        </w:rPr>
        <w:t>：</w:t>
      </w:r>
      <w:r>
        <w:rPr>
          <w:rFonts w:hint="eastAsia" w:ascii="仿宋" w:hAnsi="仿宋" w:eastAsia="仿宋"/>
          <w:b/>
          <w:bCs/>
          <w:sz w:val="32"/>
          <w:szCs w:val="32"/>
          <w:highlight w:val="none"/>
          <w:u w:val="single"/>
        </w:rPr>
        <w:t>本年度</w:t>
      </w:r>
      <w:r>
        <w:rPr>
          <w:rFonts w:hint="eastAsia" w:ascii="仿宋" w:hAnsi="仿宋" w:eastAsia="仿宋"/>
          <w:b/>
          <w:bCs/>
          <w:sz w:val="32"/>
          <w:szCs w:val="32"/>
          <w:highlight w:val="none"/>
          <w:u w:val="single"/>
          <w:lang w:eastAsia="zh-CN"/>
        </w:rPr>
        <w:t>项目</w:t>
      </w:r>
      <w:r>
        <w:rPr>
          <w:rFonts w:hint="eastAsia" w:ascii="仿宋" w:hAnsi="仿宋" w:eastAsia="仿宋"/>
          <w:b/>
          <w:bCs/>
          <w:sz w:val="32"/>
          <w:szCs w:val="32"/>
          <w:highlight w:val="none"/>
          <w:u w:val="single"/>
        </w:rPr>
        <w:t>支出</w:t>
      </w:r>
      <w:r>
        <w:rPr>
          <w:rFonts w:hint="eastAsia" w:ascii="仿宋" w:hAnsi="仿宋" w:eastAsia="仿宋"/>
          <w:b/>
          <w:bCs/>
          <w:sz w:val="32"/>
          <w:szCs w:val="32"/>
          <w:highlight w:val="none"/>
          <w:u w:val="single"/>
          <w:lang w:eastAsia="zh-CN"/>
        </w:rPr>
        <w:t>主要是增加了扫黑除恶经费支出，其中，相对于本级上级预算收入和支出增加。</w:t>
      </w:r>
    </w:p>
    <w:p>
      <w:pPr>
        <w:widowControl/>
        <w:shd w:val="clear" w:color="auto" w:fill="FFFFFF"/>
        <w:adjustRightInd w:val="0"/>
        <w:spacing w:line="560" w:lineRule="exact"/>
        <w:ind w:firstLine="640" w:firstLineChars="200"/>
        <w:jc w:val="left"/>
        <w:rPr>
          <w:rFonts w:hint="eastAsia" w:ascii="黑体" w:hAnsi="黑体" w:eastAsia="黑体" w:cs="黑体"/>
          <w:b w:val="0"/>
          <w:bCs/>
          <w:color w:val="333333"/>
          <w:kern w:val="0"/>
          <w:sz w:val="32"/>
          <w:szCs w:val="32"/>
          <w:u w:val="none"/>
        </w:rPr>
      </w:pPr>
      <w:r>
        <w:rPr>
          <w:rFonts w:hint="eastAsia" w:ascii="黑体" w:hAnsi="黑体" w:eastAsia="黑体" w:cs="黑体"/>
          <w:b w:val="0"/>
          <w:bCs/>
          <w:color w:val="333333"/>
          <w:kern w:val="0"/>
          <w:sz w:val="32"/>
          <w:szCs w:val="32"/>
          <w:u w:val="none"/>
          <w:lang w:eastAsia="zh-CN"/>
        </w:rPr>
        <w:t>三、201</w:t>
      </w:r>
      <w:r>
        <w:rPr>
          <w:rFonts w:hint="eastAsia" w:ascii="黑体" w:hAnsi="黑体" w:eastAsia="黑体" w:cs="黑体"/>
          <w:b w:val="0"/>
          <w:bCs/>
          <w:color w:val="333333"/>
          <w:kern w:val="0"/>
          <w:sz w:val="32"/>
          <w:szCs w:val="32"/>
          <w:u w:val="none"/>
          <w:lang w:val="en-US" w:eastAsia="zh-CN"/>
        </w:rPr>
        <w:t>9</w:t>
      </w:r>
      <w:r>
        <w:rPr>
          <w:rFonts w:hint="eastAsia" w:ascii="黑体" w:hAnsi="黑体" w:eastAsia="黑体" w:cs="黑体"/>
          <w:b w:val="0"/>
          <w:bCs/>
          <w:color w:val="333333"/>
          <w:kern w:val="0"/>
          <w:sz w:val="32"/>
          <w:szCs w:val="32"/>
          <w:u w:val="none"/>
        </w:rPr>
        <w:t>年度一般公共</w:t>
      </w:r>
      <w:r>
        <w:rPr>
          <w:rFonts w:hint="eastAsia" w:ascii="黑体" w:hAnsi="黑体" w:eastAsia="黑体" w:cs="黑体"/>
          <w:b w:val="0"/>
          <w:bCs/>
          <w:color w:val="333333"/>
          <w:kern w:val="0"/>
          <w:sz w:val="32"/>
          <w:szCs w:val="32"/>
          <w:u w:val="none"/>
          <w:lang w:eastAsia="zh-CN"/>
        </w:rPr>
        <w:t>财政拨款</w:t>
      </w:r>
      <w:r>
        <w:rPr>
          <w:rFonts w:hint="eastAsia" w:ascii="黑体" w:hAnsi="黑体" w:eastAsia="黑体" w:cs="黑体"/>
          <w:b w:val="0"/>
          <w:bCs/>
          <w:color w:val="333333"/>
          <w:kern w:val="0"/>
          <w:sz w:val="32"/>
          <w:szCs w:val="32"/>
          <w:u w:val="none"/>
        </w:rPr>
        <w:t>支出决算</w:t>
      </w:r>
      <w:r>
        <w:rPr>
          <w:rFonts w:hint="eastAsia" w:ascii="黑体" w:hAnsi="黑体" w:eastAsia="黑体" w:cs="黑体"/>
          <w:b w:val="0"/>
          <w:bCs/>
          <w:color w:val="333333"/>
          <w:kern w:val="0"/>
          <w:sz w:val="32"/>
          <w:szCs w:val="32"/>
          <w:u w:val="none"/>
          <w:lang w:eastAsia="zh-CN"/>
        </w:rPr>
        <w:t>具体</w:t>
      </w:r>
      <w:r>
        <w:rPr>
          <w:rFonts w:hint="eastAsia" w:ascii="黑体" w:hAnsi="黑体" w:eastAsia="黑体" w:cs="黑体"/>
          <w:b w:val="0"/>
          <w:bCs/>
          <w:color w:val="333333"/>
          <w:kern w:val="0"/>
          <w:sz w:val="32"/>
          <w:szCs w:val="32"/>
          <w:u w:val="none"/>
        </w:rPr>
        <w:t>情况</w:t>
      </w:r>
    </w:p>
    <w:p>
      <w:pPr>
        <w:ind w:firstLine="643" w:firstLineChars="200"/>
        <w:rPr>
          <w:rFonts w:hint="eastAsia" w:ascii="仿宋_GB2312" w:hAnsi="黑体" w:eastAsia="仿宋_GB2312" w:cs="Times New Roman"/>
          <w:bCs/>
          <w:color w:val="000000"/>
          <w:kern w:val="0"/>
          <w:sz w:val="32"/>
          <w:szCs w:val="32"/>
          <w:u w:val="none"/>
          <w:lang w:eastAsia="zh-CN"/>
        </w:rPr>
      </w:pPr>
      <w:r>
        <w:rPr>
          <w:rFonts w:hint="eastAsia" w:ascii="仿宋_GB2312" w:hAnsi="黑体" w:eastAsia="仿宋_GB2312" w:cs="Times New Roman"/>
          <w:b/>
          <w:bCs w:val="0"/>
          <w:color w:val="000000"/>
          <w:kern w:val="0"/>
          <w:sz w:val="32"/>
          <w:szCs w:val="32"/>
          <w:u w:val="none"/>
          <w:lang w:eastAsia="zh-CN"/>
        </w:rPr>
        <w:t>（一）一般公共预算财政拨款支出决算总体情况</w:t>
      </w:r>
    </w:p>
    <w:p>
      <w:pPr>
        <w:ind w:firstLine="800" w:firstLineChars="250"/>
        <w:rPr>
          <w:rFonts w:hint="eastAsia" w:ascii="仿宋" w:hAnsi="仿宋" w:eastAsia="仿宋"/>
          <w:sz w:val="32"/>
          <w:szCs w:val="32"/>
          <w:highlight w:val="none"/>
          <w:u w:val="none"/>
        </w:rPr>
      </w:pPr>
      <w:r>
        <w:rPr>
          <w:rFonts w:hint="eastAsia" w:ascii="仿宋_GB2312" w:hAnsi="黑体" w:eastAsia="仿宋_GB2312" w:cs="Times New Roman"/>
          <w:bCs/>
          <w:color w:val="000000"/>
          <w:kern w:val="0"/>
          <w:sz w:val="32"/>
          <w:szCs w:val="32"/>
          <w:u w:val="none"/>
        </w:rPr>
        <w:t>中共维西县委政法委</w:t>
      </w:r>
      <w:r>
        <w:rPr>
          <w:rFonts w:hint="eastAsia" w:ascii="仿宋_GB2312" w:hAnsi="Times New Roman" w:eastAsia="仿宋_GB2312" w:cs="Times New Roman"/>
          <w:color w:val="333333"/>
          <w:kern w:val="0"/>
          <w:sz w:val="32"/>
          <w:szCs w:val="32"/>
          <w:u w:val="none"/>
          <w:lang w:eastAsia="zh-CN"/>
        </w:rPr>
        <w:t>201</w:t>
      </w:r>
      <w:r>
        <w:rPr>
          <w:rFonts w:hint="eastAsia" w:ascii="仿宋_GB2312" w:hAnsi="Times New Roman" w:eastAsia="仿宋_GB2312" w:cs="Times New Roman"/>
          <w:color w:val="333333"/>
          <w:kern w:val="0"/>
          <w:sz w:val="32"/>
          <w:szCs w:val="32"/>
          <w:u w:val="none"/>
          <w:lang w:val="en-US" w:eastAsia="zh-CN"/>
        </w:rPr>
        <w:t>9</w:t>
      </w:r>
      <w:r>
        <w:rPr>
          <w:rFonts w:hint="eastAsia" w:ascii="仿宋_GB2312" w:hAnsi="Times New Roman" w:eastAsia="仿宋_GB2312" w:cs="仿宋_GB2312"/>
          <w:color w:val="333333"/>
          <w:kern w:val="0"/>
          <w:sz w:val="32"/>
          <w:szCs w:val="32"/>
          <w:u w:val="none"/>
        </w:rPr>
        <w:t>年度</w:t>
      </w:r>
      <w:r>
        <w:rPr>
          <w:rFonts w:hint="eastAsia" w:ascii="仿宋_GB2312" w:hAnsi="Times New Roman" w:eastAsia="仿宋_GB2312" w:cs="Times New Roman"/>
          <w:color w:val="333333"/>
          <w:kern w:val="0"/>
          <w:sz w:val="32"/>
          <w:szCs w:val="32"/>
          <w:u w:val="none"/>
        </w:rPr>
        <w:t>一般</w:t>
      </w:r>
      <w:r>
        <w:rPr>
          <w:rFonts w:hint="eastAsia" w:ascii="仿宋_GB2312" w:hAnsi="Times New Roman" w:eastAsia="仿宋_GB2312" w:cs="仿宋_GB2312"/>
          <w:color w:val="333333"/>
          <w:kern w:val="0"/>
          <w:sz w:val="32"/>
          <w:szCs w:val="32"/>
          <w:u w:val="none"/>
        </w:rPr>
        <w:t>公共预算支出</w:t>
      </w:r>
      <w:r>
        <w:rPr>
          <w:rFonts w:hint="eastAsia" w:ascii="Times New Roman" w:hAnsi="Times New Roman" w:eastAsia="仿宋_GB2312" w:cs="Times New Roman"/>
          <w:color w:val="333333"/>
          <w:kern w:val="0"/>
          <w:sz w:val="32"/>
          <w:szCs w:val="32"/>
          <w:u w:val="none"/>
          <w:lang w:val="en-US" w:eastAsia="zh-CN"/>
        </w:rPr>
        <w:t>729.47</w:t>
      </w:r>
      <w:r>
        <w:rPr>
          <w:rFonts w:hint="eastAsia" w:ascii="Times New Roman" w:hAnsi="Times New Roman" w:eastAsia="仿宋_GB2312" w:cs="Times New Roman"/>
          <w:color w:val="333333"/>
          <w:kern w:val="0"/>
          <w:sz w:val="32"/>
          <w:szCs w:val="32"/>
          <w:u w:val="none"/>
        </w:rPr>
        <w:t>万元</w:t>
      </w:r>
      <w:r>
        <w:rPr>
          <w:rFonts w:hint="eastAsia" w:ascii="仿宋_GB2312" w:hAnsi="Times New Roman" w:eastAsia="仿宋_GB2312" w:cs="仿宋_GB2312"/>
          <w:color w:val="333333"/>
          <w:kern w:val="0"/>
          <w:sz w:val="32"/>
          <w:szCs w:val="32"/>
          <w:u w:val="none"/>
        </w:rPr>
        <w:t>，</w:t>
      </w:r>
      <w:r>
        <w:rPr>
          <w:rFonts w:hint="eastAsia" w:ascii="仿宋_GB2312" w:hAnsi="Times New Roman" w:eastAsia="仿宋_GB2312" w:cs="仿宋_GB2312"/>
          <w:color w:val="333333"/>
          <w:kern w:val="0"/>
          <w:sz w:val="32"/>
          <w:szCs w:val="32"/>
          <w:u w:val="none"/>
          <w:lang w:eastAsia="zh-CN"/>
        </w:rPr>
        <w:t>占本年支出合计数的</w:t>
      </w:r>
      <w:r>
        <w:rPr>
          <w:rFonts w:hint="eastAsia" w:ascii="仿宋_GB2312" w:hAnsi="Times New Roman" w:eastAsia="仿宋_GB2312" w:cs="仿宋_GB2312"/>
          <w:color w:val="333333"/>
          <w:kern w:val="0"/>
          <w:sz w:val="32"/>
          <w:szCs w:val="32"/>
          <w:highlight w:val="none"/>
          <w:u w:val="none"/>
          <w:lang w:val="en-US" w:eastAsia="zh-CN"/>
        </w:rPr>
        <w:t>100%</w:t>
      </w:r>
      <w:r>
        <w:rPr>
          <w:rFonts w:hint="eastAsia" w:ascii="仿宋_GB2312" w:hAnsi="Times New Roman" w:eastAsia="仿宋_GB2312" w:cs="仿宋_GB2312"/>
          <w:color w:val="333333"/>
          <w:kern w:val="0"/>
          <w:sz w:val="32"/>
          <w:szCs w:val="32"/>
          <w:u w:val="none"/>
          <w:lang w:val="en-US" w:eastAsia="zh-CN"/>
        </w:rPr>
        <w:t>，</w:t>
      </w:r>
      <w:r>
        <w:rPr>
          <w:rFonts w:hint="eastAsia" w:ascii="仿宋" w:hAnsi="仿宋" w:eastAsia="仿宋"/>
          <w:sz w:val="32"/>
          <w:szCs w:val="32"/>
          <w:u w:val="none"/>
        </w:rPr>
        <w:t>支出比上年增加</w:t>
      </w:r>
      <w:r>
        <w:rPr>
          <w:rFonts w:hint="eastAsia" w:ascii="仿宋" w:hAnsi="仿宋" w:eastAsia="仿宋"/>
          <w:sz w:val="32"/>
          <w:szCs w:val="32"/>
          <w:highlight w:val="none"/>
          <w:u w:val="none"/>
        </w:rPr>
        <w:t>-</w:t>
      </w:r>
      <w:r>
        <w:rPr>
          <w:rFonts w:hint="eastAsia" w:ascii="仿宋" w:hAnsi="仿宋" w:eastAsia="仿宋"/>
          <w:sz w:val="32"/>
          <w:szCs w:val="32"/>
          <w:highlight w:val="none"/>
          <w:u w:val="none"/>
          <w:lang w:val="en-US" w:eastAsia="zh-CN"/>
        </w:rPr>
        <w:t>7.40</w:t>
      </w:r>
      <w:r>
        <w:rPr>
          <w:rFonts w:hint="eastAsia" w:ascii="仿宋" w:hAnsi="仿宋" w:eastAsia="仿宋"/>
          <w:sz w:val="32"/>
          <w:szCs w:val="32"/>
          <w:highlight w:val="none"/>
          <w:u w:val="none"/>
        </w:rPr>
        <w:t>万元，增长-</w:t>
      </w:r>
      <w:r>
        <w:rPr>
          <w:rFonts w:hint="eastAsia" w:ascii="仿宋" w:hAnsi="仿宋" w:eastAsia="仿宋"/>
          <w:sz w:val="32"/>
          <w:szCs w:val="32"/>
          <w:highlight w:val="none"/>
          <w:u w:val="none"/>
          <w:lang w:val="en-US" w:eastAsia="zh-CN"/>
        </w:rPr>
        <w:t>1</w:t>
      </w:r>
      <w:r>
        <w:rPr>
          <w:rFonts w:hint="eastAsia" w:ascii="仿宋" w:hAnsi="仿宋" w:eastAsia="仿宋"/>
          <w:sz w:val="32"/>
          <w:szCs w:val="32"/>
          <w:highlight w:val="none"/>
          <w:u w:val="none"/>
        </w:rPr>
        <w:t>%。</w:t>
      </w:r>
    </w:p>
    <w:p>
      <w:pPr>
        <w:numPr>
          <w:ilvl w:val="0"/>
          <w:numId w:val="0"/>
        </w:numPr>
        <w:ind w:firstLine="640" w:firstLineChars="200"/>
        <w:rPr>
          <w:rFonts w:hint="eastAsia" w:ascii="仿宋" w:hAnsi="仿宋" w:eastAsia="仿宋"/>
          <w:sz w:val="32"/>
          <w:szCs w:val="32"/>
          <w:u w:val="none"/>
        </w:rPr>
      </w:pPr>
      <w:r>
        <w:rPr>
          <w:rFonts w:hint="eastAsia" w:ascii="仿宋" w:hAnsi="仿宋" w:eastAsia="仿宋"/>
          <w:sz w:val="32"/>
          <w:szCs w:val="32"/>
          <w:u w:val="single"/>
        </w:rPr>
        <w:t>收入支出增减变动原因</w:t>
      </w:r>
      <w:r>
        <w:rPr>
          <w:rFonts w:hint="eastAsia" w:ascii="仿宋" w:hAnsi="仿宋" w:eastAsia="仿宋"/>
          <w:sz w:val="32"/>
          <w:szCs w:val="32"/>
          <w:u w:val="single"/>
          <w:lang w:eastAsia="zh-CN"/>
        </w:rPr>
        <w:t>：</w:t>
      </w:r>
      <w:r>
        <w:rPr>
          <w:rFonts w:hint="eastAsia" w:ascii="仿宋" w:hAnsi="仿宋" w:eastAsia="仿宋"/>
          <w:b/>
          <w:bCs/>
          <w:sz w:val="32"/>
          <w:szCs w:val="32"/>
          <w:u w:val="single"/>
        </w:rPr>
        <w:t>本年度基本支出工资福利支出调整增加津贴补贴，项目支出类工作经费</w:t>
      </w:r>
      <w:r>
        <w:rPr>
          <w:rFonts w:hint="eastAsia" w:ascii="仿宋" w:hAnsi="仿宋" w:eastAsia="仿宋"/>
          <w:b/>
          <w:bCs/>
          <w:sz w:val="32"/>
          <w:szCs w:val="32"/>
          <w:u w:val="single"/>
          <w:lang w:eastAsia="zh-CN"/>
        </w:rPr>
        <w:t>结余比上年</w:t>
      </w:r>
      <w:r>
        <w:rPr>
          <w:rFonts w:hint="eastAsia" w:ascii="仿宋" w:hAnsi="仿宋" w:eastAsia="仿宋"/>
          <w:b/>
          <w:bCs/>
          <w:sz w:val="32"/>
          <w:szCs w:val="32"/>
          <w:u w:val="single"/>
        </w:rPr>
        <w:t>增加</w:t>
      </w:r>
      <w:r>
        <w:rPr>
          <w:rFonts w:hint="eastAsia" w:ascii="仿宋" w:hAnsi="仿宋" w:eastAsia="仿宋"/>
          <w:sz w:val="32"/>
          <w:szCs w:val="32"/>
          <w:u w:val="none"/>
        </w:rPr>
        <w:t>（详见下表）。</w:t>
      </w:r>
    </w:p>
    <w:tbl>
      <w:tblPr>
        <w:tblStyle w:val="5"/>
        <w:tblW w:w="9197" w:type="dxa"/>
        <w:tblInd w:w="91" w:type="dxa"/>
        <w:tblLayout w:type="fixed"/>
        <w:tblCellMar>
          <w:top w:w="0" w:type="dxa"/>
          <w:left w:w="108" w:type="dxa"/>
          <w:bottom w:w="0" w:type="dxa"/>
          <w:right w:w="108" w:type="dxa"/>
        </w:tblCellMar>
      </w:tblPr>
      <w:tblGrid>
        <w:gridCol w:w="1997"/>
        <w:gridCol w:w="2235"/>
        <w:gridCol w:w="1476"/>
        <w:gridCol w:w="1756"/>
        <w:gridCol w:w="1733"/>
      </w:tblGrid>
      <w:tr>
        <w:tblPrEx>
          <w:tblLayout w:type="fixed"/>
          <w:tblCellMar>
            <w:top w:w="0" w:type="dxa"/>
            <w:left w:w="108" w:type="dxa"/>
            <w:bottom w:w="0" w:type="dxa"/>
            <w:right w:w="108" w:type="dxa"/>
          </w:tblCellMar>
        </w:tblPrEx>
        <w:trPr>
          <w:trHeight w:val="735" w:hRule="atLeast"/>
        </w:trPr>
        <w:tc>
          <w:tcPr>
            <w:tcW w:w="9197" w:type="dxa"/>
            <w:gridSpan w:val="5"/>
            <w:tcBorders>
              <w:top w:val="nil"/>
              <w:left w:val="nil"/>
              <w:bottom w:val="single" w:color="auto" w:sz="4" w:space="0"/>
              <w:right w:val="nil"/>
            </w:tcBorders>
            <w:vAlign w:val="center"/>
          </w:tcPr>
          <w:p>
            <w:pPr>
              <w:widowControl/>
              <w:jc w:val="center"/>
              <w:rPr>
                <w:rFonts w:hint="eastAsia" w:ascii="仿宋_GB2312" w:hAnsi="黑体" w:eastAsia="仿宋_GB2312" w:cs="宋体"/>
                <w:color w:val="000000"/>
                <w:kern w:val="0"/>
                <w:sz w:val="28"/>
                <w:szCs w:val="28"/>
              </w:rPr>
            </w:pPr>
            <w:r>
              <w:rPr>
                <w:rFonts w:hint="eastAsia" w:ascii="仿宋_GB2312" w:hAnsi="黑体" w:eastAsia="仿宋_GB2312" w:cs="宋体"/>
                <w:color w:val="000000"/>
                <w:kern w:val="0"/>
                <w:sz w:val="28"/>
                <w:szCs w:val="28"/>
              </w:rPr>
              <w:t>县委政法委收入支出同上年比较情况表</w:t>
            </w:r>
          </w:p>
        </w:tc>
      </w:tr>
      <w:tr>
        <w:tblPrEx>
          <w:tblLayout w:type="fixed"/>
          <w:tblCellMar>
            <w:top w:w="0" w:type="dxa"/>
            <w:left w:w="108" w:type="dxa"/>
            <w:bottom w:w="0" w:type="dxa"/>
            <w:right w:w="108" w:type="dxa"/>
          </w:tblCellMar>
        </w:tblPrEx>
        <w:trPr>
          <w:trHeight w:val="600" w:hRule="atLeast"/>
        </w:trPr>
        <w:tc>
          <w:tcPr>
            <w:tcW w:w="199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指标</w:t>
            </w:r>
          </w:p>
        </w:tc>
        <w:tc>
          <w:tcPr>
            <w:tcW w:w="2235"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项目</w:t>
            </w:r>
          </w:p>
        </w:tc>
        <w:tc>
          <w:tcPr>
            <w:tcW w:w="1476"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201</w:t>
            </w:r>
            <w:r>
              <w:rPr>
                <w:rFonts w:hint="eastAsia" w:ascii="仿宋_GB2312" w:hAnsi="宋体" w:eastAsia="仿宋_GB2312" w:cs="宋体"/>
                <w:color w:val="000000"/>
                <w:kern w:val="0"/>
                <w:sz w:val="24"/>
                <w:lang w:val="en-US" w:eastAsia="zh-CN"/>
              </w:rPr>
              <w:t>8</w:t>
            </w:r>
            <w:r>
              <w:rPr>
                <w:rFonts w:hint="eastAsia" w:ascii="仿宋_GB2312" w:hAnsi="宋体" w:eastAsia="仿宋_GB2312" w:cs="宋体"/>
                <w:color w:val="000000"/>
                <w:kern w:val="0"/>
                <w:sz w:val="24"/>
              </w:rPr>
              <w:t>年</w:t>
            </w:r>
          </w:p>
        </w:tc>
        <w:tc>
          <w:tcPr>
            <w:tcW w:w="1756"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lang w:eastAsia="zh-CN"/>
              </w:rPr>
              <w:t>201</w:t>
            </w:r>
            <w:r>
              <w:rPr>
                <w:rFonts w:hint="eastAsia" w:ascii="仿宋_GB2312" w:hAnsi="宋体" w:eastAsia="仿宋_GB2312" w:cs="宋体"/>
                <w:color w:val="000000"/>
                <w:kern w:val="0"/>
                <w:sz w:val="24"/>
                <w:lang w:val="en-US" w:eastAsia="zh-CN"/>
              </w:rPr>
              <w:t>9</w:t>
            </w:r>
            <w:r>
              <w:rPr>
                <w:rFonts w:hint="eastAsia" w:ascii="仿宋_GB2312" w:hAnsi="宋体" w:eastAsia="仿宋_GB2312" w:cs="宋体"/>
                <w:color w:val="000000"/>
                <w:kern w:val="0"/>
                <w:sz w:val="24"/>
              </w:rPr>
              <w:t>年</w:t>
            </w:r>
          </w:p>
        </w:tc>
        <w:tc>
          <w:tcPr>
            <w:tcW w:w="1733"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比上年增减</w:t>
            </w:r>
          </w:p>
        </w:tc>
      </w:tr>
      <w:tr>
        <w:tblPrEx>
          <w:tblLayout w:type="fixed"/>
          <w:tblCellMar>
            <w:top w:w="0" w:type="dxa"/>
            <w:left w:w="108" w:type="dxa"/>
            <w:bottom w:w="0" w:type="dxa"/>
            <w:right w:w="108" w:type="dxa"/>
          </w:tblCellMar>
        </w:tblPrEx>
        <w:trPr>
          <w:trHeight w:val="750" w:hRule="atLeast"/>
        </w:trPr>
        <w:tc>
          <w:tcPr>
            <w:tcW w:w="199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本年收入</w:t>
            </w:r>
          </w:p>
        </w:tc>
        <w:tc>
          <w:tcPr>
            <w:tcW w:w="2235"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一般财政拨款收入</w:t>
            </w:r>
          </w:p>
        </w:tc>
        <w:tc>
          <w:tcPr>
            <w:tcW w:w="1476"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843.63</w:t>
            </w:r>
          </w:p>
        </w:tc>
        <w:tc>
          <w:tcPr>
            <w:tcW w:w="1756"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729.47</w:t>
            </w:r>
          </w:p>
        </w:tc>
        <w:tc>
          <w:tcPr>
            <w:tcW w:w="1733"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lang w:val="en-US" w:eastAsia="zh-CN"/>
              </w:rPr>
              <w:t>-13.53</w:t>
            </w:r>
            <w:r>
              <w:rPr>
                <w:rFonts w:hint="eastAsia" w:ascii="仿宋_GB2312" w:hAnsi="宋体" w:eastAsia="仿宋_GB2312" w:cs="宋体"/>
                <w:color w:val="000000"/>
                <w:kern w:val="0"/>
                <w:sz w:val="24"/>
              </w:rPr>
              <w:t>%</w:t>
            </w:r>
          </w:p>
        </w:tc>
      </w:tr>
      <w:tr>
        <w:tblPrEx>
          <w:tblLayout w:type="fixed"/>
          <w:tblCellMar>
            <w:top w:w="0" w:type="dxa"/>
            <w:left w:w="108" w:type="dxa"/>
            <w:bottom w:w="0" w:type="dxa"/>
            <w:right w:w="108" w:type="dxa"/>
          </w:tblCellMar>
        </w:tblPrEx>
        <w:trPr>
          <w:trHeight w:val="585" w:hRule="atLeast"/>
        </w:trPr>
        <w:tc>
          <w:tcPr>
            <w:tcW w:w="1997"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本年支出</w:t>
            </w:r>
          </w:p>
        </w:tc>
        <w:tc>
          <w:tcPr>
            <w:tcW w:w="223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人员经费支出</w:t>
            </w:r>
          </w:p>
        </w:tc>
        <w:tc>
          <w:tcPr>
            <w:tcW w:w="1476"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373.78</w:t>
            </w:r>
          </w:p>
        </w:tc>
        <w:tc>
          <w:tcPr>
            <w:tcW w:w="1756"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383.88</w:t>
            </w:r>
          </w:p>
        </w:tc>
        <w:tc>
          <w:tcPr>
            <w:tcW w:w="173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lang w:val="en-US" w:eastAsia="zh-CN"/>
              </w:rPr>
              <w:t>2.70</w:t>
            </w:r>
            <w:r>
              <w:rPr>
                <w:rFonts w:hint="eastAsia" w:ascii="仿宋_GB2312" w:hAnsi="宋体" w:eastAsia="仿宋_GB2312" w:cs="宋体"/>
                <w:color w:val="000000"/>
                <w:kern w:val="0"/>
                <w:sz w:val="24"/>
              </w:rPr>
              <w:t>%</w:t>
            </w:r>
          </w:p>
        </w:tc>
      </w:tr>
      <w:tr>
        <w:tblPrEx>
          <w:tblLayout w:type="fixed"/>
          <w:tblCellMar>
            <w:top w:w="0" w:type="dxa"/>
            <w:left w:w="108" w:type="dxa"/>
            <w:bottom w:w="0" w:type="dxa"/>
            <w:right w:w="108" w:type="dxa"/>
          </w:tblCellMar>
        </w:tblPrEx>
        <w:trPr>
          <w:trHeight w:val="696" w:hRule="atLeast"/>
        </w:trPr>
        <w:tc>
          <w:tcPr>
            <w:tcW w:w="1997" w:type="dxa"/>
            <w:vMerge w:val="continue"/>
            <w:tcBorders>
              <w:top w:val="single" w:color="auto" w:sz="4" w:space="0"/>
              <w:left w:val="single" w:color="auto" w:sz="4" w:space="0"/>
              <w:right w:val="single" w:color="auto" w:sz="4" w:space="0"/>
            </w:tcBorders>
            <w:vAlign w:val="center"/>
          </w:tcPr>
          <w:p>
            <w:pPr>
              <w:jc w:val="center"/>
              <w:rPr>
                <w:rFonts w:hint="eastAsia" w:ascii="仿宋_GB2312" w:hAnsi="宋体" w:eastAsia="仿宋_GB2312" w:cs="宋体"/>
                <w:color w:val="000000"/>
                <w:kern w:val="0"/>
                <w:sz w:val="24"/>
              </w:rPr>
            </w:pPr>
          </w:p>
        </w:tc>
        <w:tc>
          <w:tcPr>
            <w:tcW w:w="2235" w:type="dxa"/>
            <w:tcBorders>
              <w:top w:val="single" w:color="auto" w:sz="4" w:space="0"/>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日常公用经费支出</w:t>
            </w:r>
          </w:p>
        </w:tc>
        <w:tc>
          <w:tcPr>
            <w:tcW w:w="1476" w:type="dxa"/>
            <w:tcBorders>
              <w:top w:val="single" w:color="auto" w:sz="4" w:space="0"/>
              <w:left w:val="nil"/>
              <w:bottom w:val="single" w:color="auto" w:sz="4" w:space="0"/>
              <w:right w:val="single" w:color="auto" w:sz="4" w:space="0"/>
            </w:tcBorders>
            <w:vAlign w:val="center"/>
          </w:tcPr>
          <w:p>
            <w:pPr>
              <w:widowControl/>
              <w:jc w:val="center"/>
              <w:rPr>
                <w:rFonts w:hint="default"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111.01</w:t>
            </w:r>
          </w:p>
        </w:tc>
        <w:tc>
          <w:tcPr>
            <w:tcW w:w="1756" w:type="dxa"/>
            <w:tcBorders>
              <w:top w:val="single" w:color="auto" w:sz="4" w:space="0"/>
              <w:left w:val="nil"/>
              <w:bottom w:val="single" w:color="auto" w:sz="4" w:space="0"/>
              <w:right w:val="single" w:color="auto" w:sz="4" w:space="0"/>
            </w:tcBorders>
            <w:vAlign w:val="center"/>
          </w:tcPr>
          <w:p>
            <w:pPr>
              <w:widowControl/>
              <w:jc w:val="center"/>
              <w:rPr>
                <w:rFonts w:hint="default"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56.51</w:t>
            </w:r>
          </w:p>
        </w:tc>
        <w:tc>
          <w:tcPr>
            <w:tcW w:w="1733" w:type="dxa"/>
            <w:tcBorders>
              <w:top w:val="single" w:color="auto" w:sz="4" w:space="0"/>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lang w:val="en-US" w:eastAsia="zh-CN"/>
              </w:rPr>
              <w:t>-49.09</w:t>
            </w:r>
            <w:r>
              <w:rPr>
                <w:rFonts w:hint="eastAsia" w:ascii="仿宋_GB2312" w:hAnsi="宋体" w:eastAsia="仿宋_GB2312" w:cs="宋体"/>
                <w:color w:val="000000"/>
                <w:kern w:val="0"/>
                <w:sz w:val="24"/>
              </w:rPr>
              <w:t>%</w:t>
            </w:r>
          </w:p>
        </w:tc>
      </w:tr>
      <w:tr>
        <w:tblPrEx>
          <w:tblLayout w:type="fixed"/>
          <w:tblCellMar>
            <w:top w:w="0" w:type="dxa"/>
            <w:left w:w="108" w:type="dxa"/>
            <w:bottom w:w="0" w:type="dxa"/>
            <w:right w:w="108" w:type="dxa"/>
          </w:tblCellMar>
        </w:tblPrEx>
        <w:trPr>
          <w:trHeight w:val="620" w:hRule="atLeast"/>
        </w:trPr>
        <w:tc>
          <w:tcPr>
            <w:tcW w:w="1997" w:type="dxa"/>
            <w:vMerge w:val="continue"/>
            <w:tcBorders>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4"/>
              </w:rPr>
            </w:pPr>
          </w:p>
        </w:tc>
        <w:tc>
          <w:tcPr>
            <w:tcW w:w="2235"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项目支出</w:t>
            </w:r>
          </w:p>
        </w:tc>
        <w:tc>
          <w:tcPr>
            <w:tcW w:w="1476"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252.08</w:t>
            </w:r>
          </w:p>
        </w:tc>
        <w:tc>
          <w:tcPr>
            <w:tcW w:w="1756"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272.96</w:t>
            </w:r>
          </w:p>
        </w:tc>
        <w:tc>
          <w:tcPr>
            <w:tcW w:w="1733"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lang w:val="en-US" w:eastAsia="zh-CN"/>
              </w:rPr>
              <w:t>8.28</w:t>
            </w:r>
            <w:r>
              <w:rPr>
                <w:rFonts w:hint="eastAsia" w:ascii="仿宋_GB2312" w:hAnsi="宋体" w:eastAsia="仿宋_GB2312" w:cs="宋体"/>
                <w:color w:val="000000"/>
                <w:kern w:val="0"/>
                <w:sz w:val="24"/>
              </w:rPr>
              <w:t>%</w:t>
            </w:r>
          </w:p>
        </w:tc>
      </w:tr>
      <w:tr>
        <w:tblPrEx>
          <w:tblLayout w:type="fixed"/>
          <w:tblCellMar>
            <w:top w:w="0" w:type="dxa"/>
            <w:left w:w="108" w:type="dxa"/>
            <w:bottom w:w="0" w:type="dxa"/>
            <w:right w:w="108" w:type="dxa"/>
          </w:tblCellMar>
        </w:tblPrEx>
        <w:trPr>
          <w:trHeight w:val="614" w:hRule="atLeast"/>
        </w:trPr>
        <w:tc>
          <w:tcPr>
            <w:tcW w:w="199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年末结转和结余</w:t>
            </w:r>
          </w:p>
        </w:tc>
        <w:tc>
          <w:tcPr>
            <w:tcW w:w="2235"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476"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lang w:val="en-US" w:eastAsia="zh-CN"/>
              </w:rPr>
              <w:t>106.76</w:t>
            </w:r>
          </w:p>
        </w:tc>
        <w:tc>
          <w:tcPr>
            <w:tcW w:w="1756"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143.94</w:t>
            </w:r>
          </w:p>
        </w:tc>
        <w:tc>
          <w:tcPr>
            <w:tcW w:w="1733"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rPr>
              <w:t>　</w:t>
            </w:r>
            <w:r>
              <w:rPr>
                <w:rFonts w:hint="eastAsia" w:ascii="仿宋_GB2312" w:hAnsi="宋体" w:eastAsia="仿宋_GB2312" w:cs="宋体"/>
                <w:color w:val="000000"/>
                <w:kern w:val="0"/>
                <w:sz w:val="24"/>
                <w:lang w:val="en-US" w:eastAsia="zh-CN"/>
              </w:rPr>
              <w:t>34.83%</w:t>
            </w:r>
          </w:p>
        </w:tc>
      </w:tr>
      <w:tr>
        <w:tblPrEx>
          <w:tblLayout w:type="fixed"/>
          <w:tblCellMar>
            <w:top w:w="0" w:type="dxa"/>
            <w:left w:w="108" w:type="dxa"/>
            <w:bottom w:w="0" w:type="dxa"/>
            <w:right w:w="108" w:type="dxa"/>
          </w:tblCellMar>
        </w:tblPrEx>
        <w:trPr>
          <w:trHeight w:val="465" w:hRule="atLeast"/>
        </w:trPr>
        <w:tc>
          <w:tcPr>
            <w:tcW w:w="199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固定资产</w:t>
            </w:r>
          </w:p>
        </w:tc>
        <w:tc>
          <w:tcPr>
            <w:tcW w:w="2235"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固定资产</w:t>
            </w:r>
          </w:p>
        </w:tc>
        <w:tc>
          <w:tcPr>
            <w:tcW w:w="1476"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110.57</w:t>
            </w:r>
          </w:p>
        </w:tc>
        <w:tc>
          <w:tcPr>
            <w:tcW w:w="1756"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18.71</w:t>
            </w:r>
          </w:p>
        </w:tc>
        <w:tc>
          <w:tcPr>
            <w:tcW w:w="1733" w:type="dxa"/>
            <w:tcBorders>
              <w:top w:val="nil"/>
              <w:left w:val="nil"/>
              <w:bottom w:val="single" w:color="auto" w:sz="4" w:space="0"/>
              <w:right w:val="single" w:color="auto" w:sz="4" w:space="0"/>
            </w:tcBorders>
            <w:vAlign w:val="center"/>
          </w:tcPr>
          <w:p>
            <w:pPr>
              <w:widowControl/>
              <w:wordWrap w:val="0"/>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lang w:val="en-US" w:eastAsia="zh-CN"/>
              </w:rPr>
              <w:t>-83.08</w:t>
            </w:r>
            <w:r>
              <w:rPr>
                <w:rFonts w:hint="eastAsia" w:ascii="仿宋_GB2312" w:hAnsi="宋体" w:eastAsia="仿宋_GB2312" w:cs="宋体"/>
                <w:color w:val="000000"/>
                <w:kern w:val="0"/>
                <w:sz w:val="24"/>
              </w:rPr>
              <w:t xml:space="preserve">%   </w:t>
            </w:r>
          </w:p>
        </w:tc>
      </w:tr>
    </w:tbl>
    <w:p>
      <w:pPr>
        <w:widowControl/>
        <w:spacing w:line="368" w:lineRule="atLeast"/>
        <w:ind w:firstLine="640"/>
        <w:rPr>
          <w:rFonts w:hint="eastAsia" w:asciiTheme="majorEastAsia" w:hAnsiTheme="majorEastAsia" w:eastAsiaTheme="majorEastAsia" w:cstheme="majorEastAsia"/>
          <w:color w:val="000000"/>
          <w:kern w:val="0"/>
          <w:sz w:val="32"/>
          <w:szCs w:val="32"/>
        </w:rPr>
      </w:pPr>
      <w:r>
        <w:rPr>
          <w:rFonts w:hint="eastAsia" w:asciiTheme="majorEastAsia" w:hAnsiTheme="majorEastAsia" w:eastAsiaTheme="majorEastAsia" w:cstheme="majorEastAsia"/>
          <w:b/>
          <w:bCs/>
          <w:sz w:val="32"/>
          <w:szCs w:val="32"/>
          <w:u w:val="none"/>
          <w:lang w:eastAsia="zh-CN"/>
        </w:rPr>
        <w:t>（二）</w:t>
      </w:r>
      <w:r>
        <w:rPr>
          <w:rFonts w:hint="eastAsia" w:asciiTheme="majorEastAsia" w:hAnsiTheme="majorEastAsia" w:eastAsiaTheme="majorEastAsia" w:cstheme="majorEastAsia"/>
          <w:b/>
          <w:bCs/>
          <w:color w:val="000000"/>
          <w:kern w:val="0"/>
          <w:sz w:val="32"/>
          <w:szCs w:val="32"/>
        </w:rPr>
        <w:t>一般公共预算财政拨款支出决算结构情况</w:t>
      </w:r>
    </w:p>
    <w:p>
      <w:pPr>
        <w:widowControl/>
        <w:spacing w:line="368" w:lineRule="atLeast"/>
        <w:ind w:firstLine="64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color w:val="000000"/>
          <w:kern w:val="0"/>
          <w:sz w:val="32"/>
          <w:szCs w:val="32"/>
        </w:rPr>
        <w:t>201</w:t>
      </w:r>
      <w:r>
        <w:rPr>
          <w:rFonts w:hint="eastAsia" w:asciiTheme="majorEastAsia" w:hAnsiTheme="majorEastAsia" w:eastAsiaTheme="majorEastAsia" w:cstheme="majorEastAsia"/>
          <w:color w:val="000000"/>
          <w:kern w:val="0"/>
          <w:sz w:val="32"/>
          <w:szCs w:val="32"/>
          <w:lang w:val="en-US" w:eastAsia="zh-CN"/>
        </w:rPr>
        <w:t>9</w:t>
      </w:r>
      <w:r>
        <w:rPr>
          <w:rFonts w:hint="eastAsia" w:asciiTheme="majorEastAsia" w:hAnsiTheme="majorEastAsia" w:eastAsiaTheme="majorEastAsia" w:cstheme="majorEastAsia"/>
          <w:color w:val="000000"/>
          <w:kern w:val="0"/>
          <w:sz w:val="32"/>
          <w:szCs w:val="32"/>
        </w:rPr>
        <w:t>年一般公共预算财政拨款支出</w:t>
      </w:r>
      <w:r>
        <w:rPr>
          <w:rFonts w:hint="eastAsia" w:asciiTheme="majorEastAsia" w:hAnsiTheme="majorEastAsia" w:eastAsiaTheme="majorEastAsia" w:cstheme="majorEastAsia"/>
          <w:color w:val="000000"/>
          <w:kern w:val="0"/>
          <w:sz w:val="32"/>
          <w:szCs w:val="32"/>
          <w:lang w:val="en-US" w:eastAsia="zh-CN"/>
        </w:rPr>
        <w:t>729.47</w:t>
      </w:r>
      <w:r>
        <w:rPr>
          <w:rFonts w:hint="eastAsia" w:asciiTheme="majorEastAsia" w:hAnsiTheme="majorEastAsia" w:eastAsiaTheme="majorEastAsia" w:cstheme="majorEastAsia"/>
          <w:color w:val="000000"/>
          <w:kern w:val="0"/>
          <w:sz w:val="32"/>
          <w:szCs w:val="32"/>
        </w:rPr>
        <w:t>万元，主要用于以下方面:一般公共服务支出</w:t>
      </w:r>
      <w:r>
        <w:rPr>
          <w:rFonts w:hint="eastAsia" w:asciiTheme="majorEastAsia" w:hAnsiTheme="majorEastAsia" w:eastAsiaTheme="majorEastAsia" w:cstheme="majorEastAsia"/>
          <w:color w:val="000000"/>
          <w:kern w:val="0"/>
          <w:sz w:val="32"/>
          <w:szCs w:val="32"/>
          <w:highlight w:val="none"/>
          <w:lang w:val="en-US" w:eastAsia="zh-CN"/>
        </w:rPr>
        <w:t>497.76</w:t>
      </w:r>
      <w:r>
        <w:rPr>
          <w:rFonts w:hint="eastAsia" w:asciiTheme="majorEastAsia" w:hAnsiTheme="majorEastAsia" w:eastAsiaTheme="majorEastAsia" w:cstheme="majorEastAsia"/>
          <w:color w:val="000000"/>
          <w:kern w:val="0"/>
          <w:sz w:val="32"/>
          <w:szCs w:val="32"/>
          <w:highlight w:val="none"/>
        </w:rPr>
        <w:t>万元，占</w:t>
      </w:r>
      <w:r>
        <w:rPr>
          <w:rFonts w:hint="eastAsia" w:asciiTheme="majorEastAsia" w:hAnsiTheme="majorEastAsia" w:eastAsiaTheme="majorEastAsia" w:cstheme="majorEastAsia"/>
          <w:color w:val="000000"/>
          <w:kern w:val="0"/>
          <w:sz w:val="32"/>
          <w:szCs w:val="32"/>
          <w:highlight w:val="none"/>
          <w:lang w:val="en-US" w:eastAsia="zh-CN"/>
        </w:rPr>
        <w:t>68.24</w:t>
      </w:r>
      <w:r>
        <w:rPr>
          <w:rFonts w:hint="eastAsia" w:asciiTheme="majorEastAsia" w:hAnsiTheme="majorEastAsia" w:eastAsiaTheme="majorEastAsia" w:cstheme="majorEastAsia"/>
          <w:color w:val="000000"/>
          <w:kern w:val="0"/>
          <w:sz w:val="32"/>
          <w:szCs w:val="32"/>
          <w:highlight w:val="none"/>
        </w:rPr>
        <w:t>%；社会保障和就业支出</w:t>
      </w:r>
      <w:r>
        <w:rPr>
          <w:rFonts w:hint="eastAsia" w:asciiTheme="majorEastAsia" w:hAnsiTheme="majorEastAsia" w:eastAsiaTheme="majorEastAsia" w:cstheme="majorEastAsia"/>
          <w:color w:val="000000"/>
          <w:kern w:val="0"/>
          <w:sz w:val="32"/>
          <w:szCs w:val="32"/>
          <w:highlight w:val="none"/>
          <w:lang w:val="en-US" w:eastAsia="zh-CN"/>
        </w:rPr>
        <w:t>47.76</w:t>
      </w:r>
      <w:r>
        <w:rPr>
          <w:rFonts w:hint="eastAsia" w:asciiTheme="majorEastAsia" w:hAnsiTheme="majorEastAsia" w:eastAsiaTheme="majorEastAsia" w:cstheme="majorEastAsia"/>
          <w:color w:val="000000"/>
          <w:kern w:val="0"/>
          <w:sz w:val="32"/>
          <w:szCs w:val="32"/>
          <w:highlight w:val="none"/>
        </w:rPr>
        <w:t>万元，占</w:t>
      </w:r>
      <w:r>
        <w:rPr>
          <w:rFonts w:hint="eastAsia" w:asciiTheme="majorEastAsia" w:hAnsiTheme="majorEastAsia" w:eastAsiaTheme="majorEastAsia" w:cstheme="majorEastAsia"/>
          <w:color w:val="000000"/>
          <w:kern w:val="0"/>
          <w:sz w:val="32"/>
          <w:szCs w:val="32"/>
          <w:highlight w:val="none"/>
          <w:lang w:val="en-US" w:eastAsia="zh-CN"/>
        </w:rPr>
        <w:t>6.55</w:t>
      </w:r>
      <w:r>
        <w:rPr>
          <w:rFonts w:hint="eastAsia" w:asciiTheme="majorEastAsia" w:hAnsiTheme="majorEastAsia" w:eastAsiaTheme="majorEastAsia" w:cstheme="majorEastAsia"/>
          <w:color w:val="000000"/>
          <w:kern w:val="0"/>
          <w:sz w:val="32"/>
          <w:szCs w:val="32"/>
          <w:highlight w:val="none"/>
        </w:rPr>
        <w:t>%；医疗卫生支出</w:t>
      </w:r>
      <w:r>
        <w:rPr>
          <w:rFonts w:hint="eastAsia" w:asciiTheme="majorEastAsia" w:hAnsiTheme="majorEastAsia" w:eastAsiaTheme="majorEastAsia" w:cstheme="majorEastAsia"/>
          <w:color w:val="000000"/>
          <w:kern w:val="0"/>
          <w:sz w:val="32"/>
          <w:szCs w:val="32"/>
          <w:highlight w:val="none"/>
          <w:lang w:val="en-US" w:eastAsia="zh-CN"/>
        </w:rPr>
        <w:t>25.69</w:t>
      </w:r>
      <w:r>
        <w:rPr>
          <w:rFonts w:hint="eastAsia" w:asciiTheme="majorEastAsia" w:hAnsiTheme="majorEastAsia" w:eastAsiaTheme="majorEastAsia" w:cstheme="majorEastAsia"/>
          <w:color w:val="000000"/>
          <w:kern w:val="0"/>
          <w:sz w:val="32"/>
          <w:szCs w:val="32"/>
          <w:highlight w:val="none"/>
        </w:rPr>
        <w:t>万元，占</w:t>
      </w:r>
      <w:r>
        <w:rPr>
          <w:rFonts w:hint="eastAsia" w:asciiTheme="majorEastAsia" w:hAnsiTheme="majorEastAsia" w:eastAsiaTheme="majorEastAsia" w:cstheme="majorEastAsia"/>
          <w:color w:val="000000"/>
          <w:kern w:val="0"/>
          <w:sz w:val="32"/>
          <w:szCs w:val="32"/>
          <w:highlight w:val="none"/>
          <w:lang w:val="en-US" w:eastAsia="zh-CN"/>
        </w:rPr>
        <w:t>3.52</w:t>
      </w:r>
      <w:r>
        <w:rPr>
          <w:rFonts w:hint="eastAsia" w:asciiTheme="majorEastAsia" w:hAnsiTheme="majorEastAsia" w:eastAsiaTheme="majorEastAsia" w:cstheme="majorEastAsia"/>
          <w:color w:val="000000"/>
          <w:kern w:val="0"/>
          <w:sz w:val="32"/>
          <w:szCs w:val="32"/>
          <w:highlight w:val="none"/>
        </w:rPr>
        <w:t>%；住房保障支出</w:t>
      </w:r>
      <w:r>
        <w:rPr>
          <w:rFonts w:hint="eastAsia" w:asciiTheme="majorEastAsia" w:hAnsiTheme="majorEastAsia" w:eastAsiaTheme="majorEastAsia" w:cstheme="majorEastAsia"/>
          <w:color w:val="000000"/>
          <w:kern w:val="0"/>
          <w:sz w:val="32"/>
          <w:szCs w:val="32"/>
          <w:highlight w:val="none"/>
          <w:lang w:val="en-US" w:eastAsia="zh-CN"/>
        </w:rPr>
        <w:t>25.22</w:t>
      </w:r>
      <w:r>
        <w:rPr>
          <w:rFonts w:hint="eastAsia" w:asciiTheme="majorEastAsia" w:hAnsiTheme="majorEastAsia" w:eastAsiaTheme="majorEastAsia" w:cstheme="majorEastAsia"/>
          <w:color w:val="000000"/>
          <w:kern w:val="0"/>
          <w:sz w:val="32"/>
          <w:szCs w:val="32"/>
          <w:highlight w:val="none"/>
        </w:rPr>
        <w:t>万元，占</w:t>
      </w:r>
      <w:r>
        <w:rPr>
          <w:rFonts w:hint="eastAsia" w:asciiTheme="majorEastAsia" w:hAnsiTheme="majorEastAsia" w:eastAsiaTheme="majorEastAsia" w:cstheme="majorEastAsia"/>
          <w:color w:val="000000"/>
          <w:kern w:val="0"/>
          <w:sz w:val="32"/>
          <w:szCs w:val="32"/>
          <w:highlight w:val="none"/>
          <w:lang w:val="en-US" w:eastAsia="zh-CN"/>
        </w:rPr>
        <w:t>3.46</w:t>
      </w:r>
      <w:r>
        <w:rPr>
          <w:rFonts w:hint="eastAsia" w:asciiTheme="majorEastAsia" w:hAnsiTheme="majorEastAsia" w:eastAsiaTheme="majorEastAsia" w:cstheme="majorEastAsia"/>
          <w:color w:val="000000"/>
          <w:kern w:val="0"/>
          <w:sz w:val="32"/>
          <w:szCs w:val="32"/>
          <w:highlight w:val="none"/>
        </w:rPr>
        <w:t>%，公共安全支出</w:t>
      </w:r>
      <w:r>
        <w:rPr>
          <w:rFonts w:hint="eastAsia" w:asciiTheme="majorEastAsia" w:hAnsiTheme="majorEastAsia" w:eastAsiaTheme="majorEastAsia" w:cstheme="majorEastAsia"/>
          <w:color w:val="000000"/>
          <w:kern w:val="0"/>
          <w:sz w:val="32"/>
          <w:szCs w:val="32"/>
          <w:highlight w:val="none"/>
          <w:lang w:val="en-US" w:eastAsia="zh-CN"/>
        </w:rPr>
        <w:t>133.04</w:t>
      </w:r>
      <w:r>
        <w:rPr>
          <w:rFonts w:hint="eastAsia" w:asciiTheme="majorEastAsia" w:hAnsiTheme="majorEastAsia" w:eastAsiaTheme="majorEastAsia" w:cstheme="majorEastAsia"/>
          <w:color w:val="000000"/>
          <w:kern w:val="0"/>
          <w:sz w:val="32"/>
          <w:szCs w:val="32"/>
          <w:highlight w:val="none"/>
        </w:rPr>
        <w:t>万元，占</w:t>
      </w:r>
      <w:r>
        <w:rPr>
          <w:rFonts w:hint="eastAsia" w:asciiTheme="majorEastAsia" w:hAnsiTheme="majorEastAsia" w:eastAsiaTheme="majorEastAsia" w:cstheme="majorEastAsia"/>
          <w:color w:val="000000"/>
          <w:kern w:val="0"/>
          <w:sz w:val="32"/>
          <w:szCs w:val="32"/>
          <w:highlight w:val="none"/>
          <w:lang w:val="en-US" w:eastAsia="zh-CN"/>
        </w:rPr>
        <w:t>18.24</w:t>
      </w:r>
      <w:r>
        <w:rPr>
          <w:rFonts w:hint="eastAsia" w:asciiTheme="majorEastAsia" w:hAnsiTheme="majorEastAsia" w:eastAsiaTheme="majorEastAsia" w:cstheme="majorEastAsia"/>
          <w:color w:val="000000"/>
          <w:kern w:val="0"/>
          <w:sz w:val="32"/>
          <w:szCs w:val="32"/>
          <w:highlight w:val="none"/>
        </w:rPr>
        <w:t>%</w:t>
      </w:r>
      <w:r>
        <w:rPr>
          <w:rFonts w:hint="eastAsia" w:asciiTheme="majorEastAsia" w:hAnsiTheme="majorEastAsia" w:eastAsiaTheme="majorEastAsia" w:cstheme="majorEastAsia"/>
          <w:color w:val="000000"/>
          <w:kern w:val="0"/>
          <w:sz w:val="32"/>
          <w:szCs w:val="32"/>
          <w:lang w:eastAsia="zh-CN"/>
        </w:rPr>
        <w:t>（详见下图）</w:t>
      </w:r>
      <w:r>
        <w:rPr>
          <w:rFonts w:hint="eastAsia" w:asciiTheme="majorEastAsia" w:hAnsiTheme="majorEastAsia" w:eastAsiaTheme="majorEastAsia" w:cstheme="majorEastAsia"/>
          <w:color w:val="000000"/>
          <w:kern w:val="0"/>
          <w:sz w:val="32"/>
          <w:szCs w:val="32"/>
        </w:rPr>
        <w:t>。</w:t>
      </w:r>
    </w:p>
    <w:p>
      <w:pPr>
        <w:widowControl/>
        <w:spacing w:line="368" w:lineRule="atLeast"/>
        <w:ind w:firstLine="640"/>
        <w:rPr>
          <w:rFonts w:hint="eastAsia" w:asciiTheme="majorEastAsia" w:hAnsiTheme="majorEastAsia" w:eastAsiaTheme="majorEastAsia" w:cstheme="majorEastAsia"/>
          <w:b/>
          <w:bCs/>
          <w:color w:val="000000"/>
          <w:kern w:val="0"/>
          <w:sz w:val="32"/>
          <w:szCs w:val="32"/>
        </w:rPr>
      </w:pPr>
      <w:r>
        <w:rPr>
          <w:rFonts w:ascii="宋体" w:hAnsi="宋体"/>
          <w:b/>
          <w:sz w:val="28"/>
          <w:szCs w:val="28"/>
        </w:rPr>
        <w:object>
          <v:shape id="_x0000_i1026" o:spt="75" type="#_x0000_t75" style="height:222.35pt;width:278.6pt;" o:ole="t" filled="f" o:preferrelative="t" stroked="f" coordsize="21600,21600">
            <v:path/>
            <v:fill on="f" focussize="0,0"/>
            <v:stroke on="f"/>
            <v:imagedata r:id="rId7" o:title=""/>
            <o:lock v:ext="edit" aspectratio="t"/>
            <w10:wrap type="none"/>
            <w10:anchorlock/>
          </v:shape>
          <o:OLEObject Type="Embed" ProgID="MSGraph.Chart.8" ShapeID="_x0000_i1026" DrawAspect="Content" ObjectID="_1468075726" r:id="rId6">
            <o:LockedField>false</o:LockedField>
          </o:OLEObject>
        </w:object>
      </w:r>
    </w:p>
    <w:p>
      <w:pPr>
        <w:widowControl/>
        <w:spacing w:line="368" w:lineRule="atLeast"/>
        <w:ind w:firstLine="640"/>
        <w:rPr>
          <w:rFonts w:hint="eastAsia" w:asciiTheme="majorEastAsia" w:hAnsiTheme="majorEastAsia" w:eastAsiaTheme="majorEastAsia" w:cstheme="majorEastAsia"/>
          <w:color w:val="000000"/>
          <w:kern w:val="0"/>
          <w:sz w:val="32"/>
          <w:szCs w:val="32"/>
        </w:rPr>
      </w:pPr>
      <w:r>
        <w:rPr>
          <w:rFonts w:hint="eastAsia" w:asciiTheme="majorEastAsia" w:hAnsiTheme="majorEastAsia" w:eastAsiaTheme="majorEastAsia" w:cstheme="majorEastAsia"/>
          <w:b/>
          <w:bCs/>
          <w:color w:val="000000"/>
          <w:kern w:val="0"/>
          <w:sz w:val="32"/>
          <w:szCs w:val="32"/>
        </w:rPr>
        <w:t>（三）一般公共预算财政拨款支出决算具体情况</w:t>
      </w:r>
    </w:p>
    <w:p>
      <w:pPr>
        <w:widowControl/>
        <w:spacing w:line="368" w:lineRule="atLeast"/>
        <w:ind w:firstLine="800"/>
        <w:rPr>
          <w:rFonts w:hint="eastAsia" w:asciiTheme="majorEastAsia" w:hAnsiTheme="majorEastAsia" w:eastAsiaTheme="majorEastAsia" w:cstheme="majorEastAsia"/>
          <w:color w:val="000000"/>
          <w:kern w:val="0"/>
          <w:sz w:val="32"/>
          <w:szCs w:val="32"/>
        </w:rPr>
      </w:pPr>
      <w:r>
        <w:rPr>
          <w:rFonts w:hint="eastAsia" w:asciiTheme="majorEastAsia" w:hAnsiTheme="majorEastAsia" w:eastAsiaTheme="majorEastAsia" w:cstheme="majorEastAsia"/>
          <w:color w:val="000000"/>
          <w:kern w:val="0"/>
          <w:sz w:val="32"/>
          <w:szCs w:val="32"/>
        </w:rPr>
        <w:t>中共维西县委政法委</w:t>
      </w:r>
      <w:r>
        <w:rPr>
          <w:rFonts w:hint="eastAsia" w:asciiTheme="majorEastAsia" w:hAnsiTheme="majorEastAsia" w:eastAsiaTheme="majorEastAsia" w:cstheme="majorEastAsia"/>
          <w:color w:val="333333"/>
          <w:kern w:val="0"/>
          <w:sz w:val="32"/>
          <w:szCs w:val="32"/>
        </w:rPr>
        <w:t>201</w:t>
      </w:r>
      <w:r>
        <w:rPr>
          <w:rFonts w:hint="eastAsia" w:asciiTheme="majorEastAsia" w:hAnsiTheme="majorEastAsia" w:eastAsiaTheme="majorEastAsia" w:cstheme="majorEastAsia"/>
          <w:color w:val="333333"/>
          <w:kern w:val="0"/>
          <w:sz w:val="32"/>
          <w:szCs w:val="32"/>
          <w:lang w:val="en-US" w:eastAsia="zh-CN"/>
        </w:rPr>
        <w:t>9</w:t>
      </w:r>
      <w:r>
        <w:rPr>
          <w:rFonts w:hint="eastAsia" w:asciiTheme="majorEastAsia" w:hAnsiTheme="majorEastAsia" w:eastAsiaTheme="majorEastAsia" w:cstheme="majorEastAsia"/>
          <w:color w:val="333333"/>
          <w:kern w:val="0"/>
          <w:sz w:val="32"/>
          <w:szCs w:val="32"/>
        </w:rPr>
        <w:t>年度一般公共预算支出</w:t>
      </w:r>
      <w:r>
        <w:rPr>
          <w:rFonts w:hint="eastAsia" w:asciiTheme="majorEastAsia" w:hAnsiTheme="majorEastAsia" w:eastAsiaTheme="majorEastAsia" w:cstheme="majorEastAsia"/>
          <w:color w:val="333333"/>
          <w:kern w:val="0"/>
          <w:sz w:val="32"/>
          <w:szCs w:val="32"/>
          <w:lang w:val="en-US" w:eastAsia="zh-CN"/>
        </w:rPr>
        <w:t>729.47</w:t>
      </w:r>
      <w:r>
        <w:rPr>
          <w:rFonts w:hint="eastAsia" w:asciiTheme="majorEastAsia" w:hAnsiTheme="majorEastAsia" w:eastAsiaTheme="majorEastAsia" w:cstheme="majorEastAsia"/>
          <w:color w:val="333333"/>
          <w:kern w:val="0"/>
          <w:sz w:val="32"/>
          <w:szCs w:val="32"/>
        </w:rPr>
        <w:t>万元，</w:t>
      </w:r>
      <w:r>
        <w:rPr>
          <w:rFonts w:hint="eastAsia" w:asciiTheme="majorEastAsia" w:hAnsiTheme="majorEastAsia" w:eastAsiaTheme="majorEastAsia" w:cstheme="majorEastAsia"/>
          <w:color w:val="000000"/>
          <w:kern w:val="0"/>
          <w:sz w:val="32"/>
          <w:szCs w:val="32"/>
        </w:rPr>
        <w:t>支出比上年增加</w:t>
      </w:r>
      <w:r>
        <w:rPr>
          <w:rFonts w:hint="eastAsia" w:asciiTheme="majorEastAsia" w:hAnsiTheme="majorEastAsia" w:eastAsiaTheme="majorEastAsia" w:cstheme="majorEastAsia"/>
          <w:color w:val="000000"/>
          <w:kern w:val="0"/>
          <w:sz w:val="32"/>
          <w:szCs w:val="32"/>
          <w:highlight w:val="none"/>
          <w:lang w:val="en-US" w:eastAsia="zh-CN"/>
        </w:rPr>
        <w:t>-14.16</w:t>
      </w:r>
      <w:r>
        <w:rPr>
          <w:rFonts w:hint="eastAsia" w:asciiTheme="majorEastAsia" w:hAnsiTheme="majorEastAsia" w:eastAsiaTheme="majorEastAsia" w:cstheme="majorEastAsia"/>
          <w:color w:val="000000"/>
          <w:kern w:val="0"/>
          <w:sz w:val="32"/>
          <w:szCs w:val="32"/>
          <w:highlight w:val="none"/>
        </w:rPr>
        <w:t>万元，增长</w:t>
      </w:r>
      <w:r>
        <w:rPr>
          <w:rFonts w:hint="eastAsia" w:asciiTheme="majorEastAsia" w:hAnsiTheme="majorEastAsia" w:eastAsiaTheme="majorEastAsia" w:cstheme="majorEastAsia"/>
          <w:color w:val="000000"/>
          <w:kern w:val="0"/>
          <w:sz w:val="32"/>
          <w:szCs w:val="32"/>
          <w:highlight w:val="none"/>
          <w:lang w:val="en-US" w:eastAsia="zh-CN"/>
        </w:rPr>
        <w:t>-1.68</w:t>
      </w:r>
      <w:r>
        <w:rPr>
          <w:rFonts w:hint="eastAsia" w:asciiTheme="majorEastAsia" w:hAnsiTheme="majorEastAsia" w:eastAsiaTheme="majorEastAsia" w:cstheme="majorEastAsia"/>
          <w:color w:val="000000"/>
          <w:kern w:val="0"/>
          <w:sz w:val="32"/>
          <w:szCs w:val="32"/>
          <w:highlight w:val="none"/>
        </w:rPr>
        <w:t>%</w:t>
      </w:r>
      <w:r>
        <w:rPr>
          <w:rFonts w:hint="eastAsia" w:asciiTheme="majorEastAsia" w:hAnsiTheme="majorEastAsia" w:eastAsiaTheme="majorEastAsia" w:cstheme="majorEastAsia"/>
          <w:color w:val="000000"/>
          <w:kern w:val="0"/>
          <w:sz w:val="32"/>
          <w:szCs w:val="32"/>
        </w:rPr>
        <w:t>。</w:t>
      </w:r>
    </w:p>
    <w:p>
      <w:pPr>
        <w:widowControl/>
        <w:spacing w:line="368" w:lineRule="atLeast"/>
        <w:ind w:firstLine="800"/>
        <w:rPr>
          <w:rFonts w:hint="eastAsia" w:asciiTheme="majorEastAsia" w:hAnsiTheme="majorEastAsia" w:eastAsiaTheme="majorEastAsia" w:cstheme="majorEastAsia"/>
          <w:color w:val="000000"/>
          <w:kern w:val="0"/>
          <w:sz w:val="32"/>
          <w:szCs w:val="32"/>
        </w:rPr>
      </w:pPr>
      <w:r>
        <w:rPr>
          <w:rFonts w:hint="eastAsia" w:asciiTheme="majorEastAsia" w:hAnsiTheme="majorEastAsia" w:eastAsiaTheme="majorEastAsia" w:cstheme="majorEastAsia"/>
          <w:b/>
          <w:bCs/>
          <w:color w:val="000000"/>
          <w:kern w:val="0"/>
          <w:sz w:val="32"/>
          <w:szCs w:val="32"/>
        </w:rPr>
        <w:t>1、基本支出情况</w:t>
      </w:r>
    </w:p>
    <w:p>
      <w:pPr>
        <w:widowControl/>
        <w:spacing w:line="368" w:lineRule="atLeast"/>
        <w:ind w:firstLine="800"/>
        <w:rPr>
          <w:rFonts w:hint="eastAsia" w:asciiTheme="majorEastAsia" w:hAnsiTheme="majorEastAsia" w:eastAsiaTheme="majorEastAsia" w:cstheme="majorEastAsia"/>
          <w:color w:val="000000"/>
          <w:kern w:val="0"/>
          <w:sz w:val="32"/>
          <w:szCs w:val="32"/>
          <w:highlight w:val="none"/>
        </w:rPr>
      </w:pPr>
      <w:r>
        <w:rPr>
          <w:rFonts w:hint="eastAsia" w:asciiTheme="majorEastAsia" w:hAnsiTheme="majorEastAsia" w:eastAsiaTheme="majorEastAsia" w:cstheme="majorEastAsia"/>
          <w:color w:val="000000"/>
          <w:kern w:val="0"/>
          <w:sz w:val="32"/>
          <w:szCs w:val="32"/>
        </w:rPr>
        <w:t>基本支出为</w:t>
      </w:r>
      <w:r>
        <w:rPr>
          <w:rFonts w:hint="eastAsia" w:asciiTheme="majorEastAsia" w:hAnsiTheme="majorEastAsia" w:eastAsiaTheme="majorEastAsia" w:cstheme="majorEastAsia"/>
          <w:color w:val="000000"/>
          <w:kern w:val="0"/>
          <w:sz w:val="32"/>
          <w:szCs w:val="32"/>
          <w:lang w:val="en-US" w:eastAsia="zh-CN"/>
        </w:rPr>
        <w:t>456.51</w:t>
      </w:r>
      <w:r>
        <w:rPr>
          <w:rFonts w:hint="eastAsia" w:asciiTheme="majorEastAsia" w:hAnsiTheme="majorEastAsia" w:eastAsiaTheme="majorEastAsia" w:cstheme="majorEastAsia"/>
          <w:color w:val="000000"/>
          <w:kern w:val="0"/>
          <w:sz w:val="32"/>
          <w:szCs w:val="32"/>
        </w:rPr>
        <w:t>万元，在基本支出中，人员经费支出</w:t>
      </w:r>
      <w:r>
        <w:rPr>
          <w:rFonts w:hint="eastAsia" w:asciiTheme="majorEastAsia" w:hAnsiTheme="majorEastAsia" w:eastAsiaTheme="majorEastAsia" w:cstheme="majorEastAsia"/>
          <w:color w:val="000000"/>
          <w:kern w:val="0"/>
          <w:sz w:val="32"/>
          <w:szCs w:val="32"/>
          <w:lang w:val="en-US" w:eastAsia="zh-CN"/>
        </w:rPr>
        <w:t>383.88</w:t>
      </w:r>
      <w:r>
        <w:rPr>
          <w:rFonts w:hint="eastAsia" w:asciiTheme="majorEastAsia" w:hAnsiTheme="majorEastAsia" w:eastAsiaTheme="majorEastAsia" w:cstheme="majorEastAsia"/>
          <w:color w:val="000000"/>
          <w:kern w:val="0"/>
          <w:sz w:val="32"/>
          <w:szCs w:val="32"/>
        </w:rPr>
        <w:t>万元，占基本支出的</w:t>
      </w:r>
      <w:r>
        <w:rPr>
          <w:rFonts w:hint="eastAsia" w:asciiTheme="majorEastAsia" w:hAnsiTheme="majorEastAsia" w:eastAsiaTheme="majorEastAsia" w:cstheme="majorEastAsia"/>
          <w:color w:val="000000"/>
          <w:kern w:val="0"/>
          <w:sz w:val="32"/>
          <w:szCs w:val="32"/>
          <w:highlight w:val="none"/>
          <w:lang w:val="en-US" w:eastAsia="zh-CN"/>
        </w:rPr>
        <w:t>84.01</w:t>
      </w:r>
      <w:r>
        <w:rPr>
          <w:rFonts w:hint="eastAsia" w:asciiTheme="majorEastAsia" w:hAnsiTheme="majorEastAsia" w:eastAsiaTheme="majorEastAsia" w:cstheme="majorEastAsia"/>
          <w:color w:val="000000"/>
          <w:kern w:val="0"/>
          <w:sz w:val="32"/>
          <w:szCs w:val="32"/>
          <w:highlight w:val="none"/>
        </w:rPr>
        <w:t>%，日常公用经费支出</w:t>
      </w:r>
      <w:r>
        <w:rPr>
          <w:rFonts w:hint="eastAsia" w:asciiTheme="majorEastAsia" w:hAnsiTheme="majorEastAsia" w:eastAsiaTheme="majorEastAsia" w:cstheme="majorEastAsia"/>
          <w:color w:val="000000"/>
          <w:kern w:val="0"/>
          <w:sz w:val="32"/>
          <w:szCs w:val="32"/>
          <w:highlight w:val="none"/>
          <w:lang w:val="en-US" w:eastAsia="zh-CN"/>
        </w:rPr>
        <w:t>56.51</w:t>
      </w:r>
      <w:r>
        <w:rPr>
          <w:rFonts w:hint="eastAsia" w:asciiTheme="majorEastAsia" w:hAnsiTheme="majorEastAsia" w:eastAsiaTheme="majorEastAsia" w:cstheme="majorEastAsia"/>
          <w:color w:val="000000"/>
          <w:kern w:val="0"/>
          <w:sz w:val="32"/>
          <w:szCs w:val="32"/>
          <w:highlight w:val="none"/>
        </w:rPr>
        <w:t>万元，占基本支出的</w:t>
      </w:r>
      <w:r>
        <w:rPr>
          <w:rFonts w:hint="eastAsia" w:asciiTheme="majorEastAsia" w:hAnsiTheme="majorEastAsia" w:eastAsiaTheme="majorEastAsia" w:cstheme="majorEastAsia"/>
          <w:color w:val="000000"/>
          <w:kern w:val="0"/>
          <w:sz w:val="32"/>
          <w:szCs w:val="32"/>
          <w:highlight w:val="none"/>
          <w:lang w:val="en-US" w:eastAsia="zh-CN"/>
        </w:rPr>
        <w:t>12.38</w:t>
      </w:r>
      <w:r>
        <w:rPr>
          <w:rFonts w:hint="eastAsia" w:asciiTheme="majorEastAsia" w:hAnsiTheme="majorEastAsia" w:eastAsiaTheme="majorEastAsia" w:cstheme="majorEastAsia"/>
          <w:color w:val="000000"/>
          <w:kern w:val="0"/>
          <w:sz w:val="32"/>
          <w:szCs w:val="32"/>
          <w:highlight w:val="none"/>
        </w:rPr>
        <w:t>%</w:t>
      </w:r>
      <w:r>
        <w:rPr>
          <w:rFonts w:hint="eastAsia" w:asciiTheme="majorEastAsia" w:hAnsiTheme="majorEastAsia" w:eastAsiaTheme="majorEastAsia" w:cstheme="majorEastAsia"/>
          <w:color w:val="000000"/>
          <w:kern w:val="0"/>
          <w:sz w:val="32"/>
          <w:szCs w:val="32"/>
          <w:highlight w:val="none"/>
          <w:lang w:eastAsia="zh-CN"/>
        </w:rPr>
        <w:t>，其他个人与家庭支出</w:t>
      </w:r>
      <w:r>
        <w:rPr>
          <w:rFonts w:hint="eastAsia" w:asciiTheme="majorEastAsia" w:hAnsiTheme="majorEastAsia" w:eastAsiaTheme="majorEastAsia" w:cstheme="majorEastAsia"/>
          <w:color w:val="000000"/>
          <w:kern w:val="0"/>
          <w:sz w:val="32"/>
          <w:szCs w:val="32"/>
          <w:highlight w:val="none"/>
          <w:lang w:val="en-US" w:eastAsia="zh-CN"/>
        </w:rPr>
        <w:t>16.12万元，占基本支出的3.61%</w:t>
      </w:r>
      <w:r>
        <w:rPr>
          <w:rFonts w:hint="eastAsia" w:asciiTheme="majorEastAsia" w:hAnsiTheme="majorEastAsia" w:eastAsiaTheme="majorEastAsia" w:cstheme="majorEastAsia"/>
          <w:color w:val="000000"/>
          <w:kern w:val="0"/>
          <w:sz w:val="32"/>
          <w:szCs w:val="32"/>
          <w:highlight w:val="none"/>
        </w:rPr>
        <w:t>。201</w:t>
      </w:r>
      <w:r>
        <w:rPr>
          <w:rFonts w:hint="eastAsia" w:asciiTheme="majorEastAsia" w:hAnsiTheme="majorEastAsia" w:eastAsiaTheme="majorEastAsia" w:cstheme="majorEastAsia"/>
          <w:color w:val="000000"/>
          <w:kern w:val="0"/>
          <w:sz w:val="32"/>
          <w:szCs w:val="32"/>
          <w:highlight w:val="none"/>
          <w:lang w:val="en-US" w:eastAsia="zh-CN"/>
        </w:rPr>
        <w:t>9</w:t>
      </w:r>
      <w:r>
        <w:rPr>
          <w:rFonts w:hint="eastAsia" w:asciiTheme="majorEastAsia" w:hAnsiTheme="majorEastAsia" w:eastAsiaTheme="majorEastAsia" w:cstheme="majorEastAsia"/>
          <w:color w:val="000000"/>
          <w:kern w:val="0"/>
          <w:sz w:val="32"/>
          <w:szCs w:val="32"/>
          <w:highlight w:val="none"/>
        </w:rPr>
        <w:t>决算收入</w:t>
      </w:r>
      <w:r>
        <w:rPr>
          <w:rFonts w:hint="eastAsia" w:asciiTheme="majorEastAsia" w:hAnsiTheme="majorEastAsia" w:eastAsiaTheme="majorEastAsia" w:cstheme="majorEastAsia"/>
          <w:color w:val="000000"/>
          <w:kern w:val="0"/>
          <w:sz w:val="32"/>
          <w:szCs w:val="32"/>
          <w:highlight w:val="none"/>
          <w:lang w:val="en-US" w:eastAsia="zh-CN"/>
        </w:rPr>
        <w:t>766.65万</w:t>
      </w:r>
      <w:r>
        <w:rPr>
          <w:rFonts w:hint="eastAsia" w:asciiTheme="majorEastAsia" w:hAnsiTheme="majorEastAsia" w:eastAsiaTheme="majorEastAsia" w:cstheme="majorEastAsia"/>
          <w:color w:val="000000"/>
          <w:kern w:val="0"/>
          <w:sz w:val="32"/>
          <w:szCs w:val="32"/>
          <w:highlight w:val="none"/>
        </w:rPr>
        <w:t>元，比上年增加</w:t>
      </w:r>
      <w:r>
        <w:rPr>
          <w:rFonts w:hint="eastAsia" w:asciiTheme="majorEastAsia" w:hAnsiTheme="majorEastAsia" w:eastAsiaTheme="majorEastAsia" w:cstheme="majorEastAsia"/>
          <w:color w:val="000000"/>
          <w:kern w:val="0"/>
          <w:sz w:val="32"/>
          <w:szCs w:val="32"/>
          <w:highlight w:val="none"/>
          <w:lang w:val="en-US" w:eastAsia="zh-CN"/>
        </w:rPr>
        <w:t>29.78万</w:t>
      </w:r>
      <w:r>
        <w:rPr>
          <w:rFonts w:hint="eastAsia" w:asciiTheme="majorEastAsia" w:hAnsiTheme="majorEastAsia" w:eastAsiaTheme="majorEastAsia" w:cstheme="majorEastAsia"/>
          <w:color w:val="000000"/>
          <w:kern w:val="0"/>
          <w:sz w:val="32"/>
          <w:szCs w:val="32"/>
          <w:highlight w:val="none"/>
        </w:rPr>
        <w:t>元，增长</w:t>
      </w:r>
      <w:r>
        <w:rPr>
          <w:rFonts w:hint="eastAsia" w:asciiTheme="majorEastAsia" w:hAnsiTheme="majorEastAsia" w:eastAsiaTheme="majorEastAsia" w:cstheme="majorEastAsia"/>
          <w:color w:val="000000"/>
          <w:kern w:val="0"/>
          <w:sz w:val="32"/>
          <w:szCs w:val="32"/>
          <w:highlight w:val="none"/>
          <w:lang w:val="en-US" w:eastAsia="zh-CN"/>
        </w:rPr>
        <w:t>4.04</w:t>
      </w:r>
      <w:r>
        <w:rPr>
          <w:rFonts w:hint="eastAsia" w:asciiTheme="majorEastAsia" w:hAnsiTheme="majorEastAsia" w:eastAsiaTheme="majorEastAsia" w:cstheme="majorEastAsia"/>
          <w:color w:val="000000"/>
          <w:kern w:val="0"/>
          <w:sz w:val="32"/>
          <w:szCs w:val="32"/>
          <w:highlight w:val="none"/>
        </w:rPr>
        <w:t>%。</w:t>
      </w:r>
    </w:p>
    <w:p>
      <w:pPr>
        <w:widowControl/>
        <w:shd w:val="clear" w:color="auto" w:fill="FFFFFF"/>
        <w:spacing w:line="560" w:lineRule="atLeast"/>
        <w:ind w:firstLine="640"/>
        <w:jc w:val="left"/>
        <w:rPr>
          <w:rFonts w:hint="eastAsia" w:asciiTheme="majorEastAsia" w:hAnsiTheme="majorEastAsia" w:eastAsiaTheme="majorEastAsia" w:cstheme="majorEastAsia"/>
          <w:color w:val="000000"/>
          <w:kern w:val="0"/>
          <w:sz w:val="32"/>
          <w:szCs w:val="32"/>
        </w:rPr>
      </w:pPr>
      <w:r>
        <w:rPr>
          <w:rFonts w:hint="eastAsia" w:asciiTheme="majorEastAsia" w:hAnsiTheme="majorEastAsia" w:eastAsiaTheme="majorEastAsia" w:cstheme="majorEastAsia"/>
          <w:color w:val="000000"/>
          <w:kern w:val="0"/>
          <w:sz w:val="32"/>
          <w:szCs w:val="32"/>
        </w:rPr>
        <w:t>（1）按照支出功能科目分类情况</w:t>
      </w:r>
    </w:p>
    <w:p>
      <w:pPr>
        <w:widowControl/>
        <w:shd w:val="clear" w:color="auto" w:fill="FFFFFF"/>
        <w:spacing w:line="560" w:lineRule="atLeast"/>
        <w:ind w:firstLine="640"/>
        <w:jc w:val="left"/>
        <w:rPr>
          <w:rFonts w:hint="eastAsia" w:asciiTheme="majorEastAsia" w:hAnsiTheme="majorEastAsia" w:eastAsiaTheme="majorEastAsia" w:cstheme="majorEastAsia"/>
          <w:color w:val="000000"/>
          <w:kern w:val="0"/>
          <w:sz w:val="32"/>
          <w:szCs w:val="32"/>
        </w:rPr>
      </w:pPr>
      <w:r>
        <w:rPr>
          <w:rFonts w:hint="eastAsia" w:asciiTheme="majorEastAsia" w:hAnsiTheme="majorEastAsia" w:eastAsiaTheme="majorEastAsia" w:cstheme="majorEastAsia"/>
          <w:color w:val="000000"/>
          <w:kern w:val="0"/>
          <w:sz w:val="32"/>
          <w:szCs w:val="32"/>
        </w:rPr>
        <w:t>2013601-般公共服务支出/其他共产党事物/行政运行</w:t>
      </w:r>
      <w:r>
        <w:rPr>
          <w:rFonts w:hint="eastAsia" w:asciiTheme="majorEastAsia" w:hAnsiTheme="majorEastAsia" w:eastAsiaTheme="majorEastAsia" w:cstheme="majorEastAsia"/>
          <w:color w:val="000000"/>
          <w:kern w:val="0"/>
          <w:sz w:val="32"/>
          <w:szCs w:val="32"/>
          <w:lang w:val="en-US" w:eastAsia="zh-CN"/>
        </w:rPr>
        <w:t>367.22</w:t>
      </w:r>
      <w:r>
        <w:rPr>
          <w:rFonts w:hint="eastAsia" w:asciiTheme="majorEastAsia" w:hAnsiTheme="majorEastAsia" w:eastAsiaTheme="majorEastAsia" w:cstheme="majorEastAsia"/>
          <w:color w:val="000000"/>
          <w:kern w:val="0"/>
          <w:sz w:val="32"/>
          <w:szCs w:val="32"/>
        </w:rPr>
        <w:t>万元，2013699-其他共产党事务支出</w:t>
      </w:r>
      <w:r>
        <w:rPr>
          <w:rFonts w:hint="eastAsia" w:asciiTheme="majorEastAsia" w:hAnsiTheme="majorEastAsia" w:eastAsiaTheme="majorEastAsia" w:cstheme="majorEastAsia"/>
          <w:color w:val="000000"/>
          <w:kern w:val="0"/>
          <w:sz w:val="32"/>
          <w:szCs w:val="32"/>
          <w:lang w:val="en-US" w:eastAsia="zh-CN"/>
        </w:rPr>
        <w:t>130.54</w:t>
      </w:r>
      <w:r>
        <w:rPr>
          <w:rFonts w:hint="eastAsia" w:asciiTheme="majorEastAsia" w:hAnsiTheme="majorEastAsia" w:eastAsiaTheme="majorEastAsia" w:cstheme="majorEastAsia"/>
          <w:color w:val="000000"/>
          <w:kern w:val="0"/>
          <w:sz w:val="32"/>
          <w:szCs w:val="32"/>
        </w:rPr>
        <w:t>万元，2049901-其他公共安全支出</w:t>
      </w:r>
      <w:r>
        <w:rPr>
          <w:rFonts w:hint="eastAsia" w:asciiTheme="majorEastAsia" w:hAnsiTheme="majorEastAsia" w:eastAsiaTheme="majorEastAsia" w:cstheme="majorEastAsia"/>
          <w:color w:val="000000"/>
          <w:kern w:val="0"/>
          <w:sz w:val="32"/>
          <w:szCs w:val="32"/>
          <w:lang w:val="en-US" w:eastAsia="zh-CN"/>
        </w:rPr>
        <w:t>133.04</w:t>
      </w:r>
      <w:r>
        <w:rPr>
          <w:rFonts w:hint="eastAsia" w:asciiTheme="majorEastAsia" w:hAnsiTheme="majorEastAsia" w:eastAsiaTheme="majorEastAsia" w:cstheme="majorEastAsia"/>
          <w:color w:val="000000"/>
          <w:kern w:val="0"/>
          <w:sz w:val="32"/>
          <w:szCs w:val="32"/>
        </w:rPr>
        <w:t>万元，2080505-社会保障和就业支出/行政事业单位离退休/机关事业单位基本养老保险缴费支出</w:t>
      </w:r>
      <w:r>
        <w:rPr>
          <w:rFonts w:hint="eastAsia" w:asciiTheme="majorEastAsia" w:hAnsiTheme="majorEastAsia" w:eastAsiaTheme="majorEastAsia" w:cstheme="majorEastAsia"/>
          <w:color w:val="000000"/>
          <w:kern w:val="0"/>
          <w:sz w:val="32"/>
          <w:szCs w:val="32"/>
          <w:lang w:val="en-US" w:eastAsia="zh-CN"/>
        </w:rPr>
        <w:t>31.84</w:t>
      </w:r>
      <w:r>
        <w:rPr>
          <w:rFonts w:hint="eastAsia" w:asciiTheme="majorEastAsia" w:hAnsiTheme="majorEastAsia" w:eastAsiaTheme="majorEastAsia" w:cstheme="majorEastAsia"/>
          <w:color w:val="000000"/>
          <w:kern w:val="0"/>
          <w:sz w:val="32"/>
          <w:szCs w:val="32"/>
        </w:rPr>
        <w:t>万元，2080506-社会保障和就业支出/行政事业单位离退休/机关事业单位职业年金保险缴费支出</w:t>
      </w:r>
      <w:r>
        <w:rPr>
          <w:rFonts w:hint="eastAsia" w:asciiTheme="majorEastAsia" w:hAnsiTheme="majorEastAsia" w:eastAsiaTheme="majorEastAsia" w:cstheme="majorEastAsia"/>
          <w:color w:val="000000"/>
          <w:kern w:val="0"/>
          <w:sz w:val="32"/>
          <w:szCs w:val="32"/>
          <w:lang w:val="en-US" w:eastAsia="zh-CN"/>
        </w:rPr>
        <w:t>0</w:t>
      </w:r>
      <w:r>
        <w:rPr>
          <w:rFonts w:hint="eastAsia" w:asciiTheme="majorEastAsia" w:hAnsiTheme="majorEastAsia" w:eastAsiaTheme="majorEastAsia" w:cstheme="majorEastAsia"/>
          <w:color w:val="000000"/>
          <w:kern w:val="0"/>
          <w:sz w:val="32"/>
          <w:szCs w:val="32"/>
        </w:rPr>
        <w:t>万元； 2100199-其他医疗卫生与计划生育管理事务支出0.2万元，2101101-医疗卫生与计划生育支出/医疗保障/行政单位医疗</w:t>
      </w:r>
      <w:r>
        <w:rPr>
          <w:rFonts w:hint="eastAsia" w:asciiTheme="majorEastAsia" w:hAnsiTheme="majorEastAsia" w:eastAsiaTheme="majorEastAsia" w:cstheme="majorEastAsia"/>
          <w:color w:val="000000"/>
          <w:kern w:val="0"/>
          <w:sz w:val="32"/>
          <w:szCs w:val="32"/>
          <w:lang w:val="en-US" w:eastAsia="zh-CN"/>
        </w:rPr>
        <w:t>16.67</w:t>
      </w:r>
      <w:r>
        <w:rPr>
          <w:rFonts w:hint="eastAsia" w:asciiTheme="majorEastAsia" w:hAnsiTheme="majorEastAsia" w:eastAsiaTheme="majorEastAsia" w:cstheme="majorEastAsia"/>
          <w:color w:val="000000"/>
          <w:kern w:val="0"/>
          <w:sz w:val="32"/>
          <w:szCs w:val="32"/>
        </w:rPr>
        <w:t>万元，2101103-医疗卫生与计划生育支出/医疗保障/公务员医疗补助</w:t>
      </w:r>
      <w:r>
        <w:rPr>
          <w:rFonts w:hint="eastAsia" w:asciiTheme="majorEastAsia" w:hAnsiTheme="majorEastAsia" w:eastAsiaTheme="majorEastAsia" w:cstheme="majorEastAsia"/>
          <w:color w:val="000000"/>
          <w:kern w:val="0"/>
          <w:sz w:val="32"/>
          <w:szCs w:val="32"/>
          <w:lang w:val="en-US" w:eastAsia="zh-CN"/>
        </w:rPr>
        <w:t>8.81</w:t>
      </w:r>
      <w:r>
        <w:rPr>
          <w:rFonts w:hint="eastAsia" w:asciiTheme="majorEastAsia" w:hAnsiTheme="majorEastAsia" w:eastAsiaTheme="majorEastAsia" w:cstheme="majorEastAsia"/>
          <w:color w:val="000000"/>
          <w:kern w:val="0"/>
          <w:sz w:val="32"/>
          <w:szCs w:val="32"/>
        </w:rPr>
        <w:t>万元,2210201-住房保障支出/住房改革支出/住房公积</w:t>
      </w:r>
      <w:r>
        <w:rPr>
          <w:rFonts w:hint="eastAsia" w:asciiTheme="majorEastAsia" w:hAnsiTheme="majorEastAsia" w:eastAsiaTheme="majorEastAsia" w:cstheme="majorEastAsia"/>
          <w:color w:val="000000"/>
          <w:kern w:val="0"/>
          <w:sz w:val="32"/>
          <w:szCs w:val="32"/>
          <w:lang w:val="en-US" w:eastAsia="zh-CN"/>
        </w:rPr>
        <w:t>25.22</w:t>
      </w:r>
      <w:r>
        <w:rPr>
          <w:rFonts w:hint="eastAsia" w:asciiTheme="majorEastAsia" w:hAnsiTheme="majorEastAsia" w:eastAsiaTheme="majorEastAsia" w:cstheme="majorEastAsia"/>
          <w:color w:val="000000"/>
          <w:kern w:val="0"/>
          <w:sz w:val="32"/>
          <w:szCs w:val="32"/>
        </w:rPr>
        <w:t>万元，年末结转结余</w:t>
      </w:r>
      <w:r>
        <w:rPr>
          <w:rFonts w:hint="eastAsia" w:asciiTheme="majorEastAsia" w:hAnsiTheme="majorEastAsia" w:eastAsiaTheme="majorEastAsia" w:cstheme="majorEastAsia"/>
          <w:color w:val="000000"/>
          <w:kern w:val="0"/>
          <w:sz w:val="32"/>
          <w:szCs w:val="32"/>
          <w:lang w:val="en-US" w:eastAsia="zh-CN"/>
        </w:rPr>
        <w:t>143.94</w:t>
      </w:r>
      <w:r>
        <w:rPr>
          <w:rFonts w:hint="eastAsia" w:asciiTheme="majorEastAsia" w:hAnsiTheme="majorEastAsia" w:eastAsiaTheme="majorEastAsia" w:cstheme="majorEastAsia"/>
          <w:color w:val="000000"/>
          <w:kern w:val="0"/>
          <w:sz w:val="32"/>
          <w:szCs w:val="32"/>
        </w:rPr>
        <w:t>万元。共计</w:t>
      </w:r>
      <w:r>
        <w:rPr>
          <w:rFonts w:hint="eastAsia" w:asciiTheme="majorEastAsia" w:hAnsiTheme="majorEastAsia" w:eastAsiaTheme="majorEastAsia" w:cstheme="majorEastAsia"/>
          <w:color w:val="000000"/>
          <w:kern w:val="0"/>
          <w:sz w:val="32"/>
          <w:szCs w:val="32"/>
          <w:lang w:val="en-US" w:eastAsia="zh-CN"/>
        </w:rPr>
        <w:t>729.47</w:t>
      </w:r>
      <w:r>
        <w:rPr>
          <w:rFonts w:hint="eastAsia" w:asciiTheme="majorEastAsia" w:hAnsiTheme="majorEastAsia" w:eastAsiaTheme="majorEastAsia" w:cstheme="majorEastAsia"/>
          <w:color w:val="000000"/>
          <w:kern w:val="0"/>
          <w:sz w:val="32"/>
          <w:szCs w:val="32"/>
        </w:rPr>
        <w:t>万元。</w:t>
      </w:r>
    </w:p>
    <w:p>
      <w:pPr>
        <w:widowControl/>
        <w:numPr>
          <w:ilvl w:val="0"/>
          <w:numId w:val="2"/>
        </w:numPr>
        <w:spacing w:line="368" w:lineRule="atLeast"/>
        <w:ind w:firstLine="640"/>
        <w:rPr>
          <w:rFonts w:hint="eastAsia" w:asciiTheme="majorEastAsia" w:hAnsiTheme="majorEastAsia" w:eastAsiaTheme="majorEastAsia" w:cstheme="majorEastAsia"/>
          <w:color w:val="000000"/>
          <w:kern w:val="0"/>
          <w:sz w:val="32"/>
          <w:szCs w:val="32"/>
        </w:rPr>
      </w:pPr>
      <w:r>
        <w:rPr>
          <w:rFonts w:hint="eastAsia" w:asciiTheme="majorEastAsia" w:hAnsiTheme="majorEastAsia" w:eastAsiaTheme="majorEastAsia" w:cstheme="majorEastAsia"/>
          <w:color w:val="000000"/>
          <w:kern w:val="0"/>
          <w:sz w:val="32"/>
          <w:szCs w:val="32"/>
        </w:rPr>
        <w:t>根据公共预算基本支出情况分类决算情况为：工资福利支出为</w:t>
      </w:r>
      <w:r>
        <w:rPr>
          <w:rFonts w:hint="eastAsia" w:asciiTheme="majorEastAsia" w:hAnsiTheme="majorEastAsia" w:eastAsiaTheme="majorEastAsia" w:cstheme="majorEastAsia"/>
          <w:color w:val="000000"/>
          <w:kern w:val="0"/>
          <w:sz w:val="32"/>
          <w:szCs w:val="32"/>
          <w:lang w:val="en-US" w:eastAsia="zh-CN"/>
        </w:rPr>
        <w:t>383.88</w:t>
      </w:r>
      <w:r>
        <w:rPr>
          <w:rFonts w:hint="eastAsia" w:asciiTheme="majorEastAsia" w:hAnsiTheme="majorEastAsia" w:eastAsiaTheme="majorEastAsia" w:cstheme="majorEastAsia"/>
          <w:color w:val="000000"/>
          <w:kern w:val="0"/>
          <w:sz w:val="32"/>
          <w:szCs w:val="32"/>
        </w:rPr>
        <w:t>万元（包括：基本工资、津贴补贴、奖金、绩效工资），其中基本工资</w:t>
      </w:r>
      <w:r>
        <w:rPr>
          <w:rFonts w:hint="eastAsia" w:asciiTheme="majorEastAsia" w:hAnsiTheme="majorEastAsia" w:eastAsiaTheme="majorEastAsia" w:cstheme="majorEastAsia"/>
          <w:color w:val="000000"/>
          <w:kern w:val="0"/>
          <w:sz w:val="32"/>
          <w:szCs w:val="32"/>
          <w:lang w:val="en-US" w:eastAsia="zh-CN"/>
        </w:rPr>
        <w:t>69.51</w:t>
      </w:r>
      <w:r>
        <w:rPr>
          <w:rFonts w:hint="eastAsia" w:asciiTheme="majorEastAsia" w:hAnsiTheme="majorEastAsia" w:eastAsiaTheme="majorEastAsia" w:cstheme="majorEastAsia"/>
          <w:color w:val="000000"/>
          <w:kern w:val="0"/>
          <w:sz w:val="32"/>
          <w:szCs w:val="32"/>
        </w:rPr>
        <w:t>万元、津贴补贴为</w:t>
      </w:r>
      <w:r>
        <w:rPr>
          <w:rFonts w:hint="eastAsia" w:asciiTheme="majorEastAsia" w:hAnsiTheme="majorEastAsia" w:eastAsiaTheme="majorEastAsia" w:cstheme="majorEastAsia"/>
          <w:color w:val="000000"/>
          <w:kern w:val="0"/>
          <w:sz w:val="32"/>
          <w:szCs w:val="32"/>
          <w:lang w:val="en-US" w:eastAsia="zh-CN"/>
        </w:rPr>
        <w:t>211.79</w:t>
      </w:r>
      <w:r>
        <w:rPr>
          <w:rFonts w:hint="eastAsia" w:asciiTheme="majorEastAsia" w:hAnsiTheme="majorEastAsia" w:eastAsiaTheme="majorEastAsia" w:cstheme="majorEastAsia"/>
          <w:color w:val="000000"/>
          <w:kern w:val="0"/>
          <w:sz w:val="32"/>
          <w:szCs w:val="32"/>
        </w:rPr>
        <w:t>万元，奖金为</w:t>
      </w:r>
      <w:r>
        <w:rPr>
          <w:rFonts w:hint="eastAsia" w:asciiTheme="majorEastAsia" w:hAnsiTheme="majorEastAsia" w:eastAsiaTheme="majorEastAsia" w:cstheme="majorEastAsia"/>
          <w:color w:val="000000"/>
          <w:kern w:val="0"/>
          <w:sz w:val="32"/>
          <w:szCs w:val="32"/>
          <w:lang w:val="en-US" w:eastAsia="zh-CN"/>
        </w:rPr>
        <w:t>19.77</w:t>
      </w:r>
      <w:r>
        <w:rPr>
          <w:rFonts w:hint="eastAsia" w:asciiTheme="majorEastAsia" w:hAnsiTheme="majorEastAsia" w:eastAsiaTheme="majorEastAsia" w:cstheme="majorEastAsia"/>
          <w:color w:val="000000"/>
          <w:kern w:val="0"/>
          <w:sz w:val="32"/>
          <w:szCs w:val="32"/>
        </w:rPr>
        <w:t>万元，其他社会保障缴费为</w:t>
      </w:r>
      <w:r>
        <w:rPr>
          <w:rFonts w:hint="eastAsia" w:asciiTheme="majorEastAsia" w:hAnsiTheme="majorEastAsia" w:eastAsiaTheme="majorEastAsia" w:cstheme="majorEastAsia"/>
          <w:color w:val="000000"/>
          <w:kern w:val="0"/>
          <w:sz w:val="32"/>
          <w:szCs w:val="32"/>
          <w:lang w:val="en-US" w:eastAsia="zh-CN"/>
        </w:rPr>
        <w:t>0.27</w:t>
      </w:r>
      <w:r>
        <w:rPr>
          <w:rFonts w:hint="eastAsia" w:asciiTheme="majorEastAsia" w:hAnsiTheme="majorEastAsia" w:eastAsiaTheme="majorEastAsia" w:cstheme="majorEastAsia"/>
          <w:color w:val="000000"/>
          <w:kern w:val="0"/>
          <w:sz w:val="32"/>
          <w:szCs w:val="32"/>
        </w:rPr>
        <w:t>万元（即失业保险），机关事业单位基本养老保险缴费支出</w:t>
      </w:r>
      <w:r>
        <w:rPr>
          <w:rFonts w:hint="eastAsia" w:asciiTheme="majorEastAsia" w:hAnsiTheme="majorEastAsia" w:eastAsiaTheme="majorEastAsia" w:cstheme="majorEastAsia"/>
          <w:color w:val="000000"/>
          <w:kern w:val="0"/>
          <w:sz w:val="32"/>
          <w:szCs w:val="32"/>
          <w:lang w:val="en-US" w:eastAsia="zh-CN"/>
        </w:rPr>
        <w:t>31.84</w:t>
      </w:r>
      <w:r>
        <w:rPr>
          <w:rFonts w:hint="eastAsia" w:asciiTheme="majorEastAsia" w:hAnsiTheme="majorEastAsia" w:eastAsiaTheme="majorEastAsia" w:cstheme="majorEastAsia"/>
          <w:color w:val="000000"/>
          <w:kern w:val="0"/>
          <w:sz w:val="32"/>
          <w:szCs w:val="32"/>
        </w:rPr>
        <w:t>万元，职业年金缴费</w:t>
      </w:r>
      <w:r>
        <w:rPr>
          <w:rFonts w:hint="eastAsia" w:asciiTheme="majorEastAsia" w:hAnsiTheme="majorEastAsia" w:eastAsiaTheme="majorEastAsia" w:cstheme="majorEastAsia"/>
          <w:color w:val="000000"/>
          <w:kern w:val="0"/>
          <w:sz w:val="32"/>
          <w:szCs w:val="32"/>
          <w:lang w:val="en-US" w:eastAsia="zh-CN"/>
        </w:rPr>
        <w:t>0</w:t>
      </w:r>
      <w:r>
        <w:rPr>
          <w:rFonts w:hint="eastAsia" w:asciiTheme="majorEastAsia" w:hAnsiTheme="majorEastAsia" w:eastAsiaTheme="majorEastAsia" w:cstheme="majorEastAsia"/>
          <w:color w:val="000000"/>
          <w:kern w:val="0"/>
          <w:sz w:val="32"/>
          <w:szCs w:val="32"/>
        </w:rPr>
        <w:t>万元，职工基本医疗保险为</w:t>
      </w:r>
      <w:r>
        <w:rPr>
          <w:rFonts w:hint="eastAsia" w:asciiTheme="majorEastAsia" w:hAnsiTheme="majorEastAsia" w:eastAsiaTheme="majorEastAsia" w:cstheme="majorEastAsia"/>
          <w:color w:val="000000"/>
          <w:kern w:val="0"/>
          <w:sz w:val="32"/>
          <w:szCs w:val="32"/>
          <w:lang w:val="en-US" w:eastAsia="zh-CN"/>
        </w:rPr>
        <w:t>16.67</w:t>
      </w:r>
      <w:r>
        <w:rPr>
          <w:rFonts w:hint="eastAsia" w:asciiTheme="majorEastAsia" w:hAnsiTheme="majorEastAsia" w:eastAsiaTheme="majorEastAsia" w:cstheme="majorEastAsia"/>
          <w:color w:val="000000"/>
          <w:kern w:val="0"/>
          <w:sz w:val="32"/>
          <w:szCs w:val="32"/>
        </w:rPr>
        <w:t>万元，公务员医疗保险缴费支出为</w:t>
      </w:r>
      <w:r>
        <w:rPr>
          <w:rFonts w:hint="eastAsia" w:asciiTheme="majorEastAsia" w:hAnsiTheme="majorEastAsia" w:eastAsiaTheme="majorEastAsia" w:cstheme="majorEastAsia"/>
          <w:color w:val="000000"/>
          <w:kern w:val="0"/>
          <w:sz w:val="32"/>
          <w:szCs w:val="32"/>
          <w:lang w:val="en-US" w:eastAsia="zh-CN"/>
        </w:rPr>
        <w:t>8.81</w:t>
      </w:r>
      <w:r>
        <w:rPr>
          <w:rFonts w:hint="eastAsia" w:asciiTheme="majorEastAsia" w:hAnsiTheme="majorEastAsia" w:eastAsiaTheme="majorEastAsia" w:cstheme="majorEastAsia"/>
          <w:color w:val="000000"/>
          <w:kern w:val="0"/>
          <w:sz w:val="32"/>
          <w:szCs w:val="32"/>
        </w:rPr>
        <w:t>万元，住房公积金</w:t>
      </w:r>
      <w:r>
        <w:rPr>
          <w:rFonts w:hint="eastAsia" w:asciiTheme="majorEastAsia" w:hAnsiTheme="majorEastAsia" w:eastAsiaTheme="majorEastAsia" w:cstheme="majorEastAsia"/>
          <w:color w:val="000000"/>
          <w:kern w:val="0"/>
          <w:sz w:val="32"/>
          <w:szCs w:val="32"/>
          <w:lang w:val="en-US" w:eastAsia="zh-CN"/>
        </w:rPr>
        <w:t>25.22</w:t>
      </w:r>
      <w:r>
        <w:rPr>
          <w:rFonts w:hint="eastAsia" w:asciiTheme="majorEastAsia" w:hAnsiTheme="majorEastAsia" w:eastAsiaTheme="majorEastAsia" w:cstheme="majorEastAsia"/>
          <w:color w:val="000000"/>
          <w:kern w:val="0"/>
          <w:sz w:val="32"/>
          <w:szCs w:val="32"/>
        </w:rPr>
        <w:t>万元；商品和服务支出</w:t>
      </w:r>
      <w:r>
        <w:rPr>
          <w:rFonts w:hint="eastAsia" w:asciiTheme="majorEastAsia" w:hAnsiTheme="majorEastAsia" w:eastAsiaTheme="majorEastAsia" w:cstheme="majorEastAsia"/>
          <w:color w:val="000000"/>
          <w:kern w:val="0"/>
          <w:sz w:val="32"/>
          <w:szCs w:val="32"/>
          <w:lang w:val="en-US" w:eastAsia="zh-CN"/>
        </w:rPr>
        <w:t>329.47</w:t>
      </w:r>
      <w:r>
        <w:rPr>
          <w:rFonts w:hint="eastAsia" w:asciiTheme="majorEastAsia" w:hAnsiTheme="majorEastAsia" w:eastAsiaTheme="majorEastAsia" w:cstheme="majorEastAsia"/>
          <w:color w:val="000000"/>
          <w:kern w:val="0"/>
          <w:sz w:val="32"/>
          <w:szCs w:val="32"/>
        </w:rPr>
        <w:t>元（包括：办公费、印刷费、手续费、水费、电费、邮电费、差旅费、维修（护）费、会议费、培训费、劳务费、工会经费、福利费、其他交通费、其他商品和服务支出），其中，办公费</w:t>
      </w:r>
      <w:r>
        <w:rPr>
          <w:rFonts w:hint="eastAsia" w:asciiTheme="majorEastAsia" w:hAnsiTheme="majorEastAsia" w:eastAsiaTheme="majorEastAsia" w:cstheme="majorEastAsia"/>
          <w:color w:val="000000"/>
          <w:kern w:val="0"/>
          <w:sz w:val="32"/>
          <w:szCs w:val="32"/>
          <w:lang w:val="en-US" w:eastAsia="zh-CN"/>
        </w:rPr>
        <w:t>297.79</w:t>
      </w:r>
      <w:r>
        <w:rPr>
          <w:rFonts w:hint="eastAsia" w:asciiTheme="majorEastAsia" w:hAnsiTheme="majorEastAsia" w:eastAsiaTheme="majorEastAsia" w:cstheme="majorEastAsia"/>
          <w:color w:val="000000"/>
          <w:kern w:val="0"/>
          <w:sz w:val="32"/>
          <w:szCs w:val="32"/>
        </w:rPr>
        <w:t>万元，差旅费</w:t>
      </w:r>
      <w:r>
        <w:rPr>
          <w:rFonts w:hint="eastAsia" w:asciiTheme="majorEastAsia" w:hAnsiTheme="majorEastAsia" w:eastAsiaTheme="majorEastAsia" w:cstheme="majorEastAsia"/>
          <w:color w:val="000000"/>
          <w:kern w:val="0"/>
          <w:sz w:val="32"/>
          <w:szCs w:val="32"/>
          <w:lang w:val="en-US" w:eastAsia="zh-CN"/>
        </w:rPr>
        <w:t>8.89</w:t>
      </w:r>
      <w:r>
        <w:rPr>
          <w:rFonts w:hint="eastAsia" w:asciiTheme="majorEastAsia" w:hAnsiTheme="majorEastAsia" w:eastAsiaTheme="majorEastAsia" w:cstheme="majorEastAsia"/>
          <w:color w:val="000000"/>
          <w:kern w:val="0"/>
          <w:sz w:val="32"/>
          <w:szCs w:val="32"/>
        </w:rPr>
        <w:t>万元，公务接待费</w:t>
      </w:r>
      <w:r>
        <w:rPr>
          <w:rFonts w:hint="eastAsia" w:asciiTheme="majorEastAsia" w:hAnsiTheme="majorEastAsia" w:eastAsiaTheme="majorEastAsia" w:cstheme="majorEastAsia"/>
          <w:color w:val="000000"/>
          <w:kern w:val="0"/>
          <w:sz w:val="32"/>
          <w:szCs w:val="32"/>
          <w:lang w:val="en-US" w:eastAsia="zh-CN"/>
        </w:rPr>
        <w:t>5.56</w:t>
      </w:r>
      <w:r>
        <w:rPr>
          <w:rFonts w:hint="eastAsia" w:asciiTheme="majorEastAsia" w:hAnsiTheme="majorEastAsia" w:eastAsiaTheme="majorEastAsia" w:cstheme="majorEastAsia"/>
          <w:color w:val="000000"/>
          <w:kern w:val="0"/>
          <w:sz w:val="32"/>
          <w:szCs w:val="32"/>
        </w:rPr>
        <w:t>万元，工会经费</w:t>
      </w:r>
      <w:r>
        <w:rPr>
          <w:rFonts w:hint="eastAsia" w:asciiTheme="majorEastAsia" w:hAnsiTheme="majorEastAsia" w:eastAsiaTheme="majorEastAsia" w:cstheme="majorEastAsia"/>
          <w:color w:val="000000"/>
          <w:kern w:val="0"/>
          <w:sz w:val="32"/>
          <w:szCs w:val="32"/>
          <w:lang w:val="en-US" w:eastAsia="zh-CN"/>
        </w:rPr>
        <w:t>4.20</w:t>
      </w:r>
      <w:r>
        <w:rPr>
          <w:rFonts w:hint="eastAsia" w:asciiTheme="majorEastAsia" w:hAnsiTheme="majorEastAsia" w:eastAsiaTheme="majorEastAsia" w:cstheme="majorEastAsia"/>
          <w:color w:val="000000"/>
          <w:kern w:val="0"/>
          <w:sz w:val="32"/>
          <w:szCs w:val="32"/>
        </w:rPr>
        <w:t>万元，福利费0.05万元，公务用车运行维护费</w:t>
      </w:r>
      <w:r>
        <w:rPr>
          <w:rFonts w:hint="eastAsia" w:asciiTheme="majorEastAsia" w:hAnsiTheme="majorEastAsia" w:eastAsiaTheme="majorEastAsia" w:cstheme="majorEastAsia"/>
          <w:color w:val="000000"/>
          <w:kern w:val="0"/>
          <w:sz w:val="32"/>
          <w:szCs w:val="32"/>
          <w:lang w:val="en-US" w:eastAsia="zh-CN"/>
        </w:rPr>
        <w:t>4.80</w:t>
      </w:r>
      <w:r>
        <w:rPr>
          <w:rFonts w:hint="eastAsia" w:asciiTheme="majorEastAsia" w:hAnsiTheme="majorEastAsia" w:eastAsiaTheme="majorEastAsia" w:cstheme="majorEastAsia"/>
          <w:color w:val="000000"/>
          <w:kern w:val="0"/>
          <w:sz w:val="32"/>
          <w:szCs w:val="32"/>
        </w:rPr>
        <w:t>万元；对个人与家庭的补助支出为</w:t>
      </w:r>
      <w:r>
        <w:rPr>
          <w:rFonts w:hint="eastAsia" w:asciiTheme="majorEastAsia" w:hAnsiTheme="majorEastAsia" w:eastAsiaTheme="majorEastAsia" w:cstheme="majorEastAsia"/>
          <w:color w:val="000000"/>
          <w:kern w:val="0"/>
          <w:sz w:val="32"/>
          <w:szCs w:val="32"/>
          <w:lang w:val="en-US" w:eastAsia="zh-CN"/>
        </w:rPr>
        <w:t>16.12</w:t>
      </w:r>
      <w:r>
        <w:rPr>
          <w:rFonts w:hint="eastAsia" w:asciiTheme="majorEastAsia" w:hAnsiTheme="majorEastAsia" w:eastAsiaTheme="majorEastAsia" w:cstheme="majorEastAsia"/>
          <w:color w:val="000000"/>
          <w:kern w:val="0"/>
          <w:sz w:val="32"/>
          <w:szCs w:val="32"/>
        </w:rPr>
        <w:t>万元，其中，对医疗费补助支出0.2万元。</w:t>
      </w:r>
    </w:p>
    <w:p>
      <w:pPr>
        <w:widowControl/>
        <w:numPr>
          <w:ilvl w:val="0"/>
          <w:numId w:val="2"/>
        </w:numPr>
        <w:spacing w:line="368" w:lineRule="atLeast"/>
        <w:ind w:firstLine="640"/>
        <w:rPr>
          <w:rFonts w:hint="eastAsia" w:ascii="仿宋" w:hAnsi="仿宋" w:eastAsia="仿宋"/>
          <w:sz w:val="32"/>
          <w:szCs w:val="32"/>
        </w:rPr>
      </w:pPr>
      <w:r>
        <w:rPr>
          <w:rFonts w:hint="eastAsia" w:asciiTheme="majorEastAsia" w:hAnsiTheme="majorEastAsia" w:eastAsiaTheme="majorEastAsia" w:cstheme="majorEastAsia"/>
          <w:color w:val="000000"/>
          <w:kern w:val="0"/>
          <w:sz w:val="32"/>
          <w:szCs w:val="32"/>
        </w:rPr>
        <w:t>公共预算项目类总收入为</w:t>
      </w:r>
      <w:r>
        <w:rPr>
          <w:rFonts w:hint="eastAsia" w:asciiTheme="majorEastAsia" w:hAnsiTheme="majorEastAsia" w:eastAsiaTheme="majorEastAsia" w:cstheme="majorEastAsia"/>
          <w:color w:val="000000"/>
          <w:kern w:val="0"/>
          <w:sz w:val="32"/>
          <w:szCs w:val="32"/>
          <w:lang w:val="en-US" w:eastAsia="zh-CN"/>
        </w:rPr>
        <w:t>295.00</w:t>
      </w:r>
      <w:r>
        <w:rPr>
          <w:rFonts w:hint="eastAsia" w:asciiTheme="majorEastAsia" w:hAnsiTheme="majorEastAsia" w:eastAsiaTheme="majorEastAsia" w:cstheme="majorEastAsia"/>
          <w:color w:val="000000"/>
          <w:kern w:val="0"/>
          <w:sz w:val="32"/>
          <w:szCs w:val="32"/>
        </w:rPr>
        <w:t>万元，</w:t>
      </w:r>
      <w:r>
        <w:rPr>
          <w:rFonts w:hint="eastAsia" w:asciiTheme="majorEastAsia" w:hAnsiTheme="majorEastAsia" w:eastAsiaTheme="majorEastAsia" w:cstheme="majorEastAsia"/>
          <w:color w:val="000000"/>
          <w:kern w:val="0"/>
          <w:sz w:val="32"/>
          <w:szCs w:val="32"/>
          <w:lang w:eastAsia="zh-CN"/>
        </w:rPr>
        <w:t>上年结转结余</w:t>
      </w:r>
      <w:r>
        <w:rPr>
          <w:rFonts w:hint="eastAsia" w:asciiTheme="majorEastAsia" w:hAnsiTheme="majorEastAsia" w:eastAsiaTheme="majorEastAsia" w:cstheme="majorEastAsia"/>
          <w:color w:val="000000"/>
          <w:kern w:val="0"/>
          <w:sz w:val="32"/>
          <w:szCs w:val="32"/>
          <w:lang w:val="en-US" w:eastAsia="zh-CN"/>
        </w:rPr>
        <w:t>106.76万元，</w:t>
      </w:r>
      <w:r>
        <w:rPr>
          <w:rFonts w:hint="eastAsia" w:asciiTheme="majorEastAsia" w:hAnsiTheme="majorEastAsia" w:eastAsiaTheme="majorEastAsia" w:cstheme="majorEastAsia"/>
          <w:color w:val="000000"/>
          <w:kern w:val="0"/>
          <w:sz w:val="32"/>
          <w:szCs w:val="32"/>
        </w:rPr>
        <w:t>总支出为</w:t>
      </w:r>
      <w:r>
        <w:rPr>
          <w:rFonts w:hint="eastAsia" w:asciiTheme="majorEastAsia" w:hAnsiTheme="majorEastAsia" w:eastAsiaTheme="majorEastAsia" w:cstheme="majorEastAsia"/>
          <w:color w:val="000000"/>
          <w:kern w:val="0"/>
          <w:sz w:val="32"/>
          <w:szCs w:val="32"/>
          <w:lang w:val="en-US" w:eastAsia="zh-CN"/>
        </w:rPr>
        <w:t>272.96</w:t>
      </w:r>
      <w:r>
        <w:rPr>
          <w:rFonts w:hint="eastAsia" w:asciiTheme="majorEastAsia" w:hAnsiTheme="majorEastAsia" w:eastAsiaTheme="majorEastAsia" w:cstheme="majorEastAsia"/>
          <w:color w:val="000000"/>
          <w:kern w:val="0"/>
          <w:sz w:val="32"/>
          <w:szCs w:val="32"/>
        </w:rPr>
        <w:t>万元，</w:t>
      </w:r>
      <w:r>
        <w:rPr>
          <w:rFonts w:hint="eastAsia" w:asciiTheme="majorEastAsia" w:hAnsiTheme="majorEastAsia" w:eastAsiaTheme="majorEastAsia" w:cstheme="majorEastAsia"/>
          <w:color w:val="000000"/>
          <w:kern w:val="0"/>
          <w:sz w:val="32"/>
          <w:szCs w:val="32"/>
          <w:lang w:val="en-US" w:eastAsia="zh-CN"/>
        </w:rPr>
        <w:t>2019</w:t>
      </w:r>
      <w:r>
        <w:rPr>
          <w:rFonts w:hint="eastAsia" w:asciiTheme="majorEastAsia" w:hAnsiTheme="majorEastAsia" w:eastAsiaTheme="majorEastAsia" w:cstheme="majorEastAsia"/>
          <w:color w:val="000000"/>
          <w:kern w:val="0"/>
          <w:sz w:val="32"/>
          <w:szCs w:val="32"/>
        </w:rPr>
        <w:t>年末结转结余</w:t>
      </w:r>
      <w:r>
        <w:rPr>
          <w:rFonts w:hint="eastAsia" w:asciiTheme="majorEastAsia" w:hAnsiTheme="majorEastAsia" w:eastAsiaTheme="majorEastAsia" w:cstheme="majorEastAsia"/>
          <w:color w:val="000000"/>
          <w:kern w:val="0"/>
          <w:sz w:val="32"/>
          <w:szCs w:val="32"/>
          <w:lang w:val="en-US" w:eastAsia="zh-CN"/>
        </w:rPr>
        <w:t>143.94</w:t>
      </w:r>
      <w:r>
        <w:rPr>
          <w:rFonts w:hint="eastAsia" w:asciiTheme="majorEastAsia" w:hAnsiTheme="majorEastAsia" w:eastAsiaTheme="majorEastAsia" w:cstheme="majorEastAsia"/>
          <w:color w:val="000000"/>
          <w:kern w:val="0"/>
          <w:sz w:val="32"/>
          <w:szCs w:val="32"/>
        </w:rPr>
        <w:t>万元</w:t>
      </w:r>
      <w:r>
        <w:rPr>
          <w:rFonts w:hint="eastAsia" w:asciiTheme="majorEastAsia" w:hAnsiTheme="majorEastAsia" w:eastAsiaTheme="majorEastAsia" w:cstheme="majorEastAsia"/>
          <w:color w:val="000000"/>
          <w:kern w:val="0"/>
          <w:sz w:val="32"/>
          <w:szCs w:val="32"/>
          <w:lang w:eastAsia="zh-CN"/>
        </w:rPr>
        <w:t>。</w:t>
      </w:r>
    </w:p>
    <w:p>
      <w:pPr>
        <w:widowControl/>
        <w:shd w:val="clear" w:color="auto" w:fill="FFFFFF"/>
        <w:adjustRightInd w:val="0"/>
        <w:spacing w:line="560" w:lineRule="exact"/>
        <w:ind w:firstLine="640" w:firstLineChars="200"/>
        <w:jc w:val="left"/>
        <w:rPr>
          <w:rFonts w:hint="eastAsia" w:ascii="黑体" w:hAnsi="黑体" w:eastAsia="黑体" w:cs="黑体"/>
          <w:b/>
          <w:color w:val="333333"/>
          <w:kern w:val="0"/>
          <w:sz w:val="32"/>
          <w:szCs w:val="32"/>
          <w:u w:val="none"/>
          <w:lang w:eastAsia="zh-CN"/>
        </w:rPr>
      </w:pPr>
      <w:r>
        <w:rPr>
          <w:rFonts w:hint="eastAsia" w:ascii="黑体" w:hAnsi="黑体" w:eastAsia="黑体" w:cs="黑体"/>
          <w:b w:val="0"/>
          <w:bCs/>
          <w:color w:val="333333"/>
          <w:kern w:val="0"/>
          <w:sz w:val="32"/>
          <w:szCs w:val="32"/>
          <w:u w:val="none"/>
        </w:rPr>
        <w:t>四、一般公共预算</w:t>
      </w:r>
      <w:r>
        <w:rPr>
          <w:rFonts w:hint="eastAsia" w:ascii="黑体" w:hAnsi="黑体" w:eastAsia="黑体" w:cs="黑体"/>
          <w:b w:val="0"/>
          <w:bCs/>
          <w:color w:val="333333"/>
          <w:kern w:val="0"/>
          <w:sz w:val="32"/>
          <w:szCs w:val="32"/>
          <w:u w:val="none"/>
          <w:lang w:eastAsia="zh-CN"/>
        </w:rPr>
        <w:t>财政拨款</w:t>
      </w:r>
      <w:r>
        <w:rPr>
          <w:rFonts w:hint="eastAsia" w:ascii="黑体" w:hAnsi="黑体" w:eastAsia="黑体" w:cs="黑体"/>
          <w:b w:val="0"/>
          <w:bCs/>
          <w:color w:val="333333"/>
          <w:kern w:val="0"/>
          <w:sz w:val="32"/>
          <w:szCs w:val="32"/>
          <w:u w:val="none"/>
        </w:rPr>
        <w:t>“三公”经费支出决算情况</w:t>
      </w:r>
      <w:r>
        <w:rPr>
          <w:rFonts w:hint="eastAsia" w:ascii="黑体" w:hAnsi="黑体" w:eastAsia="黑体" w:cs="黑体"/>
          <w:b w:val="0"/>
          <w:bCs/>
          <w:color w:val="333333"/>
          <w:kern w:val="0"/>
          <w:sz w:val="32"/>
          <w:szCs w:val="32"/>
          <w:u w:val="none"/>
          <w:lang w:eastAsia="zh-CN"/>
        </w:rPr>
        <w:t>说明</w:t>
      </w:r>
    </w:p>
    <w:p>
      <w:pPr>
        <w:snapToGrid w:val="0"/>
        <w:spacing w:line="588" w:lineRule="exact"/>
        <w:ind w:firstLine="803" w:firstLineChars="250"/>
        <w:rPr>
          <w:rFonts w:hint="eastAsia" w:ascii="仿宋_GB2312" w:hAnsi="Times New Roman" w:eastAsia="仿宋_GB2312" w:cs="仿宋_GB2312"/>
          <w:b/>
          <w:bCs/>
          <w:color w:val="333333"/>
          <w:kern w:val="0"/>
          <w:sz w:val="32"/>
          <w:szCs w:val="32"/>
          <w:u w:val="none"/>
          <w:lang w:eastAsia="zh-CN"/>
        </w:rPr>
      </w:pPr>
      <w:r>
        <w:rPr>
          <w:rFonts w:hint="eastAsia" w:ascii="仿宋_GB2312" w:hAnsi="Times New Roman" w:eastAsia="仿宋_GB2312" w:cs="仿宋_GB2312"/>
          <w:b/>
          <w:bCs/>
          <w:color w:val="333333"/>
          <w:kern w:val="0"/>
          <w:sz w:val="32"/>
          <w:szCs w:val="32"/>
          <w:u w:val="none"/>
          <w:lang w:eastAsia="zh-CN"/>
        </w:rPr>
        <w:t>（一）一般公共预算财政拨款“三公”经费支出决算总体情况</w:t>
      </w:r>
    </w:p>
    <w:p>
      <w:pPr>
        <w:ind w:firstLine="640" w:firstLineChars="200"/>
        <w:rPr>
          <w:rFonts w:hint="eastAsia" w:ascii="仿宋" w:hAnsi="仿宋" w:eastAsia="仿宋" w:cs="仿宋"/>
          <w:sz w:val="32"/>
          <w:szCs w:val="32"/>
          <w:highlight w:val="none"/>
          <w:lang w:eastAsia="zh-CN"/>
        </w:rPr>
      </w:pPr>
      <w:r>
        <w:rPr>
          <w:rFonts w:hint="eastAsia" w:ascii="仿宋_GB2312" w:hAnsi="Times New Roman" w:eastAsia="仿宋_GB2312" w:cs="仿宋_GB2312"/>
          <w:color w:val="333333"/>
          <w:kern w:val="0"/>
          <w:sz w:val="32"/>
          <w:szCs w:val="32"/>
          <w:u w:val="none"/>
          <w:lang w:eastAsia="zh-CN"/>
        </w:rPr>
        <w:t>县委政法委201</w:t>
      </w:r>
      <w:r>
        <w:rPr>
          <w:rFonts w:hint="eastAsia" w:ascii="仿宋_GB2312" w:hAnsi="Times New Roman" w:eastAsia="仿宋_GB2312" w:cs="仿宋_GB2312"/>
          <w:color w:val="333333"/>
          <w:kern w:val="0"/>
          <w:sz w:val="32"/>
          <w:szCs w:val="32"/>
          <w:u w:val="none"/>
          <w:lang w:val="en-US" w:eastAsia="zh-CN"/>
        </w:rPr>
        <w:t>9</w:t>
      </w:r>
      <w:r>
        <w:rPr>
          <w:rFonts w:hint="eastAsia" w:ascii="仿宋_GB2312" w:hAnsi="Times New Roman" w:eastAsia="仿宋_GB2312" w:cs="仿宋_GB2312"/>
          <w:color w:val="333333"/>
          <w:kern w:val="0"/>
          <w:sz w:val="32"/>
          <w:szCs w:val="32"/>
          <w:u w:val="none"/>
        </w:rPr>
        <w:t>年度</w:t>
      </w:r>
      <w:r>
        <w:rPr>
          <w:rFonts w:hint="eastAsia" w:ascii="仿宋_GB2312" w:hAnsi="Times New Roman" w:eastAsia="仿宋_GB2312" w:cs="Times New Roman"/>
          <w:color w:val="333333"/>
          <w:kern w:val="0"/>
          <w:sz w:val="32"/>
          <w:szCs w:val="32"/>
          <w:u w:val="none"/>
        </w:rPr>
        <w:t>一般</w:t>
      </w:r>
      <w:r>
        <w:rPr>
          <w:rFonts w:hint="eastAsia" w:ascii="仿宋_GB2312" w:hAnsi="Times New Roman" w:eastAsia="仿宋_GB2312" w:cs="仿宋_GB2312"/>
          <w:color w:val="333333"/>
          <w:kern w:val="0"/>
          <w:sz w:val="32"/>
          <w:szCs w:val="32"/>
          <w:u w:val="none"/>
        </w:rPr>
        <w:t>公共</w:t>
      </w:r>
      <w:r>
        <w:rPr>
          <w:rFonts w:hint="eastAsia" w:ascii="仿宋_GB2312" w:hAnsi="Times New Roman" w:eastAsia="仿宋_GB2312" w:cs="仿宋_GB2312"/>
          <w:color w:val="333333"/>
          <w:kern w:val="0"/>
          <w:sz w:val="32"/>
          <w:szCs w:val="32"/>
          <w:u w:val="none"/>
          <w:lang w:eastAsia="zh-CN"/>
        </w:rPr>
        <w:t>财政拨款</w:t>
      </w:r>
      <w:r>
        <w:rPr>
          <w:rFonts w:hint="eastAsia" w:ascii="仿宋_GB2312" w:hAnsi="Times New Roman" w:eastAsia="仿宋_GB2312" w:cs="仿宋_GB2312"/>
          <w:color w:val="333333"/>
          <w:kern w:val="0"/>
          <w:sz w:val="32"/>
          <w:szCs w:val="32"/>
          <w:u w:val="none"/>
        </w:rPr>
        <w:t>预算“三公“经费支出</w:t>
      </w:r>
      <w:r>
        <w:rPr>
          <w:rFonts w:hint="eastAsia" w:ascii="仿宋_GB2312" w:hAnsi="Times New Roman" w:eastAsia="仿宋_GB2312" w:cs="仿宋_GB2312"/>
          <w:color w:val="333333"/>
          <w:kern w:val="0"/>
          <w:sz w:val="32"/>
          <w:szCs w:val="32"/>
          <w:u w:val="none"/>
          <w:lang w:eastAsia="zh-CN"/>
        </w:rPr>
        <w:t>预算</w:t>
      </w:r>
      <w:r>
        <w:rPr>
          <w:rFonts w:hint="eastAsia" w:ascii="仿宋_GB2312" w:hAnsi="Times New Roman" w:eastAsia="仿宋_GB2312" w:cs="仿宋_GB2312"/>
          <w:color w:val="333333"/>
          <w:kern w:val="0"/>
          <w:sz w:val="32"/>
          <w:szCs w:val="32"/>
          <w:u w:val="none"/>
          <w:lang w:val="en-US" w:eastAsia="zh-CN"/>
        </w:rPr>
        <w:t>27万元，支出决算</w:t>
      </w:r>
      <w:r>
        <w:rPr>
          <w:rFonts w:hint="eastAsia" w:ascii="仿宋_GB2312" w:hAnsi="Times New Roman" w:eastAsia="仿宋_GB2312" w:cs="仿宋_GB2312"/>
          <w:color w:val="333333"/>
          <w:kern w:val="0"/>
          <w:sz w:val="32"/>
          <w:szCs w:val="32"/>
          <w:u w:val="none"/>
          <w:lang w:eastAsia="zh-CN"/>
        </w:rPr>
        <w:t>为</w:t>
      </w:r>
      <w:r>
        <w:rPr>
          <w:rFonts w:hint="eastAsia" w:ascii="仿宋" w:hAnsi="仿宋" w:eastAsia="仿宋"/>
          <w:sz w:val="32"/>
          <w:szCs w:val="32"/>
          <w:lang w:val="en-US" w:eastAsia="zh-CN"/>
        </w:rPr>
        <w:t>10.36</w:t>
      </w:r>
      <w:r>
        <w:rPr>
          <w:rFonts w:hint="eastAsia" w:ascii="仿宋" w:hAnsi="仿宋" w:eastAsia="仿宋"/>
          <w:sz w:val="32"/>
          <w:szCs w:val="32"/>
        </w:rPr>
        <w:t>万元，</w:t>
      </w:r>
      <w:r>
        <w:rPr>
          <w:rFonts w:hint="eastAsia" w:ascii="仿宋" w:hAnsi="仿宋" w:eastAsia="仿宋"/>
          <w:sz w:val="32"/>
          <w:szCs w:val="32"/>
          <w:lang w:eastAsia="zh-CN"/>
        </w:rPr>
        <w:t>完成预算数的</w:t>
      </w:r>
      <w:r>
        <w:rPr>
          <w:rFonts w:hint="eastAsia" w:ascii="仿宋" w:hAnsi="仿宋" w:eastAsia="仿宋"/>
          <w:sz w:val="32"/>
          <w:szCs w:val="32"/>
          <w:highlight w:val="none"/>
          <w:lang w:val="en-US" w:eastAsia="zh-CN"/>
        </w:rPr>
        <w:t>38.37%。</w:t>
      </w:r>
      <w:r>
        <w:rPr>
          <w:rFonts w:hint="eastAsia" w:ascii="仿宋" w:hAnsi="仿宋" w:eastAsia="仿宋" w:cs="仿宋"/>
          <w:sz w:val="32"/>
          <w:szCs w:val="32"/>
          <w:highlight w:val="none"/>
        </w:rPr>
        <w:t>其中：公务用车购置及运行费支出决算为</w:t>
      </w:r>
      <w:r>
        <w:rPr>
          <w:rFonts w:hint="eastAsia" w:ascii="仿宋" w:hAnsi="仿宋" w:eastAsia="仿宋" w:cs="仿宋"/>
          <w:sz w:val="32"/>
          <w:szCs w:val="32"/>
          <w:highlight w:val="none"/>
          <w:lang w:val="en-US" w:eastAsia="zh-CN"/>
        </w:rPr>
        <w:t>4.80万元</w:t>
      </w:r>
      <w:r>
        <w:rPr>
          <w:rFonts w:hint="eastAsia" w:ascii="仿宋" w:hAnsi="仿宋" w:eastAsia="仿宋" w:cs="仿宋"/>
          <w:sz w:val="32"/>
          <w:szCs w:val="32"/>
          <w:highlight w:val="none"/>
        </w:rPr>
        <w:t>，完成预算的</w:t>
      </w:r>
      <w:r>
        <w:rPr>
          <w:rFonts w:hint="eastAsia" w:ascii="仿宋" w:hAnsi="仿宋" w:eastAsia="仿宋" w:cs="仿宋"/>
          <w:sz w:val="32"/>
          <w:szCs w:val="32"/>
          <w:highlight w:val="none"/>
          <w:lang w:val="en-US" w:eastAsia="zh-CN"/>
        </w:rPr>
        <w:t>60</w:t>
      </w:r>
      <w:r>
        <w:rPr>
          <w:rFonts w:hint="eastAsia" w:ascii="仿宋" w:hAnsi="仿宋" w:eastAsia="仿宋" w:cs="仿宋"/>
          <w:sz w:val="32"/>
          <w:szCs w:val="32"/>
          <w:highlight w:val="none"/>
        </w:rPr>
        <w:t>%；公务接待费支出决算为</w:t>
      </w:r>
      <w:r>
        <w:rPr>
          <w:rFonts w:hint="eastAsia" w:ascii="仿宋" w:hAnsi="仿宋" w:eastAsia="仿宋" w:cs="仿宋"/>
          <w:sz w:val="32"/>
          <w:szCs w:val="32"/>
          <w:highlight w:val="none"/>
          <w:lang w:val="en-US" w:eastAsia="zh-CN"/>
        </w:rPr>
        <w:t>5.56万</w:t>
      </w:r>
      <w:r>
        <w:rPr>
          <w:rFonts w:hint="eastAsia" w:ascii="仿宋" w:hAnsi="仿宋" w:eastAsia="仿宋" w:cs="仿宋"/>
          <w:sz w:val="32"/>
          <w:szCs w:val="32"/>
          <w:highlight w:val="none"/>
        </w:rPr>
        <w:t>元，完成预算的</w:t>
      </w:r>
      <w:r>
        <w:rPr>
          <w:rFonts w:hint="eastAsia" w:ascii="仿宋" w:hAnsi="仿宋" w:eastAsia="仿宋" w:cs="仿宋"/>
          <w:sz w:val="32"/>
          <w:szCs w:val="32"/>
          <w:highlight w:val="none"/>
          <w:lang w:val="en-US" w:eastAsia="zh-CN"/>
        </w:rPr>
        <w:t>29.26</w:t>
      </w:r>
      <w:r>
        <w:rPr>
          <w:rFonts w:hint="eastAsia" w:ascii="仿宋" w:hAnsi="仿宋" w:eastAsia="仿宋" w:cs="仿宋"/>
          <w:sz w:val="32"/>
          <w:szCs w:val="32"/>
          <w:highlight w:val="none"/>
        </w:rPr>
        <w:t>%。201</w:t>
      </w:r>
      <w:r>
        <w:rPr>
          <w:rFonts w:hint="eastAsia" w:ascii="仿宋" w:hAnsi="仿宋" w:eastAsia="仿宋" w:cs="仿宋"/>
          <w:sz w:val="32"/>
          <w:szCs w:val="32"/>
          <w:highlight w:val="none"/>
          <w:lang w:val="en-US" w:eastAsia="zh-CN"/>
        </w:rPr>
        <w:t>9</w:t>
      </w:r>
      <w:r>
        <w:rPr>
          <w:rFonts w:hint="eastAsia" w:ascii="仿宋" w:hAnsi="仿宋" w:eastAsia="仿宋" w:cs="仿宋"/>
          <w:sz w:val="32"/>
          <w:szCs w:val="32"/>
          <w:highlight w:val="none"/>
        </w:rPr>
        <w:t>年度一般公共预算财政拨款“三公”经费支出决算数</w:t>
      </w:r>
      <w:r>
        <w:rPr>
          <w:rFonts w:hint="eastAsia" w:ascii="仿宋" w:hAnsi="仿宋" w:eastAsia="仿宋" w:cs="仿宋"/>
          <w:sz w:val="32"/>
          <w:szCs w:val="32"/>
          <w:highlight w:val="none"/>
          <w:lang w:eastAsia="zh-CN"/>
        </w:rPr>
        <w:t>小</w:t>
      </w:r>
      <w:r>
        <w:rPr>
          <w:rFonts w:hint="eastAsia" w:ascii="仿宋" w:hAnsi="仿宋" w:eastAsia="仿宋" w:cs="仿宋"/>
          <w:sz w:val="32"/>
          <w:szCs w:val="32"/>
          <w:highlight w:val="none"/>
        </w:rPr>
        <w:t>于预算数的主要原因是公务接待</w:t>
      </w:r>
      <w:r>
        <w:rPr>
          <w:rFonts w:hint="eastAsia" w:ascii="仿宋" w:hAnsi="仿宋" w:eastAsia="仿宋" w:cs="仿宋"/>
          <w:sz w:val="32"/>
          <w:szCs w:val="32"/>
          <w:highlight w:val="none"/>
          <w:lang w:eastAsia="zh-CN"/>
        </w:rPr>
        <w:t>和车辆运行维护费比往年减少。</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年度一般公共预算财政拨款“三公”经费支出决算数比201</w:t>
      </w:r>
      <w:r>
        <w:rPr>
          <w:rFonts w:hint="eastAsia" w:ascii="仿宋" w:hAnsi="仿宋" w:eastAsia="仿宋" w:cs="仿宋"/>
          <w:sz w:val="32"/>
          <w:szCs w:val="32"/>
          <w:lang w:val="en-US" w:eastAsia="zh-CN"/>
        </w:rPr>
        <w:t>8</w:t>
      </w:r>
      <w:r>
        <w:rPr>
          <w:rFonts w:hint="eastAsia" w:ascii="仿宋" w:hAnsi="仿宋" w:eastAsia="仿宋" w:cs="仿宋"/>
          <w:sz w:val="32"/>
          <w:szCs w:val="32"/>
        </w:rPr>
        <w:t>年</w:t>
      </w:r>
      <w:r>
        <w:rPr>
          <w:rFonts w:hint="eastAsia" w:ascii="仿宋" w:hAnsi="仿宋" w:eastAsia="仿宋" w:cs="仿宋"/>
          <w:sz w:val="32"/>
          <w:szCs w:val="32"/>
          <w:lang w:eastAsia="zh-CN"/>
        </w:rPr>
        <w:t>减少</w:t>
      </w:r>
      <w:r>
        <w:rPr>
          <w:rFonts w:hint="eastAsia" w:ascii="仿宋" w:hAnsi="仿宋" w:eastAsia="仿宋" w:cs="仿宋"/>
          <w:sz w:val="32"/>
          <w:szCs w:val="32"/>
          <w:highlight w:val="none"/>
          <w:lang w:val="en-US" w:eastAsia="zh-CN"/>
        </w:rPr>
        <w:t>12.15</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eastAsia="zh-CN"/>
        </w:rPr>
        <w:t>下降了</w:t>
      </w:r>
      <w:r>
        <w:rPr>
          <w:rFonts w:hint="eastAsia" w:ascii="仿宋" w:hAnsi="仿宋" w:eastAsia="仿宋" w:cs="仿宋"/>
          <w:sz w:val="32"/>
          <w:szCs w:val="32"/>
          <w:highlight w:val="none"/>
          <w:lang w:val="en-US" w:eastAsia="zh-CN"/>
        </w:rPr>
        <w:t>53.98</w:t>
      </w:r>
      <w:r>
        <w:rPr>
          <w:rFonts w:hint="eastAsia" w:ascii="仿宋" w:hAnsi="仿宋" w:eastAsia="仿宋" w:cs="仿宋"/>
          <w:sz w:val="32"/>
          <w:szCs w:val="32"/>
          <w:highlight w:val="none"/>
        </w:rPr>
        <w:t>%，其中：</w:t>
      </w:r>
      <w:r>
        <w:rPr>
          <w:rFonts w:hint="eastAsia" w:ascii="仿宋" w:hAnsi="仿宋" w:eastAsia="仿宋" w:cs="仿宋"/>
          <w:b/>
          <w:bCs/>
          <w:i w:val="0"/>
          <w:caps w:val="0"/>
          <w:color w:val="666666"/>
          <w:spacing w:val="0"/>
          <w:sz w:val="32"/>
          <w:szCs w:val="32"/>
          <w:highlight w:val="none"/>
          <w:shd w:val="clear" w:color="auto" w:fill="FFFFFF"/>
        </w:rPr>
        <w:t>因公出国（境）费支出</w:t>
      </w:r>
      <w:r>
        <w:rPr>
          <w:rFonts w:hint="eastAsia" w:ascii="仿宋" w:hAnsi="仿宋" w:eastAsia="仿宋" w:cs="仿宋"/>
          <w:b/>
          <w:bCs/>
          <w:i w:val="0"/>
          <w:caps w:val="0"/>
          <w:color w:val="666666"/>
          <w:spacing w:val="0"/>
          <w:sz w:val="32"/>
          <w:szCs w:val="32"/>
          <w:highlight w:val="none"/>
          <w:shd w:val="clear" w:color="auto" w:fill="FFFFFF"/>
          <w:lang w:val="en-US" w:eastAsia="zh-CN"/>
        </w:rPr>
        <w:t>0.00</w:t>
      </w:r>
      <w:r>
        <w:rPr>
          <w:rFonts w:hint="eastAsia" w:ascii="仿宋" w:hAnsi="仿宋" w:eastAsia="仿宋" w:cs="仿宋"/>
          <w:b/>
          <w:bCs/>
          <w:i w:val="0"/>
          <w:caps w:val="0"/>
          <w:color w:val="666666"/>
          <w:spacing w:val="0"/>
          <w:sz w:val="32"/>
          <w:szCs w:val="32"/>
          <w:highlight w:val="none"/>
          <w:shd w:val="clear" w:color="auto" w:fill="FFFFFF"/>
        </w:rPr>
        <w:t>元，</w:t>
      </w:r>
      <w:r>
        <w:rPr>
          <w:rFonts w:hint="eastAsia" w:ascii="仿宋" w:hAnsi="仿宋" w:eastAsia="仿宋" w:cs="仿宋"/>
          <w:sz w:val="32"/>
          <w:szCs w:val="32"/>
          <w:highlight w:val="none"/>
        </w:rPr>
        <w:t>公务用车购置及运行费支出决算</w:t>
      </w:r>
      <w:r>
        <w:rPr>
          <w:rFonts w:hint="eastAsia" w:ascii="仿宋" w:hAnsi="仿宋" w:eastAsia="仿宋" w:cs="仿宋"/>
          <w:sz w:val="32"/>
          <w:szCs w:val="32"/>
          <w:highlight w:val="none"/>
          <w:lang w:eastAsia="zh-CN"/>
        </w:rPr>
        <w:t>减少</w:t>
      </w:r>
      <w:r>
        <w:rPr>
          <w:rFonts w:hint="eastAsia" w:ascii="仿宋" w:hAnsi="仿宋" w:eastAsia="仿宋" w:cs="仿宋"/>
          <w:sz w:val="32"/>
          <w:szCs w:val="32"/>
          <w:highlight w:val="none"/>
          <w:lang w:val="en-US" w:eastAsia="zh-CN"/>
        </w:rPr>
        <w:t>0.01万</w:t>
      </w:r>
      <w:r>
        <w:rPr>
          <w:rFonts w:hint="eastAsia" w:ascii="仿宋" w:hAnsi="仿宋" w:eastAsia="仿宋" w:cs="仿宋"/>
          <w:sz w:val="32"/>
          <w:szCs w:val="32"/>
          <w:highlight w:val="none"/>
        </w:rPr>
        <w:t>元，</w:t>
      </w:r>
      <w:r>
        <w:rPr>
          <w:rFonts w:hint="eastAsia" w:ascii="仿宋" w:hAnsi="仿宋" w:eastAsia="仿宋" w:cs="仿宋"/>
          <w:sz w:val="32"/>
          <w:szCs w:val="32"/>
          <w:highlight w:val="none"/>
          <w:lang w:eastAsia="zh-CN"/>
        </w:rPr>
        <w:t>下降了</w:t>
      </w:r>
      <w:r>
        <w:rPr>
          <w:rFonts w:hint="eastAsia" w:ascii="仿宋" w:hAnsi="仿宋" w:eastAsia="仿宋" w:cs="仿宋"/>
          <w:sz w:val="32"/>
          <w:szCs w:val="32"/>
          <w:highlight w:val="none"/>
          <w:lang w:val="en-US" w:eastAsia="zh-CN"/>
        </w:rPr>
        <w:t>0.21</w:t>
      </w:r>
      <w:r>
        <w:rPr>
          <w:rFonts w:hint="eastAsia" w:ascii="仿宋" w:hAnsi="仿宋" w:eastAsia="仿宋" w:cs="仿宋"/>
          <w:sz w:val="32"/>
          <w:szCs w:val="32"/>
          <w:highlight w:val="none"/>
        </w:rPr>
        <w:t>%；公务接待费支出决算减少</w:t>
      </w:r>
      <w:r>
        <w:rPr>
          <w:rFonts w:hint="eastAsia" w:ascii="仿宋" w:hAnsi="仿宋" w:eastAsia="仿宋" w:cs="仿宋"/>
          <w:sz w:val="32"/>
          <w:szCs w:val="32"/>
          <w:highlight w:val="none"/>
          <w:lang w:val="en-US" w:eastAsia="zh-CN"/>
        </w:rPr>
        <w:t>7.34万</w:t>
      </w:r>
      <w:r>
        <w:rPr>
          <w:rFonts w:hint="eastAsia" w:ascii="仿宋" w:hAnsi="仿宋" w:eastAsia="仿宋" w:cs="仿宋"/>
          <w:sz w:val="32"/>
          <w:szCs w:val="32"/>
          <w:highlight w:val="none"/>
        </w:rPr>
        <w:t>元，下降</w:t>
      </w:r>
      <w:r>
        <w:rPr>
          <w:rFonts w:hint="eastAsia" w:ascii="仿宋" w:hAnsi="仿宋" w:eastAsia="仿宋" w:cs="仿宋"/>
          <w:sz w:val="32"/>
          <w:szCs w:val="32"/>
          <w:highlight w:val="none"/>
          <w:lang w:val="en-US" w:eastAsia="zh-CN"/>
        </w:rPr>
        <w:t>41.47</w:t>
      </w:r>
      <w:r>
        <w:rPr>
          <w:rFonts w:hint="eastAsia" w:ascii="仿宋" w:hAnsi="仿宋" w:eastAsia="仿宋" w:cs="仿宋"/>
          <w:sz w:val="32"/>
          <w:szCs w:val="32"/>
          <w:highlight w:val="none"/>
        </w:rPr>
        <w:t>%。2</w:t>
      </w:r>
      <w:r>
        <w:rPr>
          <w:rFonts w:hint="eastAsia" w:ascii="仿宋" w:hAnsi="仿宋" w:eastAsia="仿宋" w:cs="仿宋"/>
          <w:sz w:val="32"/>
          <w:szCs w:val="32"/>
        </w:rPr>
        <w:t>01</w:t>
      </w:r>
      <w:r>
        <w:rPr>
          <w:rFonts w:hint="eastAsia" w:ascii="仿宋" w:hAnsi="仿宋" w:eastAsia="仿宋" w:cs="仿宋"/>
          <w:sz w:val="32"/>
          <w:szCs w:val="32"/>
          <w:lang w:val="en-US" w:eastAsia="zh-CN"/>
        </w:rPr>
        <w:t>9</w:t>
      </w:r>
      <w:r>
        <w:rPr>
          <w:rFonts w:hint="eastAsia" w:ascii="仿宋" w:hAnsi="仿宋" w:eastAsia="仿宋" w:cs="仿宋"/>
          <w:sz w:val="32"/>
          <w:szCs w:val="32"/>
        </w:rPr>
        <w:t>年度一般公共预算财政拨款“三公”经费支出决算</w:t>
      </w:r>
      <w:r>
        <w:rPr>
          <w:rFonts w:hint="eastAsia" w:ascii="仿宋" w:hAnsi="仿宋" w:eastAsia="仿宋" w:cs="仿宋"/>
          <w:sz w:val="32"/>
          <w:szCs w:val="32"/>
          <w:lang w:eastAsia="zh-CN"/>
        </w:rPr>
        <w:t>减少</w:t>
      </w:r>
      <w:r>
        <w:rPr>
          <w:rFonts w:hint="eastAsia" w:ascii="仿宋" w:hAnsi="仿宋" w:eastAsia="仿宋" w:cs="仿宋"/>
          <w:sz w:val="32"/>
          <w:szCs w:val="32"/>
        </w:rPr>
        <w:t>的主要原因是</w:t>
      </w:r>
      <w:r>
        <w:rPr>
          <w:rFonts w:hint="eastAsia" w:ascii="仿宋" w:hAnsi="仿宋" w:eastAsia="仿宋" w:cs="仿宋"/>
          <w:sz w:val="32"/>
          <w:szCs w:val="32"/>
          <w:lang w:eastAsia="zh-CN"/>
        </w:rPr>
        <w:t>压缩公务接待和车辆运行维护费所致（详见如下表）</w:t>
      </w:r>
      <w:r>
        <w:rPr>
          <w:rFonts w:hint="eastAsia" w:ascii="仿宋" w:hAnsi="仿宋" w:eastAsia="仿宋" w:cs="仿宋"/>
          <w:sz w:val="32"/>
          <w:szCs w:val="32"/>
        </w:rPr>
        <w:t>：</w:t>
      </w:r>
    </w:p>
    <w:p>
      <w:pPr>
        <w:tabs>
          <w:tab w:val="left" w:pos="345"/>
        </w:tabs>
        <w:ind w:firstLine="2560" w:firstLineChars="850"/>
        <w:rPr>
          <w:rFonts w:hint="eastAsia" w:ascii="宋体" w:hAnsi="宋体"/>
          <w:b/>
          <w:sz w:val="30"/>
          <w:szCs w:val="30"/>
        </w:rPr>
      </w:pPr>
      <w:r>
        <w:rPr>
          <w:rFonts w:ascii="宋体" w:hAnsi="宋体"/>
          <w:b/>
          <w:sz w:val="30"/>
          <w:szCs w:val="30"/>
        </w:rPr>
        <w:object>
          <v:shape id="_x0000_i1027" o:spt="75" type="#_x0000_t75" style="height:258.45pt;width:281.7pt;" o:ole="t" filled="f" o:preferrelative="t" stroked="f" coordsize="21600,21600">
            <v:path/>
            <v:fill on="f" focussize="0,0"/>
            <v:stroke on="f"/>
            <v:imagedata r:id="rId9" o:title=""/>
            <o:lock v:ext="edit" aspectratio="t"/>
            <w10:wrap type="none"/>
            <w10:anchorlock/>
          </v:shape>
          <o:OLEObject Type="Embed" ProgID="MSGraph.Chart.8" ShapeID="_x0000_i1027" DrawAspect="Content" ObjectID="_1468075727" r:id="rId8">
            <o:LockedField>false</o:LockedField>
          </o:OLEObject>
        </w:object>
      </w:r>
    </w:p>
    <w:p>
      <w:pPr>
        <w:widowControl/>
        <w:numPr>
          <w:ilvl w:val="0"/>
          <w:numId w:val="0"/>
        </w:numPr>
        <w:shd w:val="clear" w:color="auto" w:fill="FFFFFF"/>
        <w:adjustRightInd w:val="0"/>
        <w:spacing w:line="560" w:lineRule="exact"/>
        <w:jc w:val="left"/>
        <w:rPr>
          <w:rFonts w:hint="eastAsia" w:ascii="Times New Roman" w:hAnsi="Times New Roman" w:eastAsia="仿宋_GB2312" w:cs="Times New Roman"/>
          <w:b/>
          <w:bCs/>
          <w:color w:val="333333"/>
          <w:kern w:val="0"/>
          <w:sz w:val="32"/>
          <w:szCs w:val="32"/>
          <w:u w:val="none"/>
          <w:lang w:val="en-US" w:eastAsia="zh-CN"/>
        </w:rPr>
      </w:pPr>
    </w:p>
    <w:p>
      <w:pPr>
        <w:widowControl/>
        <w:numPr>
          <w:ilvl w:val="0"/>
          <w:numId w:val="0"/>
        </w:numPr>
        <w:shd w:val="clear" w:color="auto" w:fill="FFFFFF"/>
        <w:adjustRightInd w:val="0"/>
        <w:spacing w:line="560" w:lineRule="exact"/>
        <w:ind w:firstLine="643" w:firstLineChars="200"/>
        <w:jc w:val="left"/>
        <w:rPr>
          <w:rFonts w:hint="eastAsia" w:ascii="Times New Roman" w:hAnsi="Times New Roman" w:eastAsia="仿宋_GB2312" w:cs="Times New Roman"/>
          <w:b/>
          <w:bCs/>
          <w:color w:val="333333"/>
          <w:kern w:val="0"/>
          <w:sz w:val="32"/>
          <w:szCs w:val="32"/>
          <w:u w:val="none"/>
          <w:lang w:val="en-US" w:eastAsia="zh-CN"/>
        </w:rPr>
      </w:pPr>
      <w:r>
        <w:rPr>
          <w:rFonts w:hint="eastAsia" w:ascii="Times New Roman" w:hAnsi="Times New Roman" w:eastAsia="仿宋_GB2312" w:cs="Times New Roman"/>
          <w:b/>
          <w:bCs/>
          <w:color w:val="333333"/>
          <w:kern w:val="0"/>
          <w:sz w:val="32"/>
          <w:szCs w:val="32"/>
          <w:u w:val="none"/>
          <w:lang w:val="en-US" w:eastAsia="zh-CN"/>
        </w:rPr>
        <w:t>（二）一般公共预算财政拨款“三公”经费支出决算具体情况</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年度一般公共预算财政拨款“三公”经费财政拨款支出决算中，</w:t>
      </w:r>
      <w:r>
        <w:rPr>
          <w:rFonts w:hint="eastAsia" w:ascii="仿宋" w:hAnsi="仿宋" w:eastAsia="仿宋" w:cs="仿宋"/>
          <w:b/>
          <w:bCs/>
          <w:i w:val="0"/>
          <w:caps w:val="0"/>
          <w:color w:val="666666"/>
          <w:spacing w:val="0"/>
          <w:sz w:val="32"/>
          <w:szCs w:val="32"/>
          <w:shd w:val="clear" w:color="auto" w:fill="FFFFFF"/>
        </w:rPr>
        <w:t>因公出国（境）费支出</w:t>
      </w:r>
      <w:r>
        <w:rPr>
          <w:rFonts w:hint="eastAsia" w:ascii="仿宋" w:hAnsi="仿宋" w:eastAsia="仿宋" w:cs="仿宋"/>
          <w:b/>
          <w:bCs/>
          <w:i w:val="0"/>
          <w:caps w:val="0"/>
          <w:color w:val="666666"/>
          <w:spacing w:val="0"/>
          <w:sz w:val="32"/>
          <w:szCs w:val="32"/>
          <w:shd w:val="clear" w:color="auto" w:fill="FFFFFF"/>
          <w:lang w:val="en-US" w:eastAsia="zh-CN"/>
        </w:rPr>
        <w:t>0.00</w:t>
      </w:r>
      <w:r>
        <w:rPr>
          <w:rFonts w:hint="eastAsia" w:ascii="仿宋" w:hAnsi="仿宋" w:eastAsia="仿宋" w:cs="仿宋"/>
          <w:b/>
          <w:bCs/>
          <w:i w:val="0"/>
          <w:caps w:val="0"/>
          <w:color w:val="666666"/>
          <w:spacing w:val="0"/>
          <w:sz w:val="32"/>
          <w:szCs w:val="32"/>
          <w:shd w:val="clear" w:color="auto" w:fill="FFFFFF"/>
        </w:rPr>
        <w:t>元，</w:t>
      </w:r>
      <w:r>
        <w:rPr>
          <w:rFonts w:hint="eastAsia" w:ascii="仿宋" w:hAnsi="仿宋" w:eastAsia="仿宋" w:cs="仿宋"/>
          <w:sz w:val="32"/>
          <w:szCs w:val="32"/>
        </w:rPr>
        <w:t>公务用车购置及运行维护费支出</w:t>
      </w:r>
      <w:r>
        <w:rPr>
          <w:rFonts w:hint="eastAsia" w:ascii="仿宋" w:hAnsi="仿宋" w:eastAsia="仿宋" w:cs="仿宋"/>
          <w:sz w:val="32"/>
          <w:szCs w:val="32"/>
          <w:lang w:val="en-US" w:eastAsia="zh-CN"/>
        </w:rPr>
        <w:t>4.80</w:t>
      </w:r>
      <w:r>
        <w:rPr>
          <w:rFonts w:hint="eastAsia" w:ascii="仿宋" w:hAnsi="仿宋" w:eastAsia="仿宋" w:cs="仿宋"/>
          <w:sz w:val="32"/>
          <w:szCs w:val="32"/>
        </w:rPr>
        <w:t>元，</w:t>
      </w:r>
      <w:r>
        <w:rPr>
          <w:rFonts w:hint="eastAsia" w:ascii="仿宋" w:hAnsi="仿宋" w:eastAsia="仿宋" w:cs="仿宋"/>
          <w:sz w:val="32"/>
          <w:szCs w:val="32"/>
          <w:lang w:eastAsia="zh-CN"/>
        </w:rPr>
        <w:t>占</w:t>
      </w:r>
      <w:r>
        <w:rPr>
          <w:rFonts w:hint="eastAsia" w:ascii="仿宋" w:hAnsi="仿宋" w:eastAsia="仿宋" w:cs="仿宋"/>
          <w:sz w:val="32"/>
          <w:szCs w:val="32"/>
          <w:highlight w:val="none"/>
          <w:lang w:val="en-US" w:eastAsia="zh-CN"/>
        </w:rPr>
        <w:t>46.33</w:t>
      </w:r>
      <w:r>
        <w:rPr>
          <w:rFonts w:hint="eastAsia" w:ascii="仿宋" w:hAnsi="仿宋" w:eastAsia="仿宋" w:cs="仿宋"/>
          <w:sz w:val="32"/>
          <w:szCs w:val="32"/>
          <w:highlight w:val="none"/>
        </w:rPr>
        <w:t>%；公务接待费支出</w:t>
      </w:r>
      <w:r>
        <w:rPr>
          <w:rFonts w:hint="eastAsia" w:ascii="仿宋" w:hAnsi="仿宋" w:eastAsia="仿宋" w:cs="仿宋"/>
          <w:sz w:val="32"/>
          <w:szCs w:val="32"/>
          <w:highlight w:val="none"/>
          <w:lang w:val="en-US" w:eastAsia="zh-CN"/>
        </w:rPr>
        <w:t>5.56万</w:t>
      </w:r>
      <w:r>
        <w:rPr>
          <w:rFonts w:hint="eastAsia" w:ascii="仿宋" w:hAnsi="仿宋" w:eastAsia="仿宋" w:cs="仿宋"/>
          <w:sz w:val="32"/>
          <w:szCs w:val="32"/>
          <w:highlight w:val="none"/>
        </w:rPr>
        <w:t>元，占</w:t>
      </w:r>
      <w:r>
        <w:rPr>
          <w:rFonts w:hint="eastAsia" w:ascii="仿宋" w:hAnsi="仿宋" w:eastAsia="仿宋" w:cs="仿宋"/>
          <w:sz w:val="32"/>
          <w:szCs w:val="32"/>
          <w:highlight w:val="none"/>
          <w:lang w:val="en-US" w:eastAsia="zh-CN"/>
        </w:rPr>
        <w:t>53.67</w:t>
      </w:r>
      <w:r>
        <w:rPr>
          <w:rFonts w:hint="eastAsia" w:ascii="仿宋" w:hAnsi="仿宋" w:eastAsia="仿宋" w:cs="仿宋"/>
          <w:sz w:val="32"/>
          <w:szCs w:val="32"/>
          <w:highlight w:val="none"/>
        </w:rPr>
        <w:t>%。具体情况如</w:t>
      </w:r>
      <w:r>
        <w:rPr>
          <w:rFonts w:hint="eastAsia" w:ascii="仿宋" w:hAnsi="仿宋" w:eastAsia="仿宋" w:cs="仿宋"/>
          <w:sz w:val="32"/>
          <w:szCs w:val="32"/>
        </w:rPr>
        <w:t>下：</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1、因公出国（境）费支出</w:t>
      </w:r>
      <w:r>
        <w:rPr>
          <w:rFonts w:hint="eastAsia" w:ascii="仿宋" w:hAnsi="仿宋" w:eastAsia="仿宋" w:cs="仿宋"/>
          <w:sz w:val="32"/>
          <w:szCs w:val="32"/>
          <w:lang w:val="en-US" w:eastAsia="zh-CN"/>
        </w:rPr>
        <w:t>0</w:t>
      </w:r>
      <w:r>
        <w:rPr>
          <w:rFonts w:hint="eastAsia" w:ascii="仿宋" w:hAnsi="仿宋" w:eastAsia="仿宋" w:cs="仿宋"/>
          <w:sz w:val="32"/>
          <w:szCs w:val="32"/>
        </w:rPr>
        <w:t>元。</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公务用车购置及运行维护费支出</w:t>
      </w:r>
      <w:r>
        <w:rPr>
          <w:rFonts w:hint="eastAsia" w:ascii="仿宋" w:hAnsi="仿宋" w:eastAsia="仿宋" w:cs="仿宋"/>
          <w:sz w:val="32"/>
          <w:szCs w:val="32"/>
          <w:lang w:val="en-US" w:eastAsia="zh-CN"/>
        </w:rPr>
        <w:t>4.80万</w:t>
      </w:r>
      <w:r>
        <w:rPr>
          <w:rFonts w:hint="eastAsia" w:ascii="仿宋" w:hAnsi="仿宋" w:eastAsia="仿宋" w:cs="仿宋"/>
          <w:sz w:val="32"/>
          <w:szCs w:val="32"/>
        </w:rPr>
        <w:t>元。其中：</w:t>
      </w:r>
    </w:p>
    <w:p>
      <w:pPr>
        <w:rPr>
          <w:rFonts w:hint="eastAsia" w:ascii="仿宋" w:hAnsi="仿宋" w:eastAsia="仿宋" w:cs="仿宋"/>
          <w:sz w:val="32"/>
          <w:szCs w:val="32"/>
        </w:rPr>
      </w:pPr>
      <w:r>
        <w:rPr>
          <w:rFonts w:hint="eastAsia" w:ascii="仿宋" w:hAnsi="仿宋" w:eastAsia="仿宋" w:cs="仿宋"/>
          <w:sz w:val="32"/>
          <w:szCs w:val="32"/>
        </w:rPr>
        <w:t>公务用车购置支出0万元，购置车辆0辆。</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公务用车运行维护支出</w:t>
      </w:r>
      <w:r>
        <w:rPr>
          <w:rFonts w:hint="eastAsia" w:ascii="仿宋" w:hAnsi="仿宋" w:eastAsia="仿宋" w:cs="仿宋"/>
          <w:sz w:val="32"/>
          <w:szCs w:val="32"/>
          <w:lang w:val="en-US" w:eastAsia="zh-CN"/>
        </w:rPr>
        <w:t>4.80万</w:t>
      </w:r>
      <w:r>
        <w:rPr>
          <w:rFonts w:hint="eastAsia" w:ascii="仿宋" w:hAnsi="仿宋" w:eastAsia="仿宋" w:cs="仿宋"/>
          <w:sz w:val="32"/>
          <w:szCs w:val="32"/>
        </w:rPr>
        <w:t>元，开支财政拨款的公务用车保有量为</w:t>
      </w:r>
      <w:r>
        <w:rPr>
          <w:rFonts w:hint="eastAsia" w:ascii="仿宋" w:hAnsi="仿宋" w:eastAsia="仿宋" w:cs="仿宋"/>
          <w:sz w:val="32"/>
          <w:szCs w:val="32"/>
          <w:lang w:val="en-US" w:eastAsia="zh-CN"/>
        </w:rPr>
        <w:t>1</w:t>
      </w:r>
      <w:r>
        <w:rPr>
          <w:rFonts w:hint="eastAsia" w:ascii="仿宋" w:hAnsi="仿宋" w:eastAsia="仿宋" w:cs="仿宋"/>
          <w:sz w:val="32"/>
          <w:szCs w:val="32"/>
        </w:rPr>
        <w:t>辆</w:t>
      </w:r>
      <w:r>
        <w:rPr>
          <w:rFonts w:hint="eastAsia" w:ascii="仿宋" w:hAnsi="仿宋" w:eastAsia="仿宋" w:cs="仿宋"/>
          <w:sz w:val="32"/>
          <w:szCs w:val="32"/>
          <w:lang w:eastAsia="zh-CN"/>
        </w:rPr>
        <w:t>，</w:t>
      </w:r>
      <w:r>
        <w:rPr>
          <w:rFonts w:hint="eastAsia" w:ascii="仿宋" w:hAnsi="仿宋" w:eastAsia="仿宋" w:cs="仿宋"/>
          <w:sz w:val="32"/>
          <w:szCs w:val="32"/>
        </w:rPr>
        <w:t>平均每辆</w:t>
      </w:r>
      <w:r>
        <w:rPr>
          <w:rFonts w:hint="eastAsia" w:ascii="仿宋" w:hAnsi="仿宋" w:eastAsia="仿宋" w:cs="仿宋"/>
          <w:sz w:val="32"/>
          <w:szCs w:val="32"/>
          <w:lang w:val="en-US" w:eastAsia="zh-CN"/>
        </w:rPr>
        <w:t>4.80</w:t>
      </w:r>
      <w:r>
        <w:rPr>
          <w:rFonts w:hint="eastAsia" w:ascii="仿宋" w:hAnsi="仿宋" w:eastAsia="仿宋" w:cs="仿宋"/>
          <w:sz w:val="32"/>
          <w:szCs w:val="32"/>
        </w:rPr>
        <w:t>万元</w:t>
      </w:r>
      <w:r>
        <w:rPr>
          <w:rFonts w:hint="eastAsia" w:ascii="仿宋" w:hAnsi="仿宋" w:eastAsia="仿宋" w:cs="仿宋"/>
          <w:sz w:val="32"/>
          <w:szCs w:val="32"/>
          <w:lang w:eastAsia="zh-CN"/>
        </w:rPr>
        <w:t>，占支出的</w:t>
      </w:r>
      <w:r>
        <w:rPr>
          <w:rFonts w:hint="eastAsia" w:ascii="仿宋" w:hAnsi="仿宋" w:eastAsia="仿宋" w:cs="仿宋"/>
          <w:sz w:val="32"/>
          <w:szCs w:val="32"/>
          <w:lang w:val="en-US" w:eastAsia="zh-CN"/>
        </w:rPr>
        <w:t>46.33%，</w:t>
      </w:r>
      <w:r>
        <w:rPr>
          <w:rFonts w:hint="eastAsia" w:ascii="仿宋" w:hAnsi="仿宋" w:eastAsia="仿宋" w:cs="仿宋"/>
          <w:sz w:val="32"/>
          <w:szCs w:val="32"/>
        </w:rPr>
        <w:t>主要用于机要文件交换、</w:t>
      </w:r>
      <w:r>
        <w:rPr>
          <w:rFonts w:hint="eastAsia" w:ascii="仿宋" w:hAnsi="仿宋" w:eastAsia="仿宋" w:cs="仿宋"/>
          <w:sz w:val="32"/>
          <w:szCs w:val="32"/>
          <w:lang w:eastAsia="zh-CN"/>
        </w:rPr>
        <w:t>应急保障、县</w:t>
      </w:r>
      <w:r>
        <w:rPr>
          <w:rFonts w:hint="eastAsia" w:ascii="仿宋" w:hAnsi="仿宋" w:eastAsia="仿宋" w:cs="仿宋"/>
          <w:sz w:val="32"/>
          <w:szCs w:val="32"/>
        </w:rPr>
        <w:t>内因公出行以及开展</w:t>
      </w:r>
      <w:r>
        <w:rPr>
          <w:rFonts w:hint="eastAsia" w:ascii="仿宋" w:hAnsi="仿宋" w:eastAsia="仿宋" w:cs="仿宋"/>
          <w:sz w:val="32"/>
          <w:szCs w:val="32"/>
          <w:lang w:eastAsia="zh-CN"/>
        </w:rPr>
        <w:t>综治维稳</w:t>
      </w:r>
      <w:r>
        <w:rPr>
          <w:rFonts w:hint="eastAsia" w:ascii="仿宋" w:hAnsi="仿宋" w:eastAsia="仿宋" w:cs="仿宋"/>
          <w:sz w:val="32"/>
          <w:szCs w:val="32"/>
        </w:rPr>
        <w:t>检查督察工作所需车辆燃料费、维修费、过路过桥费、保险费等。</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3、公务接待费支出</w:t>
      </w:r>
      <w:r>
        <w:rPr>
          <w:rFonts w:hint="eastAsia" w:ascii="仿宋" w:hAnsi="仿宋" w:eastAsia="仿宋" w:cs="仿宋"/>
          <w:sz w:val="32"/>
          <w:szCs w:val="32"/>
          <w:lang w:val="en-US" w:eastAsia="zh-CN"/>
        </w:rPr>
        <w:t>5.56万</w:t>
      </w:r>
      <w:r>
        <w:rPr>
          <w:rFonts w:hint="eastAsia" w:ascii="仿宋" w:hAnsi="仿宋" w:eastAsia="仿宋" w:cs="仿宋"/>
          <w:sz w:val="32"/>
          <w:szCs w:val="32"/>
        </w:rPr>
        <w:t>元。其中：国内接待费支出0元（其中：外事接待费支出0万元），共安排国内公务接待0批次（其中：外事接待0批次），接待人次0人（其中：外事接待人次0人）</w:t>
      </w:r>
      <w:r>
        <w:rPr>
          <w:rFonts w:hint="eastAsia" w:ascii="仿宋" w:hAnsi="仿宋" w:eastAsia="仿宋" w:cs="仿宋"/>
          <w:sz w:val="32"/>
          <w:szCs w:val="32"/>
          <w:lang w:eastAsia="zh-CN"/>
        </w:rPr>
        <w:t>；</w:t>
      </w:r>
      <w:r>
        <w:rPr>
          <w:rFonts w:hint="eastAsia" w:ascii="仿宋" w:hAnsi="仿宋" w:eastAsia="仿宋" w:cs="仿宋"/>
          <w:sz w:val="32"/>
          <w:szCs w:val="32"/>
        </w:rPr>
        <w:t xml:space="preserve">国（境）外接待费支出0万元，共安排国（境）外公务接待0批次，接待人次0人。公务接待费支出 </w:t>
      </w:r>
      <w:r>
        <w:rPr>
          <w:rFonts w:hint="eastAsia" w:ascii="仿宋" w:hAnsi="仿宋" w:eastAsia="仿宋" w:cs="仿宋"/>
          <w:sz w:val="32"/>
          <w:szCs w:val="32"/>
          <w:lang w:val="en-US" w:eastAsia="zh-CN"/>
        </w:rPr>
        <w:t>5.56</w:t>
      </w:r>
      <w:r>
        <w:rPr>
          <w:rFonts w:hint="eastAsia" w:ascii="仿宋" w:hAnsi="仿宋" w:eastAsia="仿宋" w:cs="仿宋"/>
          <w:sz w:val="32"/>
          <w:szCs w:val="32"/>
        </w:rPr>
        <w:t>万元</w:t>
      </w:r>
      <w:r>
        <w:rPr>
          <w:rFonts w:hint="eastAsia" w:ascii="仿宋" w:hAnsi="仿宋" w:eastAsia="仿宋" w:cs="仿宋"/>
          <w:sz w:val="32"/>
          <w:szCs w:val="32"/>
          <w:lang w:eastAsia="zh-CN"/>
        </w:rPr>
        <w:t>，占支出的</w:t>
      </w:r>
      <w:r>
        <w:rPr>
          <w:rFonts w:hint="eastAsia" w:ascii="仿宋" w:hAnsi="仿宋" w:eastAsia="仿宋" w:cs="仿宋"/>
          <w:sz w:val="32"/>
          <w:szCs w:val="32"/>
          <w:highlight w:val="none"/>
          <w:lang w:val="en-US" w:eastAsia="zh-CN"/>
        </w:rPr>
        <w:t>53.67%</w:t>
      </w:r>
      <w:r>
        <w:rPr>
          <w:rFonts w:hint="eastAsia" w:ascii="仿宋" w:hAnsi="仿宋" w:eastAsia="仿宋" w:cs="仿宋"/>
          <w:sz w:val="32"/>
          <w:szCs w:val="32"/>
        </w:rPr>
        <w:t>。其中：本年度单位使用公共预算财政拨款支出的国内公务接待</w:t>
      </w:r>
      <w:r>
        <w:rPr>
          <w:rFonts w:hint="eastAsia" w:ascii="仿宋" w:hAnsi="仿宋" w:eastAsia="仿宋" w:cs="仿宋"/>
          <w:sz w:val="32"/>
          <w:szCs w:val="32"/>
          <w:lang w:val="en-US" w:eastAsia="zh-CN"/>
        </w:rPr>
        <w:t>80</w:t>
      </w:r>
      <w:r>
        <w:rPr>
          <w:rFonts w:hint="eastAsia" w:ascii="仿宋" w:hAnsi="仿宋" w:eastAsia="仿宋" w:cs="仿宋"/>
          <w:sz w:val="32"/>
          <w:szCs w:val="32"/>
        </w:rPr>
        <w:t>批次，</w:t>
      </w:r>
      <w:r>
        <w:rPr>
          <w:rFonts w:hint="eastAsia" w:ascii="仿宋" w:hAnsi="仿宋" w:eastAsia="仿宋" w:cs="仿宋"/>
          <w:sz w:val="32"/>
          <w:szCs w:val="32"/>
          <w:lang w:val="en-US" w:eastAsia="zh-CN"/>
        </w:rPr>
        <w:t>280</w:t>
      </w:r>
      <w:r>
        <w:rPr>
          <w:rFonts w:hint="eastAsia" w:ascii="仿宋" w:hAnsi="仿宋" w:eastAsia="仿宋" w:cs="仿宋"/>
          <w:sz w:val="32"/>
          <w:szCs w:val="32"/>
        </w:rPr>
        <w:t>人次。</w:t>
      </w:r>
    </w:p>
    <w:p>
      <w:pPr>
        <w:widowControl/>
        <w:numPr>
          <w:ilvl w:val="0"/>
          <w:numId w:val="0"/>
        </w:numPr>
        <w:shd w:val="clear" w:color="auto" w:fill="FFFFFF"/>
        <w:adjustRightInd w:val="0"/>
        <w:spacing w:line="560" w:lineRule="exact"/>
        <w:jc w:val="left"/>
        <w:rPr>
          <w:rFonts w:hint="eastAsia" w:ascii="Times New Roman" w:hAnsi="Times New Roman" w:eastAsia="黑体" w:cs="Times New Roman"/>
          <w:color w:val="333333"/>
          <w:kern w:val="0"/>
          <w:sz w:val="32"/>
          <w:szCs w:val="32"/>
          <w:lang w:eastAsia="zh-CN"/>
        </w:rPr>
      </w:pPr>
      <w:r>
        <w:rPr>
          <w:rFonts w:hint="eastAsia" w:ascii="黑体" w:hAnsi="黑体" w:eastAsia="黑体" w:cs="黑体"/>
          <w:sz w:val="36"/>
          <w:szCs w:val="36"/>
        </w:rPr>
        <w:t xml:space="preserve">第四部分  </w:t>
      </w:r>
      <w:r>
        <w:rPr>
          <w:rFonts w:hint="eastAsia" w:ascii="黑体" w:hAnsi="黑体" w:eastAsia="黑体" w:cs="黑体"/>
          <w:sz w:val="36"/>
          <w:szCs w:val="36"/>
          <w:lang w:eastAsia="zh-CN"/>
        </w:rPr>
        <w:t>其他重要事项及相关口径情况说明</w:t>
      </w:r>
    </w:p>
    <w:p>
      <w:pPr>
        <w:widowControl/>
        <w:numPr>
          <w:ilvl w:val="0"/>
          <w:numId w:val="0"/>
        </w:numPr>
        <w:shd w:val="clear" w:color="auto" w:fill="FFFFFF"/>
        <w:adjustRightInd w:val="0"/>
        <w:spacing w:line="560" w:lineRule="exact"/>
        <w:ind w:firstLine="640" w:firstLineChars="200"/>
        <w:jc w:val="left"/>
        <w:rPr>
          <w:rFonts w:hint="eastAsia" w:ascii="Times New Roman" w:hAnsi="Times New Roman" w:eastAsia="仿宋_GB2312" w:cs="Times New Roman"/>
          <w:color w:val="333333"/>
          <w:kern w:val="0"/>
          <w:sz w:val="32"/>
          <w:szCs w:val="32"/>
        </w:rPr>
      </w:pPr>
    </w:p>
    <w:p>
      <w:pPr>
        <w:widowControl/>
        <w:shd w:val="clear" w:color="auto" w:fill="FFFFFF"/>
        <w:adjustRightInd w:val="0"/>
        <w:spacing w:line="560" w:lineRule="exact"/>
        <w:ind w:firstLine="643" w:firstLineChars="200"/>
        <w:jc w:val="left"/>
        <w:rPr>
          <w:rFonts w:hint="eastAsia" w:ascii="黑体" w:hAnsi="黑体" w:eastAsia="黑体" w:cs="黑体"/>
          <w:b/>
          <w:bCs w:val="0"/>
          <w:color w:val="333333"/>
          <w:kern w:val="0"/>
          <w:sz w:val="32"/>
          <w:szCs w:val="32"/>
          <w:u w:val="none"/>
        </w:rPr>
      </w:pPr>
      <w:r>
        <w:rPr>
          <w:rFonts w:hint="eastAsia" w:ascii="黑体" w:hAnsi="黑体" w:eastAsia="黑体" w:cs="黑体"/>
          <w:b/>
          <w:bCs w:val="0"/>
          <w:color w:val="333333"/>
          <w:kern w:val="0"/>
          <w:sz w:val="32"/>
          <w:szCs w:val="32"/>
          <w:u w:val="none"/>
          <w:lang w:eastAsia="zh-CN"/>
        </w:rPr>
        <w:t>一、</w:t>
      </w:r>
      <w:r>
        <w:rPr>
          <w:rFonts w:hint="eastAsia" w:ascii="黑体" w:hAnsi="黑体" w:eastAsia="黑体" w:cs="黑体"/>
          <w:b/>
          <w:bCs w:val="0"/>
          <w:color w:val="333333"/>
          <w:kern w:val="0"/>
          <w:sz w:val="24"/>
          <w:szCs w:val="24"/>
          <w:u w:val="none"/>
        </w:rPr>
        <w:t xml:space="preserve"> </w:t>
      </w:r>
      <w:r>
        <w:rPr>
          <w:rFonts w:hint="eastAsia" w:ascii="黑体" w:hAnsi="黑体" w:eastAsia="黑体" w:cs="黑体"/>
          <w:b/>
          <w:bCs w:val="0"/>
          <w:color w:val="333333"/>
          <w:kern w:val="0"/>
          <w:sz w:val="32"/>
          <w:szCs w:val="32"/>
          <w:u w:val="none"/>
        </w:rPr>
        <w:t>机关运行经费支出情况</w:t>
      </w:r>
    </w:p>
    <w:p>
      <w:pPr>
        <w:snapToGrid w:val="0"/>
        <w:spacing w:line="588" w:lineRule="exact"/>
        <w:ind w:firstLine="643" w:firstLineChars="200"/>
        <w:rPr>
          <w:rFonts w:hint="eastAsia" w:ascii="仿宋" w:hAnsi="仿宋" w:eastAsia="仿宋"/>
          <w:b/>
          <w:bCs/>
          <w:sz w:val="32"/>
          <w:szCs w:val="32"/>
          <w:u w:val="none"/>
          <w:lang w:val="en-US" w:eastAsia="zh-CN"/>
        </w:rPr>
      </w:pPr>
      <w:r>
        <w:rPr>
          <w:rFonts w:hint="eastAsia" w:ascii="仿宋" w:hAnsi="仿宋" w:eastAsia="仿宋"/>
          <w:b/>
          <w:bCs/>
          <w:sz w:val="32"/>
          <w:szCs w:val="32"/>
          <w:u w:val="none"/>
          <w:lang w:val="en-US" w:eastAsia="zh-CN"/>
        </w:rPr>
        <w:t>（一）机关运行情况</w:t>
      </w:r>
    </w:p>
    <w:p>
      <w:pPr>
        <w:snapToGrid w:val="0"/>
        <w:spacing w:line="588" w:lineRule="exact"/>
        <w:ind w:firstLine="640" w:firstLineChars="200"/>
        <w:rPr>
          <w:rFonts w:hint="eastAsia" w:ascii="仿宋" w:hAnsi="仿宋" w:eastAsia="仿宋"/>
          <w:sz w:val="32"/>
          <w:szCs w:val="32"/>
          <w:highlight w:val="none"/>
          <w:u w:val="none"/>
        </w:rPr>
      </w:pPr>
      <w:r>
        <w:rPr>
          <w:rFonts w:hint="eastAsia" w:ascii="仿宋" w:hAnsi="仿宋" w:eastAsia="仿宋"/>
          <w:sz w:val="32"/>
          <w:szCs w:val="32"/>
          <w:u w:val="none"/>
          <w:lang w:val="en-US" w:eastAsia="zh-CN"/>
        </w:rPr>
        <w:t>2019年，县委政法委机关运行经费支出56.51万元，主要用于保障政法委机关行政运行正常运转，总支出数比上年增加支出</w:t>
      </w:r>
      <w:r>
        <w:rPr>
          <w:rFonts w:hint="eastAsia" w:ascii="仿宋" w:hAnsi="仿宋" w:eastAsia="仿宋"/>
          <w:sz w:val="32"/>
          <w:szCs w:val="32"/>
          <w:highlight w:val="none"/>
          <w:u w:val="none"/>
          <w:lang w:val="en-US" w:eastAsia="zh-CN"/>
        </w:rPr>
        <w:t>-54.50万元，增幅为-49.09%。</w:t>
      </w:r>
    </w:p>
    <w:p>
      <w:pPr>
        <w:widowControl/>
        <w:shd w:val="clear" w:color="auto" w:fill="FFFFFF"/>
        <w:adjustRightInd w:val="0"/>
        <w:spacing w:line="560" w:lineRule="exact"/>
        <w:ind w:firstLine="640" w:firstLineChars="200"/>
        <w:jc w:val="left"/>
        <w:rPr>
          <w:rFonts w:hint="eastAsia" w:ascii="仿宋_GB2312" w:hAnsi="Times New Roman" w:eastAsia="仿宋_GB2312" w:cs="仿宋_GB2312"/>
          <w:color w:val="333333"/>
          <w:kern w:val="0"/>
          <w:sz w:val="32"/>
          <w:szCs w:val="32"/>
          <w:u w:val="none"/>
        </w:rPr>
      </w:pPr>
      <w:r>
        <w:rPr>
          <w:rFonts w:hint="eastAsia" w:ascii="仿宋_GB2312" w:hAnsi="Times New Roman" w:eastAsia="仿宋_GB2312" w:cs="仿宋_GB2312"/>
          <w:color w:val="333333"/>
          <w:kern w:val="0"/>
          <w:sz w:val="32"/>
          <w:szCs w:val="32"/>
          <w:u w:val="none"/>
        </w:rPr>
        <w:t>主要原因是：压缩公用经费支出。</w:t>
      </w:r>
    </w:p>
    <w:p>
      <w:pPr>
        <w:widowControl/>
        <w:numPr>
          <w:ilvl w:val="0"/>
          <w:numId w:val="3"/>
        </w:numPr>
        <w:shd w:val="clear" w:color="auto" w:fill="FFFFFF"/>
        <w:adjustRightInd w:val="0"/>
        <w:spacing w:line="560" w:lineRule="exact"/>
        <w:ind w:firstLine="643" w:firstLineChars="200"/>
        <w:jc w:val="left"/>
        <w:rPr>
          <w:rFonts w:hint="eastAsia" w:ascii="仿宋_GB2312" w:hAnsi="Times New Roman" w:eastAsia="仿宋_GB2312" w:cs="仿宋_GB2312"/>
          <w:b/>
          <w:bCs/>
          <w:color w:val="333333"/>
          <w:kern w:val="0"/>
          <w:sz w:val="32"/>
          <w:szCs w:val="32"/>
          <w:u w:val="none"/>
          <w:lang w:eastAsia="zh-CN"/>
        </w:rPr>
      </w:pPr>
      <w:r>
        <w:rPr>
          <w:rFonts w:hint="eastAsia" w:ascii="仿宋_GB2312" w:hAnsi="Times New Roman" w:eastAsia="仿宋_GB2312" w:cs="仿宋_GB2312"/>
          <w:b/>
          <w:bCs/>
          <w:color w:val="333333"/>
          <w:kern w:val="0"/>
          <w:sz w:val="32"/>
          <w:szCs w:val="32"/>
          <w:u w:val="none"/>
          <w:lang w:eastAsia="zh-CN"/>
        </w:rPr>
        <w:t>会议费支出情况</w:t>
      </w:r>
    </w:p>
    <w:p>
      <w:pPr>
        <w:snapToGrid w:val="0"/>
        <w:spacing w:line="588" w:lineRule="exact"/>
        <w:ind w:firstLine="800" w:firstLineChars="250"/>
        <w:rPr>
          <w:rFonts w:hint="eastAsia" w:ascii="仿宋" w:hAnsi="仿宋" w:eastAsia="仿宋"/>
          <w:sz w:val="32"/>
          <w:szCs w:val="32"/>
          <w:highlight w:val="none"/>
          <w:u w:val="none"/>
        </w:rPr>
      </w:pPr>
      <w:r>
        <w:rPr>
          <w:rFonts w:hint="eastAsia" w:ascii="仿宋" w:hAnsi="仿宋" w:eastAsia="仿宋"/>
          <w:sz w:val="32"/>
          <w:szCs w:val="32"/>
          <w:u w:val="none"/>
          <w:lang w:eastAsia="zh-CN"/>
        </w:rPr>
        <w:t>201</w:t>
      </w:r>
      <w:bookmarkStart w:id="0" w:name="_GoBack"/>
      <w:bookmarkEnd w:id="0"/>
      <w:r>
        <w:rPr>
          <w:rFonts w:hint="eastAsia" w:ascii="仿宋" w:hAnsi="仿宋" w:eastAsia="仿宋"/>
          <w:sz w:val="32"/>
          <w:szCs w:val="32"/>
          <w:u w:val="none"/>
          <w:lang w:val="en-US" w:eastAsia="zh-CN"/>
        </w:rPr>
        <w:t>9</w:t>
      </w:r>
      <w:r>
        <w:rPr>
          <w:rFonts w:hint="eastAsia" w:ascii="仿宋" w:hAnsi="仿宋" w:eastAsia="仿宋"/>
          <w:sz w:val="32"/>
          <w:szCs w:val="32"/>
          <w:u w:val="none"/>
        </w:rPr>
        <w:t>年，会议费支出</w:t>
      </w:r>
      <w:r>
        <w:rPr>
          <w:rFonts w:hint="eastAsia" w:ascii="仿宋" w:hAnsi="仿宋" w:eastAsia="仿宋"/>
          <w:sz w:val="32"/>
          <w:szCs w:val="32"/>
          <w:u w:val="none"/>
          <w:lang w:val="en-US" w:eastAsia="zh-CN"/>
        </w:rPr>
        <w:t>2.32</w:t>
      </w:r>
      <w:r>
        <w:rPr>
          <w:rFonts w:hint="eastAsia" w:ascii="仿宋" w:hAnsi="仿宋" w:eastAsia="仿宋"/>
          <w:sz w:val="32"/>
          <w:szCs w:val="32"/>
          <w:u w:val="none"/>
        </w:rPr>
        <w:t>万元，比上年</w:t>
      </w:r>
      <w:r>
        <w:rPr>
          <w:rFonts w:hint="eastAsia" w:ascii="仿宋" w:hAnsi="仿宋" w:eastAsia="仿宋"/>
          <w:sz w:val="32"/>
          <w:szCs w:val="32"/>
          <w:u w:val="none"/>
          <w:lang w:eastAsia="zh-CN"/>
        </w:rPr>
        <w:t>增加</w:t>
      </w:r>
      <w:r>
        <w:rPr>
          <w:rFonts w:hint="eastAsia" w:ascii="仿宋" w:hAnsi="仿宋" w:eastAsia="仿宋"/>
          <w:sz w:val="32"/>
          <w:szCs w:val="32"/>
          <w:highlight w:val="none"/>
          <w:u w:val="none"/>
          <w:lang w:val="en-US" w:eastAsia="zh-CN"/>
        </w:rPr>
        <w:t>-5.68</w:t>
      </w:r>
      <w:r>
        <w:rPr>
          <w:rFonts w:hint="eastAsia" w:ascii="仿宋" w:hAnsi="仿宋" w:eastAsia="仿宋"/>
          <w:sz w:val="32"/>
          <w:szCs w:val="32"/>
          <w:highlight w:val="none"/>
          <w:u w:val="none"/>
        </w:rPr>
        <w:t>万元，增长率为</w:t>
      </w:r>
      <w:r>
        <w:rPr>
          <w:rFonts w:hint="eastAsia" w:ascii="仿宋" w:hAnsi="仿宋" w:eastAsia="仿宋"/>
          <w:sz w:val="32"/>
          <w:szCs w:val="32"/>
          <w:highlight w:val="none"/>
          <w:u w:val="none"/>
          <w:lang w:val="en-US" w:eastAsia="zh-CN"/>
        </w:rPr>
        <w:t>-71</w:t>
      </w:r>
      <w:r>
        <w:rPr>
          <w:rFonts w:hint="eastAsia" w:ascii="仿宋" w:hAnsi="仿宋" w:eastAsia="仿宋"/>
          <w:sz w:val="32"/>
          <w:szCs w:val="32"/>
          <w:highlight w:val="none"/>
          <w:u w:val="none"/>
        </w:rPr>
        <w:t>%。</w:t>
      </w:r>
    </w:p>
    <w:p>
      <w:pPr>
        <w:tabs>
          <w:tab w:val="left" w:pos="345"/>
        </w:tabs>
        <w:ind w:firstLine="2560" w:firstLineChars="850"/>
        <w:rPr>
          <w:rFonts w:hint="eastAsia" w:ascii="宋体" w:hAnsi="宋体"/>
          <w:b/>
          <w:sz w:val="30"/>
          <w:szCs w:val="30"/>
        </w:rPr>
      </w:pPr>
      <w:r>
        <w:rPr>
          <w:rFonts w:ascii="宋体" w:hAnsi="宋体"/>
          <w:b/>
          <w:sz w:val="30"/>
          <w:szCs w:val="30"/>
        </w:rPr>
        <w:object>
          <v:shape id="_x0000_i1028" o:spt="75" type="#_x0000_t75" style="height:222.4pt;width:275.4pt;" o:ole="t" filled="f" o:preferrelative="t" stroked="f" coordsize="21600,21600">
            <v:path/>
            <v:fill on="f" focussize="0,0"/>
            <v:stroke on="f"/>
            <v:imagedata r:id="rId11" o:title=""/>
            <o:lock v:ext="edit" aspectratio="t"/>
            <w10:wrap type="none"/>
            <w10:anchorlock/>
          </v:shape>
          <o:OLEObject Type="Embed" ProgID="MSGraph.Chart.8" ShapeID="_x0000_i1028" DrawAspect="Content" ObjectID="_1468075728" r:id="rId10">
            <o:LockedField>false</o:LockedField>
          </o:OLEObject>
        </w:object>
      </w:r>
    </w:p>
    <w:p>
      <w:pPr>
        <w:widowControl/>
        <w:numPr>
          <w:ilvl w:val="0"/>
          <w:numId w:val="0"/>
        </w:numPr>
        <w:shd w:val="clear" w:color="auto" w:fill="FFFFFF"/>
        <w:adjustRightInd w:val="0"/>
        <w:spacing w:line="560" w:lineRule="exact"/>
        <w:ind w:firstLine="964" w:firstLineChars="300"/>
        <w:jc w:val="left"/>
        <w:rPr>
          <w:rFonts w:hint="eastAsia" w:ascii="黑体" w:hAnsi="黑体" w:eastAsia="黑体" w:cs="黑体"/>
          <w:b/>
          <w:bCs w:val="0"/>
          <w:color w:val="333333"/>
          <w:kern w:val="0"/>
          <w:sz w:val="32"/>
          <w:szCs w:val="32"/>
          <w:u w:val="none"/>
        </w:rPr>
      </w:pPr>
      <w:r>
        <w:rPr>
          <w:rFonts w:hint="eastAsia" w:ascii="黑体" w:hAnsi="黑体" w:eastAsia="黑体" w:cs="黑体"/>
          <w:b/>
          <w:bCs w:val="0"/>
          <w:color w:val="333333"/>
          <w:kern w:val="0"/>
          <w:sz w:val="32"/>
          <w:szCs w:val="32"/>
          <w:u w:val="none"/>
          <w:lang w:eastAsia="zh-CN"/>
        </w:rPr>
        <w:t>二、</w:t>
      </w:r>
      <w:r>
        <w:rPr>
          <w:rFonts w:hint="eastAsia" w:ascii="黑体" w:hAnsi="黑体" w:eastAsia="黑体" w:cs="黑体"/>
          <w:b/>
          <w:bCs w:val="0"/>
          <w:color w:val="333333"/>
          <w:kern w:val="0"/>
          <w:sz w:val="32"/>
          <w:szCs w:val="32"/>
          <w:u w:val="none"/>
        </w:rPr>
        <w:t>国有资产占用情况</w:t>
      </w:r>
    </w:p>
    <w:p>
      <w:pPr>
        <w:ind w:firstLine="800" w:firstLineChars="250"/>
        <w:rPr>
          <w:rFonts w:hint="eastAsia" w:ascii="仿宋" w:hAnsi="仿宋" w:eastAsia="仿宋"/>
          <w:sz w:val="32"/>
          <w:szCs w:val="32"/>
          <w:u w:val="none"/>
        </w:rPr>
      </w:pPr>
      <w:r>
        <w:rPr>
          <w:rFonts w:hint="eastAsia" w:ascii="仿宋" w:hAnsi="仿宋" w:eastAsia="仿宋"/>
          <w:sz w:val="32"/>
          <w:szCs w:val="32"/>
          <w:u w:val="none"/>
          <w:lang w:eastAsia="zh-CN"/>
        </w:rPr>
        <w:t>201</w:t>
      </w:r>
      <w:r>
        <w:rPr>
          <w:rFonts w:hint="eastAsia" w:ascii="仿宋" w:hAnsi="仿宋" w:eastAsia="仿宋"/>
          <w:sz w:val="32"/>
          <w:szCs w:val="32"/>
          <w:u w:val="none"/>
          <w:lang w:val="en-US" w:eastAsia="zh-CN"/>
        </w:rPr>
        <w:t>9</w:t>
      </w:r>
      <w:r>
        <w:rPr>
          <w:rFonts w:hint="eastAsia" w:ascii="仿宋" w:hAnsi="仿宋" w:eastAsia="仿宋"/>
          <w:sz w:val="32"/>
          <w:szCs w:val="32"/>
          <w:u w:val="none"/>
        </w:rPr>
        <w:t>年末，县委政法委资产和负债总额为</w:t>
      </w:r>
      <w:r>
        <w:rPr>
          <w:rFonts w:hint="eastAsia" w:ascii="仿宋" w:hAnsi="仿宋" w:eastAsia="仿宋"/>
          <w:sz w:val="32"/>
          <w:szCs w:val="32"/>
          <w:u w:val="none"/>
          <w:lang w:val="en-US" w:eastAsia="zh-CN"/>
        </w:rPr>
        <w:t>190.40</w:t>
      </w:r>
      <w:r>
        <w:rPr>
          <w:rFonts w:hint="eastAsia" w:ascii="仿宋" w:hAnsi="仿宋" w:eastAsia="仿宋"/>
          <w:sz w:val="32"/>
          <w:szCs w:val="32"/>
          <w:u w:val="none"/>
        </w:rPr>
        <w:t>万元，比上年增加</w:t>
      </w:r>
      <w:r>
        <w:rPr>
          <w:rFonts w:hint="eastAsia" w:ascii="仿宋" w:hAnsi="仿宋" w:eastAsia="仿宋"/>
          <w:sz w:val="32"/>
          <w:szCs w:val="32"/>
          <w:highlight w:val="none"/>
          <w:u w:val="none"/>
          <w:lang w:val="en-US" w:eastAsia="zh-CN"/>
        </w:rPr>
        <w:t>-125.52</w:t>
      </w:r>
      <w:r>
        <w:rPr>
          <w:rFonts w:hint="eastAsia" w:ascii="仿宋" w:hAnsi="仿宋" w:eastAsia="仿宋"/>
          <w:sz w:val="32"/>
          <w:szCs w:val="32"/>
          <w:highlight w:val="none"/>
          <w:u w:val="none"/>
        </w:rPr>
        <w:t>万</w:t>
      </w:r>
      <w:r>
        <w:rPr>
          <w:rFonts w:hint="eastAsia" w:ascii="仿宋" w:hAnsi="仿宋" w:eastAsia="仿宋"/>
          <w:sz w:val="32"/>
          <w:szCs w:val="32"/>
          <w:u w:val="none"/>
        </w:rPr>
        <w:t>元，主要是流动负债及净资产增加。</w:t>
      </w:r>
    </w:p>
    <w:tbl>
      <w:tblPr>
        <w:tblStyle w:val="5"/>
        <w:tblW w:w="8837" w:type="dxa"/>
        <w:tblInd w:w="91" w:type="dxa"/>
        <w:tblLayout w:type="fixed"/>
        <w:tblCellMar>
          <w:top w:w="0" w:type="dxa"/>
          <w:left w:w="108" w:type="dxa"/>
          <w:bottom w:w="0" w:type="dxa"/>
          <w:right w:w="108" w:type="dxa"/>
        </w:tblCellMar>
      </w:tblPr>
      <w:tblGrid>
        <w:gridCol w:w="1637"/>
        <w:gridCol w:w="1980"/>
        <w:gridCol w:w="1980"/>
        <w:gridCol w:w="1800"/>
        <w:gridCol w:w="1440"/>
      </w:tblGrid>
      <w:tr>
        <w:tblPrEx>
          <w:tblLayout w:type="fixed"/>
          <w:tblCellMar>
            <w:top w:w="0" w:type="dxa"/>
            <w:left w:w="108" w:type="dxa"/>
            <w:bottom w:w="0" w:type="dxa"/>
            <w:right w:w="108" w:type="dxa"/>
          </w:tblCellMar>
        </w:tblPrEx>
        <w:trPr>
          <w:trHeight w:val="735" w:hRule="atLeast"/>
        </w:trPr>
        <w:tc>
          <w:tcPr>
            <w:tcW w:w="8837" w:type="dxa"/>
            <w:gridSpan w:val="5"/>
            <w:tcBorders>
              <w:top w:val="nil"/>
              <w:left w:val="nil"/>
              <w:bottom w:val="single" w:color="auto" w:sz="4" w:space="0"/>
              <w:right w:val="nil"/>
            </w:tcBorders>
            <w:vAlign w:val="center"/>
          </w:tcPr>
          <w:p>
            <w:pPr>
              <w:widowControl/>
              <w:jc w:val="center"/>
              <w:rPr>
                <w:rFonts w:ascii="黑体" w:hAnsi="黑体" w:eastAsia="黑体" w:cs="宋体"/>
                <w:color w:val="000000"/>
                <w:kern w:val="0"/>
                <w:sz w:val="28"/>
                <w:szCs w:val="28"/>
              </w:rPr>
            </w:pPr>
            <w:r>
              <w:rPr>
                <w:rFonts w:hint="eastAsia" w:ascii="黑体" w:hAnsi="黑体" w:eastAsia="黑体" w:cs="宋体"/>
                <w:color w:val="000000"/>
                <w:kern w:val="0"/>
                <w:sz w:val="28"/>
                <w:szCs w:val="28"/>
              </w:rPr>
              <w:t>县委政法委资产负债表与上年度对比分析情况</w:t>
            </w:r>
          </w:p>
        </w:tc>
      </w:tr>
      <w:tr>
        <w:tblPrEx>
          <w:tblLayout w:type="fixed"/>
          <w:tblCellMar>
            <w:top w:w="0" w:type="dxa"/>
            <w:left w:w="108" w:type="dxa"/>
            <w:bottom w:w="0" w:type="dxa"/>
            <w:right w:w="108" w:type="dxa"/>
          </w:tblCellMar>
        </w:tblPrEx>
        <w:trPr>
          <w:trHeight w:val="465" w:hRule="atLeast"/>
        </w:trPr>
        <w:tc>
          <w:tcPr>
            <w:tcW w:w="163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w:t>
            </w:r>
          </w:p>
        </w:tc>
        <w:tc>
          <w:tcPr>
            <w:tcW w:w="198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w:t>
            </w:r>
          </w:p>
        </w:tc>
        <w:tc>
          <w:tcPr>
            <w:tcW w:w="198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eastAsia="zh-CN"/>
              </w:rPr>
              <w:t>2018</w:t>
            </w:r>
            <w:r>
              <w:rPr>
                <w:rFonts w:hint="eastAsia" w:ascii="宋体" w:hAnsi="宋体" w:cs="宋体"/>
                <w:color w:val="000000"/>
                <w:kern w:val="0"/>
                <w:sz w:val="20"/>
                <w:szCs w:val="20"/>
              </w:rPr>
              <w:t>年</w:t>
            </w:r>
          </w:p>
        </w:tc>
        <w:tc>
          <w:tcPr>
            <w:tcW w:w="18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eastAsia="zh-CN"/>
              </w:rPr>
              <w:t>201</w:t>
            </w:r>
            <w:r>
              <w:rPr>
                <w:rFonts w:hint="eastAsia" w:ascii="宋体" w:hAnsi="宋体" w:cs="宋体"/>
                <w:color w:val="000000"/>
                <w:kern w:val="0"/>
                <w:sz w:val="20"/>
                <w:szCs w:val="20"/>
                <w:lang w:val="en-US" w:eastAsia="zh-CN"/>
              </w:rPr>
              <w:t>9</w:t>
            </w:r>
            <w:r>
              <w:rPr>
                <w:rFonts w:hint="eastAsia" w:ascii="宋体" w:hAnsi="宋体" w:cs="宋体"/>
                <w:color w:val="000000"/>
                <w:kern w:val="0"/>
                <w:sz w:val="20"/>
                <w:szCs w:val="20"/>
              </w:rPr>
              <w:t>年</w:t>
            </w:r>
          </w:p>
        </w:tc>
        <w:tc>
          <w:tcPr>
            <w:tcW w:w="144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比上年增减（%）</w:t>
            </w:r>
          </w:p>
        </w:tc>
      </w:tr>
      <w:tr>
        <w:tblPrEx>
          <w:tblLayout w:type="fixed"/>
          <w:tblCellMar>
            <w:top w:w="0" w:type="dxa"/>
            <w:left w:w="108" w:type="dxa"/>
            <w:bottom w:w="0" w:type="dxa"/>
            <w:right w:w="108" w:type="dxa"/>
          </w:tblCellMar>
        </w:tblPrEx>
        <w:trPr>
          <w:trHeight w:val="540" w:hRule="atLeast"/>
        </w:trPr>
        <w:tc>
          <w:tcPr>
            <w:tcW w:w="163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资产总计</w:t>
            </w:r>
          </w:p>
        </w:tc>
        <w:tc>
          <w:tcPr>
            <w:tcW w:w="198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库存现金</w:t>
            </w:r>
          </w:p>
        </w:tc>
        <w:tc>
          <w:tcPr>
            <w:tcW w:w="198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0</w:t>
            </w:r>
            <w:r>
              <w:rPr>
                <w:rFonts w:hint="eastAsia" w:ascii="宋体" w:hAnsi="宋体" w:cs="宋体"/>
                <w:color w:val="000000"/>
                <w:kern w:val="0"/>
                <w:sz w:val="20"/>
                <w:szCs w:val="20"/>
              </w:rPr>
              <w:t>.00</w:t>
            </w:r>
          </w:p>
        </w:tc>
        <w:tc>
          <w:tcPr>
            <w:tcW w:w="1800" w:type="dxa"/>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0</w:t>
            </w:r>
          </w:p>
        </w:tc>
        <w:tc>
          <w:tcPr>
            <w:tcW w:w="1440" w:type="dxa"/>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color w:val="000000"/>
                <w:kern w:val="0"/>
                <w:sz w:val="20"/>
                <w:szCs w:val="20"/>
                <w:lang w:eastAsia="zh-CN"/>
              </w:rPr>
            </w:pPr>
            <w:r>
              <w:rPr>
                <w:rFonts w:hint="eastAsia" w:ascii="宋体" w:hAnsi="宋体" w:cs="宋体"/>
                <w:color w:val="000000"/>
                <w:kern w:val="0"/>
                <w:sz w:val="20"/>
                <w:szCs w:val="20"/>
                <w:lang w:val="en-US" w:eastAsia="zh-CN"/>
              </w:rPr>
              <w:t>0</w:t>
            </w:r>
          </w:p>
        </w:tc>
      </w:tr>
      <w:tr>
        <w:tblPrEx>
          <w:tblLayout w:type="fixed"/>
          <w:tblCellMar>
            <w:top w:w="0" w:type="dxa"/>
            <w:left w:w="108" w:type="dxa"/>
            <w:bottom w:w="0" w:type="dxa"/>
            <w:right w:w="108" w:type="dxa"/>
          </w:tblCellMar>
        </w:tblPrEx>
        <w:trPr>
          <w:trHeight w:val="435" w:hRule="atLeast"/>
        </w:trPr>
        <w:tc>
          <w:tcPr>
            <w:tcW w:w="163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98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银行存款</w:t>
            </w:r>
          </w:p>
        </w:tc>
        <w:tc>
          <w:tcPr>
            <w:tcW w:w="198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98.08</w:t>
            </w:r>
          </w:p>
        </w:tc>
        <w:tc>
          <w:tcPr>
            <w:tcW w:w="180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25.21</w:t>
            </w:r>
          </w:p>
        </w:tc>
        <w:tc>
          <w:tcPr>
            <w:tcW w:w="144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-74.33</w:t>
            </w:r>
          </w:p>
        </w:tc>
      </w:tr>
      <w:tr>
        <w:tblPrEx>
          <w:tblLayout w:type="fixed"/>
          <w:tblCellMar>
            <w:top w:w="0" w:type="dxa"/>
            <w:left w:w="108" w:type="dxa"/>
            <w:bottom w:w="0" w:type="dxa"/>
            <w:right w:w="108" w:type="dxa"/>
          </w:tblCellMar>
        </w:tblPrEx>
        <w:trPr>
          <w:trHeight w:val="570" w:hRule="atLeast"/>
        </w:trPr>
        <w:tc>
          <w:tcPr>
            <w:tcW w:w="16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98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财政应返还额度</w:t>
            </w:r>
          </w:p>
        </w:tc>
        <w:tc>
          <w:tcPr>
            <w:tcW w:w="1980" w:type="dxa"/>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color w:val="000000"/>
                <w:kern w:val="0"/>
                <w:sz w:val="20"/>
                <w:szCs w:val="20"/>
                <w:lang w:eastAsia="zh-CN"/>
              </w:rPr>
            </w:pPr>
            <w:r>
              <w:rPr>
                <w:rFonts w:hint="eastAsia" w:ascii="宋体" w:hAnsi="宋体" w:cs="宋体"/>
                <w:color w:val="000000"/>
                <w:kern w:val="0"/>
                <w:sz w:val="20"/>
                <w:szCs w:val="20"/>
                <w:lang w:val="en-US" w:eastAsia="zh-CN"/>
              </w:rPr>
              <w:t>106.76</w:t>
            </w:r>
          </w:p>
        </w:tc>
        <w:tc>
          <w:tcPr>
            <w:tcW w:w="180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1439.44</w:t>
            </w:r>
          </w:p>
        </w:tc>
        <w:tc>
          <w:tcPr>
            <w:tcW w:w="144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34.83</w:t>
            </w:r>
          </w:p>
        </w:tc>
      </w:tr>
      <w:tr>
        <w:tblPrEx>
          <w:tblLayout w:type="fixed"/>
          <w:tblCellMar>
            <w:top w:w="0" w:type="dxa"/>
            <w:left w:w="108" w:type="dxa"/>
            <w:bottom w:w="0" w:type="dxa"/>
            <w:right w:w="108" w:type="dxa"/>
          </w:tblCellMar>
        </w:tblPrEx>
        <w:trPr>
          <w:trHeight w:val="570" w:hRule="atLeast"/>
        </w:trPr>
        <w:tc>
          <w:tcPr>
            <w:tcW w:w="16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98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其他应收款</w:t>
            </w:r>
          </w:p>
        </w:tc>
        <w:tc>
          <w:tcPr>
            <w:tcW w:w="198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0.51</w:t>
            </w:r>
          </w:p>
        </w:tc>
        <w:tc>
          <w:tcPr>
            <w:tcW w:w="180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2.54</w:t>
            </w:r>
          </w:p>
        </w:tc>
        <w:tc>
          <w:tcPr>
            <w:tcW w:w="144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398.04</w:t>
            </w:r>
          </w:p>
        </w:tc>
      </w:tr>
      <w:tr>
        <w:tblPrEx>
          <w:tblLayout w:type="fixed"/>
          <w:tblCellMar>
            <w:top w:w="0" w:type="dxa"/>
            <w:left w:w="108" w:type="dxa"/>
            <w:bottom w:w="0" w:type="dxa"/>
            <w:right w:w="108" w:type="dxa"/>
          </w:tblCellMar>
        </w:tblPrEx>
        <w:trPr>
          <w:trHeight w:val="570" w:hRule="atLeast"/>
        </w:trPr>
        <w:tc>
          <w:tcPr>
            <w:tcW w:w="16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98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流动资产合计</w:t>
            </w:r>
          </w:p>
        </w:tc>
        <w:tc>
          <w:tcPr>
            <w:tcW w:w="198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205.36</w:t>
            </w:r>
          </w:p>
        </w:tc>
        <w:tc>
          <w:tcPr>
            <w:tcW w:w="180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171.69</w:t>
            </w:r>
          </w:p>
        </w:tc>
        <w:tc>
          <w:tcPr>
            <w:tcW w:w="144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-16.40</w:t>
            </w:r>
          </w:p>
        </w:tc>
      </w:tr>
      <w:tr>
        <w:tblPrEx>
          <w:tblLayout w:type="fixed"/>
          <w:tblCellMar>
            <w:top w:w="0" w:type="dxa"/>
            <w:left w:w="108" w:type="dxa"/>
            <w:bottom w:w="0" w:type="dxa"/>
            <w:right w:w="108" w:type="dxa"/>
          </w:tblCellMar>
        </w:tblPrEx>
        <w:trPr>
          <w:trHeight w:val="570" w:hRule="atLeast"/>
        </w:trPr>
        <w:tc>
          <w:tcPr>
            <w:tcW w:w="1637" w:type="dxa"/>
            <w:vMerge w:val="restart"/>
            <w:tcBorders>
              <w:top w:val="single" w:color="auto" w:sz="4" w:space="0"/>
              <w:left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固定资产合计</w:t>
            </w:r>
          </w:p>
        </w:tc>
        <w:tc>
          <w:tcPr>
            <w:tcW w:w="198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固定资产原价</w:t>
            </w:r>
          </w:p>
        </w:tc>
        <w:tc>
          <w:tcPr>
            <w:tcW w:w="198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110.57</w:t>
            </w:r>
          </w:p>
        </w:tc>
        <w:tc>
          <w:tcPr>
            <w:tcW w:w="180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76.91</w:t>
            </w:r>
          </w:p>
        </w:tc>
        <w:tc>
          <w:tcPr>
            <w:tcW w:w="144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-30.44</w:t>
            </w:r>
          </w:p>
        </w:tc>
      </w:tr>
      <w:tr>
        <w:tblPrEx>
          <w:tblLayout w:type="fixed"/>
          <w:tblCellMar>
            <w:top w:w="0" w:type="dxa"/>
            <w:left w:w="108" w:type="dxa"/>
            <w:bottom w:w="0" w:type="dxa"/>
            <w:right w:w="108" w:type="dxa"/>
          </w:tblCellMar>
        </w:tblPrEx>
        <w:trPr>
          <w:trHeight w:val="570" w:hRule="atLeast"/>
        </w:trPr>
        <w:tc>
          <w:tcPr>
            <w:tcW w:w="1637"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80" w:type="dxa"/>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color w:val="000000"/>
                <w:kern w:val="0"/>
                <w:sz w:val="20"/>
                <w:szCs w:val="20"/>
                <w:lang w:eastAsia="zh-CN"/>
              </w:rPr>
            </w:pPr>
            <w:r>
              <w:rPr>
                <w:rFonts w:hint="eastAsia" w:ascii="宋体" w:hAnsi="宋体" w:cs="宋体"/>
                <w:color w:val="000000"/>
                <w:kern w:val="0"/>
                <w:sz w:val="20"/>
                <w:szCs w:val="20"/>
                <w:lang w:eastAsia="zh-CN"/>
              </w:rPr>
              <w:t>净值</w:t>
            </w:r>
          </w:p>
        </w:tc>
        <w:tc>
          <w:tcPr>
            <w:tcW w:w="198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lang w:val="en-US" w:eastAsia="zh-CN"/>
              </w:rPr>
            </w:pPr>
          </w:p>
        </w:tc>
        <w:tc>
          <w:tcPr>
            <w:tcW w:w="1800" w:type="dxa"/>
            <w:tcBorders>
              <w:top w:val="nil"/>
              <w:left w:val="nil"/>
              <w:bottom w:val="single" w:color="auto" w:sz="4" w:space="0"/>
              <w:right w:val="single" w:color="auto" w:sz="4" w:space="0"/>
            </w:tcBorders>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18.71</w:t>
            </w:r>
          </w:p>
        </w:tc>
        <w:tc>
          <w:tcPr>
            <w:tcW w:w="1440" w:type="dxa"/>
            <w:tcBorders>
              <w:top w:val="nil"/>
              <w:left w:val="nil"/>
              <w:bottom w:val="single" w:color="auto" w:sz="4" w:space="0"/>
              <w:right w:val="single" w:color="auto" w:sz="4" w:space="0"/>
            </w:tcBorders>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100</w:t>
            </w:r>
          </w:p>
        </w:tc>
      </w:tr>
      <w:tr>
        <w:tblPrEx>
          <w:tblLayout w:type="fixed"/>
          <w:tblCellMar>
            <w:top w:w="0" w:type="dxa"/>
            <w:left w:w="108" w:type="dxa"/>
            <w:bottom w:w="0" w:type="dxa"/>
            <w:right w:w="108" w:type="dxa"/>
          </w:tblCellMar>
        </w:tblPrEx>
        <w:trPr>
          <w:trHeight w:val="600" w:hRule="atLeast"/>
        </w:trPr>
        <w:tc>
          <w:tcPr>
            <w:tcW w:w="1637" w:type="dxa"/>
            <w:vMerge w:val="restart"/>
            <w:tcBorders>
              <w:top w:val="nil"/>
              <w:left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流动负债合计</w:t>
            </w:r>
          </w:p>
        </w:tc>
        <w:tc>
          <w:tcPr>
            <w:tcW w:w="198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应缴税费</w:t>
            </w:r>
          </w:p>
        </w:tc>
        <w:tc>
          <w:tcPr>
            <w:tcW w:w="198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4.59</w:t>
            </w:r>
          </w:p>
        </w:tc>
        <w:tc>
          <w:tcPr>
            <w:tcW w:w="180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2.18</w:t>
            </w:r>
          </w:p>
        </w:tc>
        <w:tc>
          <w:tcPr>
            <w:tcW w:w="144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-52.51</w:t>
            </w:r>
          </w:p>
        </w:tc>
      </w:tr>
      <w:tr>
        <w:tblPrEx>
          <w:tblLayout w:type="fixed"/>
          <w:tblCellMar>
            <w:top w:w="0" w:type="dxa"/>
            <w:left w:w="108" w:type="dxa"/>
            <w:bottom w:w="0" w:type="dxa"/>
            <w:right w:w="108" w:type="dxa"/>
          </w:tblCellMar>
        </w:tblPrEx>
        <w:trPr>
          <w:trHeight w:val="540" w:hRule="atLeast"/>
        </w:trPr>
        <w:tc>
          <w:tcPr>
            <w:tcW w:w="1637" w:type="dxa"/>
            <w:vMerge w:val="continue"/>
            <w:tcBorders>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98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其他应付款</w:t>
            </w:r>
          </w:p>
        </w:tc>
        <w:tc>
          <w:tcPr>
            <w:tcW w:w="198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94.00</w:t>
            </w:r>
          </w:p>
        </w:tc>
        <w:tc>
          <w:tcPr>
            <w:tcW w:w="180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25.56</w:t>
            </w:r>
          </w:p>
        </w:tc>
        <w:tc>
          <w:tcPr>
            <w:tcW w:w="144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-72.81</w:t>
            </w:r>
          </w:p>
        </w:tc>
      </w:tr>
      <w:tr>
        <w:tblPrEx>
          <w:tblLayout w:type="fixed"/>
          <w:tblCellMar>
            <w:top w:w="0" w:type="dxa"/>
            <w:left w:w="108" w:type="dxa"/>
            <w:bottom w:w="0" w:type="dxa"/>
            <w:right w:w="108" w:type="dxa"/>
          </w:tblCellMar>
        </w:tblPrEx>
        <w:trPr>
          <w:trHeight w:val="540" w:hRule="atLeast"/>
        </w:trPr>
        <w:tc>
          <w:tcPr>
            <w:tcW w:w="1637"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98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流动负债合计</w:t>
            </w:r>
          </w:p>
        </w:tc>
        <w:tc>
          <w:tcPr>
            <w:tcW w:w="198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98.60</w:t>
            </w:r>
          </w:p>
        </w:tc>
        <w:tc>
          <w:tcPr>
            <w:tcW w:w="180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27.75</w:t>
            </w:r>
          </w:p>
        </w:tc>
        <w:tc>
          <w:tcPr>
            <w:tcW w:w="144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-71.86</w:t>
            </w:r>
          </w:p>
        </w:tc>
      </w:tr>
      <w:tr>
        <w:tblPrEx>
          <w:tblLayout w:type="fixed"/>
          <w:tblCellMar>
            <w:top w:w="0" w:type="dxa"/>
            <w:left w:w="108" w:type="dxa"/>
            <w:bottom w:w="0" w:type="dxa"/>
            <w:right w:w="108" w:type="dxa"/>
          </w:tblCellMar>
        </w:tblPrEx>
        <w:trPr>
          <w:trHeight w:val="540" w:hRule="atLeast"/>
        </w:trPr>
        <w:tc>
          <w:tcPr>
            <w:tcW w:w="163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非流动负债合计</w:t>
            </w:r>
          </w:p>
        </w:tc>
        <w:tc>
          <w:tcPr>
            <w:tcW w:w="198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98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0</w:t>
            </w:r>
          </w:p>
        </w:tc>
        <w:tc>
          <w:tcPr>
            <w:tcW w:w="180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0</w:t>
            </w:r>
          </w:p>
        </w:tc>
        <w:tc>
          <w:tcPr>
            <w:tcW w:w="144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0</w:t>
            </w:r>
          </w:p>
        </w:tc>
      </w:tr>
      <w:tr>
        <w:tblPrEx>
          <w:tblLayout w:type="fixed"/>
          <w:tblCellMar>
            <w:top w:w="0" w:type="dxa"/>
            <w:left w:w="108" w:type="dxa"/>
            <w:bottom w:w="0" w:type="dxa"/>
            <w:right w:w="108" w:type="dxa"/>
          </w:tblCellMar>
        </w:tblPrEx>
        <w:trPr>
          <w:trHeight w:val="540" w:hRule="atLeast"/>
        </w:trPr>
        <w:tc>
          <w:tcPr>
            <w:tcW w:w="1637" w:type="dxa"/>
            <w:vMerge w:val="restart"/>
            <w:tcBorders>
              <w:top w:val="nil"/>
              <w:left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净资产合计</w:t>
            </w:r>
          </w:p>
        </w:tc>
        <w:tc>
          <w:tcPr>
            <w:tcW w:w="198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财政拨款结转和结余</w:t>
            </w:r>
          </w:p>
        </w:tc>
        <w:tc>
          <w:tcPr>
            <w:tcW w:w="1980" w:type="dxa"/>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color w:val="000000"/>
                <w:kern w:val="0"/>
                <w:sz w:val="20"/>
                <w:szCs w:val="20"/>
                <w:lang w:eastAsia="zh-CN"/>
              </w:rPr>
            </w:pPr>
            <w:r>
              <w:rPr>
                <w:rFonts w:hint="eastAsia" w:ascii="宋体" w:hAnsi="宋体" w:cs="宋体"/>
                <w:color w:val="000000"/>
                <w:kern w:val="0"/>
                <w:sz w:val="20"/>
                <w:szCs w:val="20"/>
                <w:lang w:val="en-US" w:eastAsia="zh-CN"/>
              </w:rPr>
              <w:t>106.76</w:t>
            </w:r>
          </w:p>
        </w:tc>
        <w:tc>
          <w:tcPr>
            <w:tcW w:w="180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143.94</w:t>
            </w:r>
          </w:p>
        </w:tc>
        <w:tc>
          <w:tcPr>
            <w:tcW w:w="144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34.83</w:t>
            </w:r>
          </w:p>
        </w:tc>
      </w:tr>
      <w:tr>
        <w:tblPrEx>
          <w:tblLayout w:type="fixed"/>
          <w:tblCellMar>
            <w:top w:w="0" w:type="dxa"/>
            <w:left w:w="108" w:type="dxa"/>
            <w:bottom w:w="0" w:type="dxa"/>
            <w:right w:w="108" w:type="dxa"/>
          </w:tblCellMar>
        </w:tblPrEx>
        <w:trPr>
          <w:trHeight w:val="540" w:hRule="atLeast"/>
        </w:trPr>
        <w:tc>
          <w:tcPr>
            <w:tcW w:w="1637" w:type="dxa"/>
            <w:vMerge w:val="continue"/>
            <w:tcBorders>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980" w:type="dxa"/>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color w:val="000000"/>
                <w:kern w:val="0"/>
                <w:sz w:val="20"/>
                <w:szCs w:val="20"/>
                <w:lang w:eastAsia="zh-CN"/>
              </w:rPr>
            </w:pPr>
            <w:r>
              <w:rPr>
                <w:rFonts w:hint="eastAsia" w:ascii="宋体" w:hAnsi="宋体" w:cs="宋体"/>
                <w:color w:val="000000"/>
                <w:kern w:val="0"/>
                <w:sz w:val="20"/>
                <w:szCs w:val="20"/>
              </w:rPr>
              <w:t>资产基金</w:t>
            </w:r>
            <w:r>
              <w:rPr>
                <w:rFonts w:hint="eastAsia" w:ascii="宋体" w:hAnsi="宋体" w:cs="宋体"/>
                <w:color w:val="000000"/>
                <w:kern w:val="0"/>
                <w:sz w:val="20"/>
                <w:szCs w:val="20"/>
                <w:lang w:eastAsia="zh-CN"/>
              </w:rPr>
              <w:t>（净值）</w:t>
            </w:r>
          </w:p>
        </w:tc>
        <w:tc>
          <w:tcPr>
            <w:tcW w:w="198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0</w:t>
            </w:r>
          </w:p>
        </w:tc>
        <w:tc>
          <w:tcPr>
            <w:tcW w:w="180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18.71</w:t>
            </w:r>
          </w:p>
        </w:tc>
        <w:tc>
          <w:tcPr>
            <w:tcW w:w="144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100</w:t>
            </w:r>
          </w:p>
        </w:tc>
      </w:tr>
      <w:tr>
        <w:tblPrEx>
          <w:tblLayout w:type="fixed"/>
          <w:tblCellMar>
            <w:top w:w="0" w:type="dxa"/>
            <w:left w:w="108" w:type="dxa"/>
            <w:bottom w:w="0" w:type="dxa"/>
            <w:right w:w="108" w:type="dxa"/>
          </w:tblCellMar>
        </w:tblPrEx>
        <w:trPr>
          <w:trHeight w:val="600" w:hRule="atLeast"/>
        </w:trPr>
        <w:tc>
          <w:tcPr>
            <w:tcW w:w="1637"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98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净资产总计</w:t>
            </w:r>
          </w:p>
        </w:tc>
        <w:tc>
          <w:tcPr>
            <w:tcW w:w="198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217.33</w:t>
            </w:r>
          </w:p>
        </w:tc>
        <w:tc>
          <w:tcPr>
            <w:tcW w:w="180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162.65</w:t>
            </w:r>
          </w:p>
        </w:tc>
        <w:tc>
          <w:tcPr>
            <w:tcW w:w="144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-25.16</w:t>
            </w:r>
          </w:p>
        </w:tc>
      </w:tr>
      <w:tr>
        <w:tblPrEx>
          <w:tblLayout w:type="fixed"/>
          <w:tblCellMar>
            <w:top w:w="0" w:type="dxa"/>
            <w:left w:w="108" w:type="dxa"/>
            <w:bottom w:w="0" w:type="dxa"/>
            <w:right w:w="108" w:type="dxa"/>
          </w:tblCellMar>
        </w:tblPrEx>
        <w:trPr>
          <w:trHeight w:val="705" w:hRule="atLeast"/>
        </w:trPr>
        <w:tc>
          <w:tcPr>
            <w:tcW w:w="163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98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98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8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44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720" w:hRule="atLeast"/>
        </w:trPr>
        <w:tc>
          <w:tcPr>
            <w:tcW w:w="163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国有资产总计</w:t>
            </w:r>
          </w:p>
        </w:tc>
        <w:tc>
          <w:tcPr>
            <w:tcW w:w="198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98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315.92</w:t>
            </w:r>
          </w:p>
        </w:tc>
        <w:tc>
          <w:tcPr>
            <w:tcW w:w="180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190.40</w:t>
            </w:r>
          </w:p>
        </w:tc>
        <w:tc>
          <w:tcPr>
            <w:tcW w:w="1440" w:type="dxa"/>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-39.73</w:t>
            </w:r>
          </w:p>
        </w:tc>
      </w:tr>
    </w:tbl>
    <w:p>
      <w:pPr>
        <w:pStyle w:val="9"/>
      </w:pPr>
      <w:r>
        <w:rPr>
          <w:rFonts w:ascii="宋体" w:hAnsi="宋体"/>
          <w:b/>
          <w:sz w:val="30"/>
          <w:szCs w:val="30"/>
        </w:rPr>
        <w:object>
          <v:shape id="_x0000_i1029" o:spt="75" type="#_x0000_t75" style="height:246.35pt;width:272.6pt;" o:ole="t" filled="f" o:preferrelative="t" stroked="f" coordsize="21600,21600">
            <v:path/>
            <v:fill on="f" focussize="0,0"/>
            <v:stroke on="f" joinstyle="miter"/>
            <v:imagedata r:id="rId13" o:title=""/>
            <o:lock v:ext="edit" aspectratio="t"/>
            <w10:wrap type="none"/>
            <w10:anchorlock/>
          </v:shape>
          <o:OLEObject Type="Embed" ProgID="MSGraph.Chart.8" ShapeID="_x0000_i1029" DrawAspect="Content" ObjectID="_1468075729" r:id="rId12">
            <o:LockedField>false</o:LockedField>
          </o:OLEObject>
        </w:object>
      </w:r>
      <w:r>
        <w:t>窗体顶端</w:t>
      </w:r>
    </w:p>
    <w:p>
      <w:pPr>
        <w:pStyle w:val="4"/>
        <w:keepNext w:val="0"/>
        <w:keepLines w:val="0"/>
        <w:widowControl/>
        <w:numPr>
          <w:ilvl w:val="0"/>
          <w:numId w:val="4"/>
        </w:numPr>
        <w:suppressLineNumbers w:val="0"/>
        <w:snapToGrid w:val="0"/>
        <w:spacing w:before="252" w:beforeAutospacing="0" w:after="100" w:afterAutospacing="0" w:line="580" w:lineRule="atLeast"/>
        <w:ind w:left="0" w:right="0" w:firstLine="600"/>
        <w:jc w:val="left"/>
        <w:rPr>
          <w:rFonts w:hint="eastAsia" w:ascii="黑体" w:hAnsi="黑体" w:eastAsia="黑体" w:cs="黑体"/>
          <w:sz w:val="36"/>
          <w:szCs w:val="36"/>
          <w:lang w:eastAsia="zh-CN"/>
        </w:rPr>
      </w:pPr>
      <w:r>
        <w:rPr>
          <w:rFonts w:hint="eastAsia" w:ascii="黑体" w:hAnsi="黑体" w:eastAsia="黑体" w:cs="黑体"/>
          <w:sz w:val="36"/>
          <w:szCs w:val="36"/>
          <w:lang w:eastAsia="zh-CN"/>
        </w:rPr>
        <w:t>政府采购支出情况</w:t>
      </w:r>
    </w:p>
    <w:p>
      <w:pPr>
        <w:pStyle w:val="4"/>
        <w:keepNext w:val="0"/>
        <w:keepLines w:val="0"/>
        <w:widowControl/>
        <w:numPr>
          <w:ilvl w:val="0"/>
          <w:numId w:val="0"/>
        </w:numPr>
        <w:suppressLineNumbers w:val="0"/>
        <w:snapToGrid w:val="0"/>
        <w:spacing w:before="252" w:beforeAutospacing="0" w:after="100" w:afterAutospacing="0" w:line="580" w:lineRule="atLeast"/>
        <w:ind w:left="600" w:leftChars="0" w:right="0" w:rightChars="0" w:firstLine="720" w:firstLineChars="200"/>
        <w:jc w:val="left"/>
        <w:rPr>
          <w:rFonts w:hint="eastAsia" w:ascii="楷体" w:hAnsi="楷体" w:eastAsia="楷体" w:cs="楷体"/>
          <w:b w:val="0"/>
          <w:bCs w:val="0"/>
          <w:sz w:val="36"/>
          <w:szCs w:val="36"/>
          <w:lang w:val="en-US" w:eastAsia="zh-CN"/>
        </w:rPr>
      </w:pPr>
      <w:r>
        <w:rPr>
          <w:rFonts w:hint="eastAsia" w:ascii="楷体" w:hAnsi="楷体" w:eastAsia="楷体" w:cs="楷体"/>
          <w:b w:val="0"/>
          <w:bCs w:val="0"/>
          <w:sz w:val="36"/>
          <w:szCs w:val="36"/>
          <w:lang w:val="en-US" w:eastAsia="zh-CN"/>
        </w:rPr>
        <w:t>2019年度本单位无采购支出情况</w:t>
      </w:r>
    </w:p>
    <w:p>
      <w:pPr>
        <w:pStyle w:val="4"/>
        <w:keepNext w:val="0"/>
        <w:keepLines w:val="0"/>
        <w:widowControl/>
        <w:numPr>
          <w:ilvl w:val="0"/>
          <w:numId w:val="4"/>
        </w:numPr>
        <w:suppressLineNumbers w:val="0"/>
        <w:snapToGrid w:val="0"/>
        <w:spacing w:before="252" w:beforeAutospacing="0" w:after="100" w:afterAutospacing="0" w:line="580" w:lineRule="atLeast"/>
        <w:ind w:left="0" w:leftChars="0" w:right="0" w:firstLine="600" w:firstLineChars="0"/>
        <w:jc w:val="left"/>
        <w:rPr>
          <w:rFonts w:hint="eastAsia" w:ascii="黑体" w:hAnsi="黑体" w:eastAsia="黑体" w:cs="黑体"/>
          <w:sz w:val="36"/>
          <w:szCs w:val="36"/>
          <w:lang w:eastAsia="zh-CN"/>
        </w:rPr>
      </w:pPr>
      <w:r>
        <w:rPr>
          <w:rFonts w:hint="eastAsia" w:ascii="黑体" w:hAnsi="黑体" w:eastAsia="黑体" w:cs="黑体"/>
          <w:sz w:val="36"/>
          <w:szCs w:val="36"/>
          <w:lang w:eastAsia="zh-CN"/>
        </w:rPr>
        <w:t>部门绩效自评情况</w:t>
      </w:r>
    </w:p>
    <w:p>
      <w:pPr>
        <w:pStyle w:val="4"/>
        <w:keepNext w:val="0"/>
        <w:keepLines w:val="0"/>
        <w:widowControl/>
        <w:suppressLineNumbers w:val="0"/>
        <w:snapToGrid w:val="0"/>
        <w:spacing w:before="252" w:beforeAutospacing="0" w:after="100" w:afterAutospacing="0" w:line="580" w:lineRule="atLeast"/>
        <w:ind w:left="0" w:right="0" w:firstLine="600"/>
        <w:jc w:val="left"/>
        <w:rPr>
          <w:rFonts w:hint="eastAsia" w:ascii="楷体" w:hAnsi="楷体" w:eastAsia="楷体" w:cs="楷体"/>
          <w:b/>
          <w:bCs/>
          <w:sz w:val="36"/>
          <w:szCs w:val="36"/>
          <w:lang w:val="en-US" w:eastAsia="zh-CN"/>
        </w:rPr>
      </w:pPr>
      <w:r>
        <w:rPr>
          <w:rFonts w:hint="eastAsia" w:ascii="楷体" w:hAnsi="楷体" w:eastAsia="楷体" w:cs="楷体"/>
          <w:b/>
          <w:bCs/>
          <w:sz w:val="36"/>
          <w:szCs w:val="36"/>
          <w:lang w:val="en-US" w:eastAsia="zh-CN"/>
        </w:rPr>
        <w:t>（一）2019年部门整体支出绩效自评报告(详见附表)</w:t>
      </w:r>
    </w:p>
    <w:p>
      <w:pPr>
        <w:pStyle w:val="4"/>
        <w:keepNext w:val="0"/>
        <w:keepLines w:val="0"/>
        <w:widowControl/>
        <w:suppressLineNumbers w:val="0"/>
        <w:snapToGrid w:val="0"/>
        <w:spacing w:before="252" w:beforeAutospacing="0" w:after="100" w:afterAutospacing="0" w:line="580" w:lineRule="atLeast"/>
        <w:ind w:left="0" w:right="0" w:firstLine="600"/>
        <w:jc w:val="left"/>
        <w:rPr>
          <w:rFonts w:hint="eastAsia" w:ascii="黑体" w:hAnsi="黑体" w:eastAsia="黑体" w:cs="黑体"/>
          <w:sz w:val="36"/>
          <w:szCs w:val="36"/>
          <w:lang w:val="en-US" w:eastAsia="zh-CN"/>
        </w:rPr>
      </w:pPr>
      <w:r>
        <w:rPr>
          <w:rFonts w:hint="eastAsia" w:ascii="楷体" w:hAnsi="楷体" w:eastAsia="楷体" w:cs="楷体"/>
          <w:b/>
          <w:bCs/>
          <w:sz w:val="36"/>
          <w:szCs w:val="36"/>
          <w:lang w:val="en-US" w:eastAsia="zh-CN"/>
        </w:rPr>
        <w:t>（二）2019年部门整体支出绩效自评表(详见附表)</w:t>
      </w:r>
    </w:p>
    <w:p>
      <w:pPr>
        <w:pStyle w:val="4"/>
        <w:keepNext w:val="0"/>
        <w:keepLines w:val="0"/>
        <w:widowControl/>
        <w:suppressLineNumbers w:val="0"/>
        <w:snapToGrid w:val="0"/>
        <w:spacing w:before="252" w:beforeAutospacing="0" w:after="100" w:afterAutospacing="0" w:line="580" w:lineRule="atLeast"/>
        <w:ind w:left="0" w:right="0" w:firstLine="600"/>
        <w:jc w:val="left"/>
        <w:rPr>
          <w:rFonts w:hint="eastAsia" w:ascii="方正仿宋简体" w:hAnsi="方正仿宋简体" w:eastAsia="方正仿宋简体" w:cs="方正仿宋简体"/>
          <w:sz w:val="21"/>
          <w:szCs w:val="21"/>
        </w:rPr>
      </w:pPr>
      <w:r>
        <w:rPr>
          <w:rFonts w:hint="eastAsia" w:ascii="黑体" w:hAnsi="黑体" w:eastAsia="黑体" w:cs="黑体"/>
          <w:sz w:val="36"/>
          <w:szCs w:val="36"/>
        </w:rPr>
        <w:t>第</w:t>
      </w:r>
      <w:r>
        <w:rPr>
          <w:rFonts w:hint="eastAsia" w:ascii="黑体" w:hAnsi="黑体" w:eastAsia="黑体" w:cs="黑体"/>
          <w:sz w:val="36"/>
          <w:szCs w:val="36"/>
          <w:lang w:eastAsia="zh-CN"/>
        </w:rPr>
        <w:t>五</w:t>
      </w:r>
      <w:r>
        <w:rPr>
          <w:rFonts w:hint="eastAsia" w:ascii="黑体" w:hAnsi="黑体" w:eastAsia="黑体" w:cs="黑体"/>
          <w:sz w:val="36"/>
          <w:szCs w:val="36"/>
        </w:rPr>
        <w:t>部分  其他重要事项情况说明</w:t>
      </w:r>
    </w:p>
    <w:p>
      <w:pPr>
        <w:pStyle w:val="4"/>
        <w:keepNext w:val="0"/>
        <w:keepLines w:val="0"/>
        <w:widowControl/>
        <w:suppressLineNumbers w:val="0"/>
        <w:snapToGrid w:val="0"/>
        <w:spacing w:before="252" w:beforeAutospacing="0" w:after="100" w:afterAutospacing="0" w:line="580" w:lineRule="atLeast"/>
        <w:ind w:left="0" w:right="0" w:firstLine="600"/>
        <w:jc w:val="left"/>
        <w:rPr>
          <w:rFonts w:hint="eastAsia" w:ascii="方正仿宋简体" w:hAnsi="方正仿宋简体" w:eastAsia="方正仿宋简体" w:cs="方正仿宋简体"/>
          <w:sz w:val="21"/>
          <w:szCs w:val="21"/>
          <w:u w:val="none"/>
        </w:rPr>
      </w:pPr>
      <w:r>
        <w:rPr>
          <w:rFonts w:hint="eastAsia" w:ascii="黑体" w:hAnsi="黑体" w:eastAsia="黑体" w:cs="黑体"/>
          <w:b w:val="0"/>
          <w:bCs w:val="0"/>
          <w:sz w:val="32"/>
          <w:szCs w:val="32"/>
          <w:u w:val="none"/>
          <w:lang w:eastAsia="zh-CN"/>
        </w:rPr>
        <w:t>（一）</w:t>
      </w:r>
      <w:r>
        <w:rPr>
          <w:rFonts w:hint="eastAsia" w:ascii="方正仿宋简体" w:hAnsi="方正仿宋简体" w:eastAsia="方正仿宋简体" w:cs="方正仿宋简体"/>
          <w:sz w:val="30"/>
          <w:szCs w:val="30"/>
          <w:u w:val="none"/>
        </w:rPr>
        <w:t>相关口径说明</w:t>
      </w:r>
    </w:p>
    <w:p>
      <w:pPr>
        <w:pStyle w:val="4"/>
        <w:keepNext w:val="0"/>
        <w:keepLines w:val="0"/>
        <w:widowControl/>
        <w:suppressLineNumbers w:val="0"/>
        <w:snapToGrid w:val="0"/>
        <w:spacing w:before="252" w:beforeAutospacing="0" w:after="100" w:afterAutospacing="0" w:line="580" w:lineRule="atLeast"/>
        <w:ind w:left="0" w:right="0" w:firstLine="640"/>
        <w:jc w:val="left"/>
        <w:rPr>
          <w:rFonts w:hint="eastAsia" w:ascii="方正仿宋简体" w:hAnsi="方正仿宋简体" w:eastAsia="方正仿宋简体" w:cs="方正仿宋简体"/>
          <w:sz w:val="21"/>
          <w:szCs w:val="21"/>
          <w:u w:val="none"/>
        </w:rPr>
      </w:pPr>
      <w:r>
        <w:rPr>
          <w:rFonts w:hint="eastAsia" w:ascii="方正仿宋简体" w:hAnsi="方正仿宋简体" w:eastAsia="方正仿宋简体" w:cs="方正仿宋简体"/>
          <w:sz w:val="32"/>
          <w:szCs w:val="32"/>
          <w:u w:val="none"/>
        </w:rPr>
        <w:t>1．基本支出中人员经费包括工资福利支出和对个人和家庭的补助，日常公用支出包括商品和服务支出、其他资本性支出等人员经费以外的支出。</w:t>
      </w:r>
    </w:p>
    <w:p>
      <w:pPr>
        <w:pStyle w:val="4"/>
        <w:keepNext w:val="0"/>
        <w:keepLines w:val="0"/>
        <w:widowControl/>
        <w:suppressLineNumbers w:val="0"/>
        <w:snapToGrid w:val="0"/>
        <w:spacing w:before="252" w:beforeAutospacing="0" w:after="100" w:afterAutospacing="0" w:line="580" w:lineRule="atLeast"/>
        <w:ind w:left="0" w:right="0" w:firstLine="640"/>
        <w:jc w:val="left"/>
        <w:rPr>
          <w:rFonts w:hint="eastAsia" w:ascii="方正仿宋简体" w:hAnsi="方正仿宋简体" w:eastAsia="方正仿宋简体" w:cs="方正仿宋简体"/>
          <w:sz w:val="21"/>
          <w:szCs w:val="21"/>
          <w:u w:val="none"/>
        </w:rPr>
      </w:pPr>
      <w:r>
        <w:rPr>
          <w:rFonts w:hint="eastAsia" w:ascii="方正仿宋简体" w:hAnsi="方正仿宋简体" w:eastAsia="方正仿宋简体" w:cs="方正仿宋简体"/>
          <w:sz w:val="32"/>
          <w:szCs w:val="32"/>
          <w:u w:val="none"/>
        </w:rPr>
        <w:t>2．机关运行经费指行政单位和参照公务员法管理的事业单位使用一般公共预算财政拨款安排的除人员经费以外的基本支出。</w:t>
      </w:r>
    </w:p>
    <w:p>
      <w:pPr>
        <w:pStyle w:val="4"/>
        <w:keepNext w:val="0"/>
        <w:keepLines w:val="0"/>
        <w:widowControl/>
        <w:suppressLineNumbers w:val="0"/>
        <w:snapToGrid w:val="0"/>
        <w:spacing w:before="252" w:beforeAutospacing="0" w:after="100" w:afterAutospacing="0" w:line="580" w:lineRule="atLeast"/>
        <w:ind w:left="0" w:right="0" w:firstLine="640"/>
        <w:jc w:val="left"/>
        <w:rPr>
          <w:rFonts w:hint="default" w:ascii="Times New Roman" w:hAnsi="Times New Roman" w:cs="Times New Roman"/>
          <w:sz w:val="21"/>
          <w:szCs w:val="21"/>
          <w:u w:val="none"/>
        </w:rPr>
      </w:pPr>
      <w:r>
        <w:rPr>
          <w:rFonts w:hint="eastAsia" w:ascii="方正仿宋简体" w:hAnsi="方正仿宋简体" w:eastAsia="方正仿宋简体" w:cs="方正仿宋简体"/>
          <w:sz w:val="32"/>
          <w:szCs w:val="32"/>
          <w:u w:val="none"/>
        </w:rPr>
        <w:t>3．按照党中央、国务院有关文件及部门预算管理有关规定，“三公”经费包括因公出国（境）费、公务用车购置及运行维护费、公务接待费。其中：因公出国（境）费，指单位工作人员公务出国（境）的国际旅费、国外城市间交通费、住宿费、伙食费、培训费、公杂费等支出；公务用车购置费，指单位公务用车车辆购置支出（含车辆购置税）；公务用车运行维护费，指单位按规定保留的公务用车租用费、燃料费、维修费、过路过桥费、保险费、安全奖励费用等支出；公务用车指用于履行公务的机动车辆，包括省部级干部专车、一般公务用车和执法执勤用车；公务接待费，指单位按规定开支的各类公务接待（含外宾接待）费用。</w:t>
      </w:r>
    </w:p>
    <w:p>
      <w:pPr>
        <w:pStyle w:val="10"/>
        <w:rPr>
          <w:u w:val="none"/>
        </w:rPr>
      </w:pPr>
      <w:r>
        <w:rPr>
          <w:u w:val="none"/>
        </w:rPr>
        <w:t>窗体底端</w:t>
      </w:r>
    </w:p>
    <w:p>
      <w:pPr>
        <w:numPr>
          <w:ilvl w:val="0"/>
          <w:numId w:val="0"/>
        </w:numPr>
        <w:ind w:firstLine="640" w:firstLineChars="200"/>
        <w:rPr>
          <w:rFonts w:hint="eastAsia" w:ascii="黑体" w:hAnsi="黑体" w:eastAsia="黑体" w:cs="黑体"/>
          <w:b w:val="0"/>
          <w:bCs w:val="0"/>
          <w:sz w:val="32"/>
          <w:szCs w:val="32"/>
          <w:u w:val="none"/>
        </w:rPr>
      </w:pPr>
      <w:r>
        <w:rPr>
          <w:rFonts w:hint="eastAsia" w:ascii="黑体" w:hAnsi="黑体" w:eastAsia="黑体" w:cs="黑体"/>
          <w:b w:val="0"/>
          <w:bCs w:val="0"/>
          <w:sz w:val="32"/>
          <w:szCs w:val="32"/>
          <w:u w:val="none"/>
          <w:lang w:eastAsia="zh-CN"/>
        </w:rPr>
        <w:t>（二）</w:t>
      </w:r>
      <w:r>
        <w:rPr>
          <w:rFonts w:hint="eastAsia" w:ascii="黑体" w:hAnsi="黑体" w:eastAsia="黑体" w:cs="黑体"/>
          <w:b w:val="0"/>
          <w:bCs w:val="0"/>
          <w:sz w:val="32"/>
          <w:szCs w:val="32"/>
          <w:u w:val="none"/>
        </w:rPr>
        <w:t>年末收支结余情况</w:t>
      </w:r>
    </w:p>
    <w:p>
      <w:pPr>
        <w:numPr>
          <w:ilvl w:val="0"/>
          <w:numId w:val="0"/>
        </w:num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项目经费结余</w:t>
      </w:r>
      <w:r>
        <w:rPr>
          <w:rFonts w:hint="eastAsia" w:ascii="仿宋" w:hAnsi="仿宋" w:eastAsia="仿宋" w:cs="仿宋"/>
          <w:sz w:val="32"/>
          <w:szCs w:val="32"/>
          <w:u w:val="none"/>
          <w:lang w:val="en-US" w:eastAsia="zh-CN"/>
        </w:rPr>
        <w:t>143.94</w:t>
      </w:r>
      <w:r>
        <w:rPr>
          <w:rFonts w:hint="eastAsia" w:ascii="仿宋" w:hAnsi="仿宋" w:eastAsia="仿宋" w:cs="仿宋"/>
          <w:sz w:val="32"/>
          <w:szCs w:val="32"/>
          <w:u w:val="none"/>
        </w:rPr>
        <w:t>万元，（其中,  其他政府办公厅（室）及相关机构事务支出</w:t>
      </w:r>
      <w:r>
        <w:rPr>
          <w:rFonts w:hint="eastAsia" w:ascii="仿宋" w:hAnsi="仿宋" w:eastAsia="仿宋" w:cs="仿宋"/>
          <w:sz w:val="32"/>
          <w:szCs w:val="32"/>
          <w:u w:val="none"/>
          <w:lang w:val="en-US" w:eastAsia="zh-CN"/>
        </w:rPr>
        <w:t>30.00</w:t>
      </w:r>
      <w:r>
        <w:rPr>
          <w:rFonts w:hint="eastAsia" w:ascii="仿宋" w:hAnsi="仿宋" w:eastAsia="仿宋" w:cs="仿宋"/>
          <w:sz w:val="32"/>
          <w:szCs w:val="32"/>
          <w:u w:val="none"/>
        </w:rPr>
        <w:t>万元，行政运行</w:t>
      </w:r>
      <w:r>
        <w:rPr>
          <w:rFonts w:hint="eastAsia" w:ascii="仿宋" w:hAnsi="仿宋" w:eastAsia="仿宋" w:cs="仿宋"/>
          <w:sz w:val="32"/>
          <w:szCs w:val="32"/>
          <w:u w:val="none"/>
          <w:lang w:eastAsia="zh-CN"/>
        </w:rPr>
        <w:t>支出20</w:t>
      </w:r>
      <w:r>
        <w:rPr>
          <w:rFonts w:hint="eastAsia" w:ascii="仿宋" w:hAnsi="仿宋" w:eastAsia="仿宋" w:cs="仿宋"/>
          <w:sz w:val="32"/>
          <w:szCs w:val="32"/>
          <w:u w:val="none"/>
          <w:lang w:val="en-US" w:eastAsia="zh-CN"/>
        </w:rPr>
        <w:t>.76万元，一般行政管理事务30.00万元，其他共产党事务48.18万元，</w:t>
      </w:r>
      <w:r>
        <w:rPr>
          <w:rFonts w:hint="eastAsia" w:ascii="仿宋" w:hAnsi="仿宋" w:eastAsia="仿宋" w:cs="仿宋"/>
          <w:sz w:val="32"/>
          <w:szCs w:val="32"/>
          <w:u w:val="none"/>
        </w:rPr>
        <w:t>公共安全事务支出经费</w:t>
      </w:r>
      <w:r>
        <w:rPr>
          <w:rFonts w:hint="eastAsia" w:ascii="仿宋" w:hAnsi="仿宋" w:eastAsia="仿宋" w:cs="仿宋"/>
          <w:sz w:val="32"/>
          <w:szCs w:val="32"/>
          <w:u w:val="none"/>
          <w:lang w:val="en-US" w:eastAsia="zh-CN"/>
        </w:rPr>
        <w:t>45.00</w:t>
      </w:r>
      <w:r>
        <w:rPr>
          <w:rFonts w:hint="eastAsia" w:ascii="仿宋" w:hAnsi="仿宋" w:eastAsia="仿宋" w:cs="仿宋"/>
          <w:sz w:val="32"/>
          <w:szCs w:val="32"/>
          <w:u w:val="none"/>
        </w:rPr>
        <w:t>万元。</w:t>
      </w:r>
    </w:p>
    <w:p>
      <w:pPr>
        <w:ind w:firstLine="640" w:firstLineChars="200"/>
        <w:rPr>
          <w:rFonts w:hint="eastAsia" w:ascii="黑体" w:hAnsi="黑体" w:eastAsia="黑体" w:cs="黑体"/>
          <w:b w:val="0"/>
          <w:bCs w:val="0"/>
          <w:sz w:val="32"/>
          <w:szCs w:val="32"/>
          <w:u w:val="none"/>
        </w:rPr>
      </w:pPr>
      <w:r>
        <w:rPr>
          <w:rFonts w:hint="eastAsia" w:ascii="黑体" w:hAnsi="黑体" w:eastAsia="黑体" w:cs="黑体"/>
          <w:b w:val="0"/>
          <w:bCs w:val="0"/>
          <w:sz w:val="32"/>
          <w:szCs w:val="32"/>
          <w:u w:val="none"/>
          <w:lang w:eastAsia="zh-CN"/>
        </w:rPr>
        <w:t>（三）</w:t>
      </w:r>
      <w:r>
        <w:rPr>
          <w:rFonts w:hint="eastAsia" w:ascii="黑体" w:hAnsi="黑体" w:eastAsia="黑体" w:cs="黑体"/>
          <w:b w:val="0"/>
          <w:bCs w:val="0"/>
          <w:sz w:val="32"/>
          <w:szCs w:val="32"/>
          <w:u w:val="none"/>
        </w:rPr>
        <w:t>本年度部门财务决算工作开展情况</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lang w:eastAsia="zh-CN"/>
        </w:rPr>
        <w:t>本单位</w:t>
      </w:r>
      <w:r>
        <w:rPr>
          <w:rFonts w:hint="eastAsia" w:ascii="仿宋" w:hAnsi="仿宋" w:eastAsia="仿宋" w:cs="仿宋"/>
          <w:sz w:val="32"/>
          <w:szCs w:val="32"/>
          <w:u w:val="none"/>
        </w:rPr>
        <w:t>年度决算工作，坚持全面完整、科学规范，按照部门决算的要求，认真编制决算报表，严格执行行政单位财务管理制度，做到收支两条线，财务账务日清月结，实事求是的编报决算报表，审核无误，做到帐表一致，并且按照相关规定，及时、准确的对我单位的决算数据进行公开。对支出实行分类管理，支出安排上做到有预算安排、有支出标准、有制度依据，维护决算的严肃性和权威性；坚持勤俭节约、从紧必需的原则，严格控制消费支出。加强会议费、招待费、差旅费、办公费等支出管理，切实强化成本意识，努力降低管理成本，提高资金使用效益。</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第一，核对年度预算。核对年度预算是年终清理结账、做好决算报表的首要任务，包括核对财政拨款数、国库集中支付预算执行情况对等。</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第二，清理核对各项预算内外收支款项。检查本年各项收入是否都已入账，往来账是否有挂账现象，应缴预算收入是否已上缴国库。</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第三，清理往来业务款项。各项应收应付的往来款年终前应尽量清理完毕。未清理的列出清单，结转下年。</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第四，清查货币资金和各项财务物资。</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银行存款余额要同银行对账单余额核对相符。库存各类现金应尽可能于12月31日前存入银行，各种财产物资年终是否已全部入账，对固定资产进行清查盘点。如有差异，应查明原因，按规定进行账务处理，做到账账、账实相符。</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第五，财务人员应按照规定，用红字更正方法，对以前的会计差错进行更正，以保证在结账前收入类科目有借方发生额、支出类科目无贷方发生额，使会计余额表的累计发生额准确，充分利用结转收入结余后的余额表。</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第六，做好结账工作。在正确结转收入、支出、结余的基础上编制决算报表。</w:t>
      </w:r>
    </w:p>
    <w:p>
      <w:pPr>
        <w:ind w:firstLine="640" w:firstLineChars="200"/>
        <w:rPr>
          <w:rFonts w:hint="eastAsia" w:ascii="黑体" w:hAnsi="黑体" w:eastAsia="黑体" w:cs="黑体"/>
          <w:sz w:val="32"/>
          <w:szCs w:val="32"/>
          <w:u w:val="none"/>
        </w:rPr>
      </w:pPr>
      <w:r>
        <w:rPr>
          <w:rFonts w:hint="eastAsia" w:ascii="黑体" w:hAnsi="黑体" w:eastAsia="黑体" w:cs="黑体"/>
          <w:sz w:val="32"/>
          <w:szCs w:val="32"/>
          <w:u w:val="none"/>
          <w:lang w:eastAsia="zh-CN"/>
        </w:rPr>
        <w:t>（四）201</w:t>
      </w:r>
      <w:r>
        <w:rPr>
          <w:rFonts w:hint="eastAsia" w:ascii="黑体" w:hAnsi="黑体" w:eastAsia="黑体" w:cs="黑体"/>
          <w:sz w:val="32"/>
          <w:szCs w:val="32"/>
          <w:u w:val="none"/>
          <w:lang w:val="en-US" w:eastAsia="zh-CN"/>
        </w:rPr>
        <w:t>9</w:t>
      </w:r>
      <w:r>
        <w:rPr>
          <w:rFonts w:hint="eastAsia" w:ascii="黑体" w:hAnsi="黑体" w:eastAsia="黑体" w:cs="黑体"/>
          <w:sz w:val="32"/>
          <w:szCs w:val="32"/>
          <w:u w:val="none"/>
        </w:rPr>
        <w:t>年度取得的成效</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1、维护社会政治大局持续稳定。</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2、做到源头预防、建立健全处置机制，为积极预防和妥善处置影响社会稳定的纠纷隐患和案件工作奠定了基础。</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3、各类违法犯罪活动明显减少，社会管控能力全面提升。</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4、严防邪教传播蔓延，维护了基层政权的稳定。</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5、创新社会管理、夯实基层基础，深入推进平安维西建设提供了积极的作用。</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6、开展法制宣传教育，规范公正执法活动，不断提高了干群依法办事能力。</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7、围绕“五个能力”建设，大力加强政法队伍建设。</w:t>
      </w:r>
    </w:p>
    <w:p>
      <w:pPr>
        <w:ind w:firstLine="640" w:firstLineChars="200"/>
        <w:rPr>
          <w:rFonts w:hint="eastAsia" w:ascii="仿宋" w:hAnsi="仿宋" w:eastAsia="仿宋" w:cs="仿宋"/>
          <w:b w:val="0"/>
          <w:bCs w:val="0"/>
          <w:sz w:val="32"/>
          <w:szCs w:val="32"/>
          <w:u w:val="none"/>
        </w:rPr>
      </w:pPr>
      <w:r>
        <w:rPr>
          <w:rFonts w:hint="eastAsia" w:ascii="黑体" w:hAnsi="黑体" w:eastAsia="黑体" w:cs="黑体"/>
          <w:b w:val="0"/>
          <w:bCs w:val="0"/>
          <w:sz w:val="32"/>
          <w:szCs w:val="32"/>
          <w:u w:val="none"/>
          <w:lang w:eastAsia="zh-CN"/>
        </w:rPr>
        <w:t>（五）</w:t>
      </w:r>
      <w:r>
        <w:rPr>
          <w:rFonts w:hint="eastAsia" w:ascii="黑体" w:hAnsi="黑体" w:eastAsia="黑体" w:cs="黑体"/>
          <w:b w:val="0"/>
          <w:bCs w:val="0"/>
          <w:sz w:val="32"/>
          <w:szCs w:val="32"/>
          <w:u w:val="none"/>
        </w:rPr>
        <w:t>决算编制中存在的问题及改进建议</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1、科学合理编制预算，严格执行预算</w:t>
      </w:r>
      <w:r>
        <w:rPr>
          <w:rFonts w:hint="eastAsia" w:ascii="仿宋" w:hAnsi="仿宋" w:eastAsia="仿宋" w:cs="仿宋"/>
          <w:sz w:val="32"/>
          <w:szCs w:val="32"/>
          <w:u w:val="none"/>
          <w:lang w:eastAsia="zh-CN"/>
        </w:rPr>
        <w:t>。</w:t>
      </w:r>
      <w:r>
        <w:rPr>
          <w:rFonts w:hint="eastAsia" w:ascii="仿宋" w:hAnsi="仿宋" w:eastAsia="仿宋" w:cs="仿宋"/>
          <w:sz w:val="32"/>
          <w:szCs w:val="32"/>
          <w:u w:val="none"/>
        </w:rPr>
        <w:t>加强预算编制的前瞻性，按照新《预算法》及其实施条例的相关规定，按政策规定及本部门的发展规划，结合上一年度预算执行情况和本年度预算收支变化因素，科学、合理地编制本年预算草案，避免项目支出与基本支出划分不准或预算支出与实际执行出现较大偏差的情况，执行中确需调剂预算的，按规定程序报经批准</w:t>
      </w:r>
      <w:r>
        <w:rPr>
          <w:rFonts w:hint="eastAsia" w:ascii="仿宋" w:hAnsi="仿宋" w:eastAsia="仿宋" w:cs="仿宋"/>
          <w:sz w:val="32"/>
          <w:szCs w:val="32"/>
          <w:u w:val="none"/>
          <w:lang w:eastAsia="zh-CN"/>
        </w:rPr>
        <w:t>，以提高</w:t>
      </w:r>
      <w:r>
        <w:rPr>
          <w:rFonts w:hint="eastAsia" w:ascii="仿宋" w:hAnsi="仿宋" w:eastAsia="仿宋" w:cs="仿宋"/>
          <w:sz w:val="32"/>
          <w:szCs w:val="32"/>
          <w:u w:val="none"/>
        </w:rPr>
        <w:t>部门预算编制的合理性、严谨性，确保预算编制全覆盖。</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lang w:val="en-US" w:eastAsia="zh-CN"/>
        </w:rPr>
        <w:t>2、</w:t>
      </w:r>
      <w:r>
        <w:rPr>
          <w:rFonts w:hint="eastAsia" w:ascii="仿宋" w:hAnsi="仿宋" w:eastAsia="仿宋" w:cs="仿宋"/>
          <w:sz w:val="32"/>
          <w:szCs w:val="32"/>
          <w:u w:val="none"/>
        </w:rPr>
        <w:t>规范账务处理，提高财务信息质量</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严格按照《会计法》、《行政单位会计制度》、《行政单位财务规则》等规定执行财务核算，并结合实际情况，完整、准确地披露相关信息，尽可能地做到决算与预算相衔接。严格执行财务制度，严把制度关，进一步贯彻落实中央八项规定，厉行节约，加强经费审批和控制，规范支出标准和范围</w:t>
      </w:r>
      <w:r>
        <w:rPr>
          <w:rFonts w:hint="eastAsia" w:ascii="仿宋" w:hAnsi="仿宋" w:eastAsia="仿宋" w:cs="仿宋"/>
          <w:sz w:val="32"/>
          <w:szCs w:val="32"/>
          <w:u w:val="none"/>
          <w:lang w:eastAsia="zh-CN"/>
        </w:rPr>
        <w:t>，特别是</w:t>
      </w:r>
      <w:r>
        <w:rPr>
          <w:rFonts w:hint="eastAsia" w:ascii="仿宋" w:hAnsi="仿宋" w:eastAsia="仿宋" w:cs="仿宋"/>
          <w:sz w:val="32"/>
          <w:szCs w:val="32"/>
          <w:u w:val="none"/>
        </w:rPr>
        <w:t>建立本部门“三公经费”等公务支出管理制度及厉行节约制度，加强经费审批和控制，规范支出标准与范围，并严格执行。</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lang w:val="en-US" w:eastAsia="zh-CN"/>
        </w:rPr>
        <w:t>3、</w:t>
      </w:r>
      <w:r>
        <w:rPr>
          <w:rFonts w:hint="eastAsia" w:ascii="仿宋" w:hAnsi="仿宋" w:eastAsia="仿宋" w:cs="仿宋"/>
          <w:sz w:val="32"/>
          <w:szCs w:val="32"/>
          <w:u w:val="none"/>
        </w:rPr>
        <w:t>财务人员业务素质有待进一步提高，必须强化树立公仆服务意识，真正做人民的勤务员。</w:t>
      </w:r>
    </w:p>
    <w:p>
      <w:pPr>
        <w:pStyle w:val="9"/>
        <w:rPr>
          <w:u w:val="none"/>
        </w:rPr>
      </w:pPr>
      <w:r>
        <w:rPr>
          <w:u w:val="none"/>
        </w:rPr>
        <w:t>窗体顶端</w:t>
      </w:r>
    </w:p>
    <w:p>
      <w:pPr>
        <w:pStyle w:val="4"/>
        <w:keepNext w:val="0"/>
        <w:keepLines w:val="0"/>
        <w:widowControl/>
        <w:suppressLineNumbers w:val="0"/>
        <w:spacing w:before="150" w:beforeAutospacing="0" w:after="0" w:afterAutospacing="0" w:line="580" w:lineRule="atLeast"/>
        <w:ind w:left="0" w:right="0"/>
        <w:jc w:val="center"/>
        <w:rPr>
          <w:rFonts w:hint="eastAsia" w:ascii="黑体" w:hAnsi="黑体" w:eastAsia="黑体" w:cs="黑体"/>
          <w:sz w:val="36"/>
          <w:szCs w:val="36"/>
          <w:u w:val="none"/>
        </w:rPr>
      </w:pPr>
      <w:r>
        <w:rPr>
          <w:rFonts w:hint="eastAsia" w:ascii="黑体" w:hAnsi="黑体" w:eastAsia="黑体" w:cs="黑体"/>
          <w:sz w:val="36"/>
          <w:szCs w:val="36"/>
          <w:u w:val="none"/>
        </w:rPr>
        <w:t>第</w:t>
      </w:r>
      <w:r>
        <w:rPr>
          <w:rFonts w:hint="eastAsia" w:ascii="黑体" w:hAnsi="黑体" w:eastAsia="黑体" w:cs="黑体"/>
          <w:sz w:val="36"/>
          <w:szCs w:val="36"/>
          <w:u w:val="none"/>
          <w:lang w:eastAsia="zh-CN"/>
        </w:rPr>
        <w:t>五</w:t>
      </w:r>
      <w:r>
        <w:rPr>
          <w:rFonts w:hint="eastAsia" w:ascii="黑体" w:hAnsi="黑体" w:eastAsia="黑体" w:cs="黑体"/>
          <w:sz w:val="36"/>
          <w:szCs w:val="36"/>
          <w:u w:val="none"/>
        </w:rPr>
        <w:t>部分  名词解释</w:t>
      </w:r>
    </w:p>
    <w:p>
      <w:pPr>
        <w:numPr>
          <w:ilvl w:val="0"/>
          <w:numId w:val="5"/>
        </w:numPr>
        <w:rPr>
          <w:rFonts w:hint="eastAsia" w:ascii="仿宋_GB2312" w:hAnsi="仿宋_GB2312" w:eastAsia="仿宋_GB2312" w:cs="仿宋_GB2312"/>
          <w:b/>
          <w:bCs/>
          <w:color w:val="000000"/>
          <w:sz w:val="32"/>
          <w:szCs w:val="32"/>
          <w:shd w:val="clear" w:color="auto" w:fill="FFFFFF"/>
        </w:rPr>
      </w:pPr>
      <w:r>
        <w:rPr>
          <w:rFonts w:hint="eastAsia" w:ascii="仿宋_GB2312" w:hAnsi="仿宋_GB2312" w:eastAsia="仿宋_GB2312" w:cs="仿宋_GB2312"/>
          <w:b/>
          <w:bCs/>
          <w:color w:val="000000"/>
          <w:sz w:val="32"/>
          <w:szCs w:val="32"/>
          <w:shd w:val="clear" w:color="auto" w:fill="FFFFFF"/>
        </w:rPr>
        <w:t>专业名词解释</w:t>
      </w:r>
    </w:p>
    <w:p>
      <w:pPr>
        <w:widowControl/>
        <w:shd w:val="clear" w:color="auto" w:fill="FFFFFF"/>
        <w:wordWrap w:val="0"/>
        <w:spacing w:before="100" w:beforeAutospacing="1" w:after="100" w:afterAutospacing="1"/>
        <w:ind w:firstLine="640"/>
        <w:jc w:val="left"/>
        <w:rPr>
          <w:rFonts w:ascii="宋体" w:hAnsi="宋体" w:cs="宋体"/>
          <w:color w:val="333333"/>
          <w:kern w:val="0"/>
          <w:sz w:val="24"/>
        </w:rPr>
      </w:pPr>
      <w:r>
        <w:rPr>
          <w:rFonts w:hint="eastAsia" w:ascii="仿宋_GB2312" w:hAnsi="宋体" w:eastAsia="仿宋_GB2312" w:cs="宋体"/>
          <w:color w:val="333333"/>
          <w:kern w:val="0"/>
          <w:sz w:val="32"/>
          <w:szCs w:val="32"/>
        </w:rPr>
        <w:t>【一般公共预算收入】</w:t>
      </w:r>
    </w:p>
    <w:p>
      <w:pPr>
        <w:widowControl/>
        <w:shd w:val="clear" w:color="auto" w:fill="FFFFFF"/>
        <w:wordWrap w:val="0"/>
        <w:spacing w:before="100" w:beforeAutospacing="1" w:after="100" w:afterAutospacing="1"/>
        <w:ind w:firstLine="640"/>
        <w:jc w:val="left"/>
        <w:rPr>
          <w:rFonts w:hint="eastAsia" w:ascii="方正仿宋_GBK" w:hAnsi="宋体" w:eastAsia="方正仿宋_GBK" w:cs="宋体"/>
          <w:color w:val="333333"/>
          <w:kern w:val="0"/>
          <w:sz w:val="24"/>
        </w:rPr>
      </w:pPr>
      <w:r>
        <w:rPr>
          <w:rFonts w:hint="eastAsia" w:ascii="方正仿宋_GBK" w:hAnsi="宋体" w:eastAsia="方正仿宋_GBK" w:cs="宋体"/>
          <w:color w:val="333333"/>
          <w:kern w:val="0"/>
          <w:sz w:val="32"/>
          <w:szCs w:val="32"/>
        </w:rPr>
        <w:t>一般公共预算收入是指政府凭借国家政治权力，以社会管理者身份筹集以税收为主体的财政收入，主要用于保障和改善民生、维持国家行政职能正常运转、保障国家安全等方面。包括税收收入和非税收入，其中：税收收入主要包括增值税、营业税、企业所得税、个人所得税等，非税收入主要包括纳入预算管理的行政性收费、罚没收入、专项收入、国有资源（资产）有偿使用收入等。</w:t>
      </w:r>
    </w:p>
    <w:p>
      <w:pPr>
        <w:widowControl/>
        <w:shd w:val="clear" w:color="auto" w:fill="FFFFFF"/>
        <w:wordWrap w:val="0"/>
        <w:spacing w:before="100" w:beforeAutospacing="1" w:after="100" w:afterAutospacing="1"/>
        <w:ind w:firstLine="640"/>
        <w:jc w:val="left"/>
        <w:rPr>
          <w:rFonts w:ascii="宋体" w:hAnsi="宋体" w:cs="宋体"/>
          <w:color w:val="333333"/>
          <w:kern w:val="0"/>
          <w:sz w:val="24"/>
        </w:rPr>
      </w:pPr>
      <w:r>
        <w:rPr>
          <w:rFonts w:hint="eastAsia" w:ascii="仿宋_GB2312" w:hAnsi="宋体" w:eastAsia="仿宋_GB2312" w:cs="宋体"/>
          <w:color w:val="333333"/>
          <w:kern w:val="0"/>
          <w:sz w:val="32"/>
          <w:szCs w:val="32"/>
        </w:rPr>
        <w:t>【一般公共预算支出】</w:t>
      </w:r>
    </w:p>
    <w:p>
      <w:pPr>
        <w:widowControl/>
        <w:shd w:val="clear" w:color="auto" w:fill="FFFFFF"/>
        <w:wordWrap w:val="0"/>
        <w:spacing w:before="100" w:beforeAutospacing="1" w:after="100" w:afterAutospacing="1"/>
        <w:ind w:firstLine="640"/>
        <w:jc w:val="left"/>
        <w:rPr>
          <w:rFonts w:hint="eastAsia" w:ascii="方正仿宋_GBK" w:hAnsi="宋体" w:eastAsia="方正仿宋_GBK" w:cs="宋体"/>
          <w:color w:val="333333"/>
          <w:kern w:val="0"/>
          <w:sz w:val="24"/>
        </w:rPr>
      </w:pPr>
      <w:r>
        <w:rPr>
          <w:rFonts w:hint="eastAsia" w:ascii="方正仿宋_GBK" w:hAnsi="宋体" w:eastAsia="方正仿宋_GBK" w:cs="宋体"/>
          <w:color w:val="333333"/>
          <w:kern w:val="0"/>
          <w:sz w:val="32"/>
          <w:szCs w:val="32"/>
        </w:rPr>
        <w:t>一般公共预算支出是指通过一般公共预算收入统筹安排的支出。其功能分类范围主要包括：一般公共服务、公共安全、教育、科学技术、文化体育与传媒、社会保障和就业、医疗卫生、节能环保、城乡社区事务、农林水事务、交通运输、商业服务业等事务、国土资源气象等事物、住房保障支出等。</w:t>
      </w:r>
    </w:p>
    <w:p>
      <w:pPr>
        <w:widowControl/>
        <w:shd w:val="clear" w:color="auto" w:fill="FFFFFF"/>
        <w:wordWrap w:val="0"/>
        <w:spacing w:before="100" w:beforeAutospacing="1" w:after="100" w:afterAutospacing="1"/>
        <w:ind w:firstLine="640"/>
        <w:jc w:val="left"/>
        <w:rPr>
          <w:rFonts w:ascii="宋体" w:hAnsi="宋体" w:cs="宋体"/>
          <w:color w:val="333333"/>
          <w:kern w:val="0"/>
          <w:sz w:val="24"/>
        </w:rPr>
      </w:pPr>
      <w:r>
        <w:rPr>
          <w:rFonts w:hint="eastAsia" w:ascii="仿宋_GB2312" w:hAnsi="宋体" w:eastAsia="仿宋_GB2312" w:cs="宋体"/>
          <w:color w:val="333333"/>
          <w:kern w:val="0"/>
          <w:sz w:val="32"/>
          <w:szCs w:val="32"/>
        </w:rPr>
        <w:t>【三公经费】</w:t>
      </w:r>
    </w:p>
    <w:p>
      <w:pPr>
        <w:widowControl/>
        <w:shd w:val="clear" w:color="auto" w:fill="FFFFFF"/>
        <w:wordWrap w:val="0"/>
        <w:spacing w:before="100" w:beforeAutospacing="1" w:after="100" w:afterAutospacing="1"/>
        <w:ind w:firstLine="640"/>
        <w:jc w:val="left"/>
        <w:rPr>
          <w:rFonts w:hint="eastAsia" w:ascii="方正仿宋_GBK" w:hAnsi="宋体" w:eastAsia="方正仿宋_GBK" w:cs="宋体"/>
          <w:color w:val="333333"/>
          <w:kern w:val="0"/>
          <w:sz w:val="24"/>
        </w:rPr>
      </w:pPr>
      <w:r>
        <w:rPr>
          <w:rFonts w:hint="eastAsia" w:ascii="方正仿宋_GBK" w:hAnsi="宋体" w:eastAsia="方正仿宋_GBK" w:cs="宋体"/>
          <w:color w:val="333333"/>
          <w:kern w:val="0"/>
          <w:sz w:val="32"/>
          <w:szCs w:val="32"/>
        </w:rPr>
        <w:t>三公”经费预算数是指各部门从年初预算安排用于因公出国（境）费用、公务用车购置及运行维护费、公务接待费用的预算数。其中，因公出国（境）费，指单位工作人员公务出国（境）的住宿费、差旅费、伙食补助费、杂费、培训费等支出；公务用车购置及运行维护费，指单位公务用车购置费及租用费、燃料费、维修费、过路过桥费、保险费等支出；公务接待费，指单位按规定开支的各类公务接待支出。</w:t>
      </w:r>
    </w:p>
    <w:p>
      <w:pPr>
        <w:widowControl/>
        <w:shd w:val="clear" w:color="auto" w:fill="FFFFFF"/>
        <w:wordWrap w:val="0"/>
        <w:spacing w:before="100" w:beforeAutospacing="1" w:after="100" w:afterAutospacing="1"/>
        <w:ind w:firstLine="640"/>
        <w:jc w:val="left"/>
        <w:rPr>
          <w:rFonts w:ascii="宋体" w:hAnsi="宋体" w:cs="宋体"/>
          <w:color w:val="333333"/>
          <w:kern w:val="0"/>
          <w:sz w:val="24"/>
        </w:rPr>
      </w:pPr>
      <w:r>
        <w:rPr>
          <w:rFonts w:hint="eastAsia" w:ascii="仿宋_GB2312" w:hAnsi="宋体" w:eastAsia="仿宋_GB2312" w:cs="宋体"/>
          <w:color w:val="333333"/>
          <w:kern w:val="0"/>
          <w:sz w:val="32"/>
          <w:szCs w:val="32"/>
        </w:rPr>
        <w:t>【国有资本经营预算】</w:t>
      </w:r>
    </w:p>
    <w:p>
      <w:pPr>
        <w:widowControl/>
        <w:shd w:val="clear" w:color="auto" w:fill="FFFFFF"/>
        <w:wordWrap w:val="0"/>
        <w:spacing w:before="100" w:beforeAutospacing="1" w:after="100" w:afterAutospacing="1"/>
        <w:ind w:firstLine="640"/>
        <w:jc w:val="left"/>
        <w:rPr>
          <w:rFonts w:hint="eastAsia" w:ascii="方正仿宋_GBK" w:hAnsi="宋体" w:eastAsia="方正仿宋_GBK" w:cs="宋体"/>
          <w:color w:val="333333"/>
          <w:kern w:val="0"/>
          <w:sz w:val="24"/>
        </w:rPr>
      </w:pPr>
      <w:r>
        <w:rPr>
          <w:rFonts w:hint="eastAsia" w:ascii="方正仿宋_GBK" w:hAnsi="宋体" w:eastAsia="方正仿宋_GBK" w:cs="宋体"/>
          <w:color w:val="333333"/>
          <w:kern w:val="0"/>
          <w:sz w:val="32"/>
          <w:szCs w:val="32"/>
        </w:rPr>
        <w:t>指国家以所有者身份依法取得国有资本收益，并对所得收益进行分配而发生的收支预算。</w:t>
      </w:r>
    </w:p>
    <w:p>
      <w:pPr>
        <w:widowControl/>
        <w:shd w:val="clear" w:color="auto" w:fill="FFFFFF"/>
        <w:wordWrap w:val="0"/>
        <w:spacing w:before="100" w:beforeAutospacing="1" w:after="100" w:afterAutospacing="1"/>
        <w:ind w:firstLine="640"/>
        <w:jc w:val="left"/>
        <w:rPr>
          <w:rFonts w:hint="eastAsia" w:ascii="方正仿宋_GBK" w:hAnsi="宋体" w:eastAsia="方正仿宋_GBK" w:cs="宋体"/>
          <w:color w:val="333333"/>
          <w:kern w:val="0"/>
          <w:sz w:val="24"/>
        </w:rPr>
      </w:pPr>
      <w:r>
        <w:rPr>
          <w:rFonts w:hint="eastAsia" w:ascii="方正仿宋_GBK" w:hAnsi="宋体" w:eastAsia="方正仿宋_GBK" w:cs="宋体"/>
          <w:color w:val="333333"/>
          <w:kern w:val="0"/>
          <w:sz w:val="32"/>
          <w:szCs w:val="32"/>
        </w:rPr>
        <w:t>【政府采购】</w:t>
      </w:r>
    </w:p>
    <w:p>
      <w:pPr>
        <w:widowControl/>
        <w:shd w:val="clear" w:color="auto" w:fill="FFFFFF"/>
        <w:wordWrap w:val="0"/>
        <w:spacing w:before="100" w:beforeAutospacing="1" w:after="100" w:afterAutospacing="1"/>
        <w:ind w:firstLine="640"/>
        <w:jc w:val="left"/>
        <w:rPr>
          <w:rFonts w:hint="eastAsia" w:ascii="方正仿宋_GBK" w:hAnsi="宋体" w:eastAsia="方正仿宋_GBK" w:cs="宋体"/>
          <w:color w:val="333333"/>
          <w:kern w:val="0"/>
          <w:sz w:val="24"/>
        </w:rPr>
      </w:pPr>
      <w:r>
        <w:rPr>
          <w:rFonts w:hint="eastAsia" w:ascii="方正仿宋_GBK" w:hAnsi="宋体" w:eastAsia="方正仿宋_GBK" w:cs="宋体"/>
          <w:color w:val="333333"/>
          <w:kern w:val="0"/>
          <w:sz w:val="32"/>
          <w:szCs w:val="32"/>
        </w:rPr>
        <w:t>政府采购也称公共采购，是指各级国家机关、实行预算管理的事业单位和社会团体，采取竞争、择优、公开的形式，使用财政性资金，以购买、租赁、委托或雇佣等方法取得货物、工程和服务的行为。政府采购制度则是采购政策、采购方式、采购程序和组织形式等一系列政府采购管理规范的总称。</w:t>
      </w:r>
    </w:p>
    <w:p>
      <w:pPr>
        <w:widowControl/>
        <w:shd w:val="clear" w:color="auto" w:fill="FFFFFF"/>
        <w:wordWrap w:val="0"/>
        <w:spacing w:before="100" w:beforeAutospacing="1" w:after="100" w:afterAutospacing="1"/>
        <w:ind w:firstLine="640"/>
        <w:jc w:val="left"/>
        <w:rPr>
          <w:rFonts w:hint="eastAsia" w:ascii="方正仿宋_GBK" w:hAnsi="宋体" w:eastAsia="方正仿宋_GBK" w:cs="宋体"/>
          <w:color w:val="333333"/>
          <w:kern w:val="0"/>
          <w:sz w:val="24"/>
        </w:rPr>
      </w:pPr>
      <w:r>
        <w:rPr>
          <w:rFonts w:hint="eastAsia" w:ascii="方正仿宋_GBK" w:hAnsi="宋体" w:eastAsia="方正仿宋_GBK" w:cs="宋体"/>
          <w:color w:val="333333"/>
          <w:kern w:val="0"/>
          <w:sz w:val="32"/>
          <w:szCs w:val="32"/>
        </w:rPr>
        <w:t>【三年中期财政规划】</w:t>
      </w:r>
    </w:p>
    <w:p>
      <w:pPr>
        <w:widowControl/>
        <w:shd w:val="clear" w:color="auto" w:fill="FFFFFF"/>
        <w:wordWrap w:val="0"/>
        <w:spacing w:before="100" w:beforeAutospacing="1" w:after="100" w:afterAutospacing="1"/>
        <w:ind w:firstLine="640"/>
        <w:jc w:val="left"/>
        <w:rPr>
          <w:rFonts w:hint="eastAsia" w:ascii="方正仿宋_GBK" w:hAnsi="宋体" w:eastAsia="方正仿宋_GBK" w:cs="宋体"/>
          <w:color w:val="333333"/>
          <w:kern w:val="0"/>
          <w:sz w:val="24"/>
        </w:rPr>
      </w:pPr>
      <w:r>
        <w:rPr>
          <w:rFonts w:hint="eastAsia" w:ascii="方正仿宋_GBK" w:hAnsi="宋体" w:eastAsia="方正仿宋_GBK" w:cs="宋体"/>
          <w:color w:val="333333"/>
          <w:kern w:val="0"/>
          <w:sz w:val="32"/>
          <w:szCs w:val="32"/>
        </w:rPr>
        <w:t>是在科学预判未来三年财政收支情况的基础上，重点研究财政收支政策，合理确定财政收支政策和重大项目资金安排，逐年滚动管理，实现规划期内跨年度平衡的预算收支框架。中期财政规划中的第一年规划，主要是约束第一年的年度预算，后两年规划主要是引领后两年的年度预算，第一年度预算执行结束后，根据新的政策调整变化情况，将对原后两年规划进行调整完善，并将第四年度的规划增补进来，形成新一轮的三年中期财政规划。推行中期财政规划，有利于提高财政资金使用效率，集中财力办大事，提高预算编制的前瞻性；有利于各类规划与财政预算安排相衔接，强化财政规划约束；有利于发挥财政稳定器和“逆周期”调节器作用，实现财政经济可持续发展。</w:t>
      </w:r>
    </w:p>
    <w:p>
      <w:pPr>
        <w:widowControl/>
        <w:shd w:val="clear" w:color="auto" w:fill="FFFFFF"/>
        <w:wordWrap w:val="0"/>
        <w:spacing w:before="100" w:beforeAutospacing="1" w:after="100" w:afterAutospacing="1"/>
        <w:ind w:firstLine="640"/>
        <w:jc w:val="left"/>
        <w:rPr>
          <w:rFonts w:hint="eastAsia" w:ascii="方正仿宋_GBK" w:hAnsi="宋体" w:eastAsia="方正仿宋_GBK" w:cs="宋体"/>
          <w:color w:val="333333"/>
          <w:kern w:val="0"/>
          <w:sz w:val="24"/>
        </w:rPr>
      </w:pPr>
      <w:r>
        <w:rPr>
          <w:rFonts w:hint="eastAsia" w:ascii="方正仿宋_GBK" w:hAnsi="宋体" w:eastAsia="方正仿宋_GBK" w:cs="宋体"/>
          <w:color w:val="333333"/>
          <w:kern w:val="0"/>
          <w:sz w:val="32"/>
          <w:szCs w:val="32"/>
        </w:rPr>
        <w:t>【结余结转】</w:t>
      </w:r>
    </w:p>
    <w:p>
      <w:pPr>
        <w:widowControl/>
        <w:shd w:val="clear" w:color="auto" w:fill="FFFFFF"/>
        <w:wordWrap w:val="0"/>
        <w:spacing w:before="100" w:beforeAutospacing="1" w:after="100" w:afterAutospacing="1"/>
        <w:ind w:firstLine="640"/>
        <w:jc w:val="left"/>
        <w:rPr>
          <w:rFonts w:hint="eastAsia" w:ascii="方正仿宋_GBK" w:hAnsi="宋体" w:eastAsia="方正仿宋_GBK" w:cs="宋体"/>
          <w:color w:val="333333"/>
          <w:kern w:val="0"/>
          <w:sz w:val="24"/>
        </w:rPr>
      </w:pPr>
      <w:r>
        <w:rPr>
          <w:rFonts w:hint="eastAsia" w:ascii="方正仿宋_GBK" w:hAnsi="宋体" w:eastAsia="方正仿宋_GBK" w:cs="宋体"/>
          <w:color w:val="333333"/>
          <w:kern w:val="0"/>
          <w:sz w:val="32"/>
          <w:szCs w:val="32"/>
        </w:rPr>
        <w:t>结余是指财政收入大于财政支出的部分。结转是指当年支出预算已下达但未执行，需按原项目使用用途在下年继续安排使用的支出部分。地方财政有结余结转的主要原因：一是中央财政超收中大部分用于补助地方，因超收数额到年底才能较为准确预计，且其使用要严格按程序审批，因此有一部分要在年底时才能下达，造成地方财政当年拨不出去，形成结余结转。二是地方财政超收中有一部分资金当年拨不出去，形成结余结转。三是资金已下达，因涉及政府采购等原因暂时无法拨付的资金，形成结余结转。</w:t>
      </w:r>
    </w:p>
    <w:p>
      <w:pPr>
        <w:widowControl/>
        <w:shd w:val="clear" w:color="auto" w:fill="FFFFFF"/>
        <w:wordWrap w:val="0"/>
        <w:spacing w:before="100" w:beforeAutospacing="1" w:after="100" w:afterAutospacing="1"/>
        <w:ind w:firstLine="640"/>
        <w:jc w:val="left"/>
        <w:rPr>
          <w:rFonts w:hint="eastAsia" w:ascii="方正仿宋_GBK" w:hAnsi="宋体" w:eastAsia="方正仿宋_GBK" w:cs="宋体"/>
          <w:color w:val="333333"/>
          <w:kern w:val="0"/>
          <w:sz w:val="24"/>
        </w:rPr>
      </w:pPr>
      <w:r>
        <w:rPr>
          <w:rFonts w:hint="eastAsia" w:ascii="方正仿宋_GBK" w:hAnsi="宋体" w:eastAsia="方正仿宋_GBK" w:cs="宋体"/>
          <w:color w:val="333333"/>
          <w:kern w:val="0"/>
          <w:sz w:val="32"/>
          <w:szCs w:val="32"/>
        </w:rPr>
        <w:t>【县级基本财力保障】</w:t>
      </w:r>
    </w:p>
    <w:p>
      <w:pPr>
        <w:widowControl/>
        <w:shd w:val="clear" w:color="auto" w:fill="FFFFFF"/>
        <w:wordWrap w:val="0"/>
        <w:spacing w:before="100" w:beforeAutospacing="1" w:after="100" w:afterAutospacing="1"/>
        <w:ind w:firstLine="640"/>
        <w:jc w:val="left"/>
        <w:rPr>
          <w:rFonts w:hint="eastAsia" w:ascii="方正仿宋_GBK" w:hAnsi="宋体" w:eastAsia="方正仿宋_GBK" w:cs="宋体"/>
          <w:color w:val="333333"/>
          <w:kern w:val="0"/>
          <w:sz w:val="24"/>
        </w:rPr>
      </w:pPr>
      <w:r>
        <w:rPr>
          <w:rFonts w:hint="eastAsia" w:ascii="方正仿宋_GBK" w:hAnsi="宋体" w:eastAsia="方正仿宋_GBK" w:cs="宋体"/>
          <w:color w:val="333333"/>
          <w:kern w:val="0"/>
          <w:sz w:val="32"/>
          <w:szCs w:val="32"/>
        </w:rPr>
        <w:t>为保障基层政府实施公共管理、提供基本公共服务以及落实各项民生政策的基本财力需要，2010年9月，财政部印发了《关于建立和完善县级基本财力保障机制的意见》，以“以奖代补”为政策核心，鼓励各地提高对县级基本财力保障水平，实现县乡政府“保工资、保运转、保民生”的目标。云南省虽然财力基础相对薄弱，但是通过进一步加大省对下的转移支付力度，较好地提升了县乡的基本财力保障水平，获得了中央财政的奖励资金。2011年，云南省建立了省对下的县级基本财力保障制度，将各地“保工资、保运转、保基本民生”需求，全部纳入计算，对各地财力与“三保”支出的差额给予全额补助，确保基层政府基本支出需要。</w:t>
      </w:r>
    </w:p>
    <w:p>
      <w:pPr>
        <w:widowControl/>
        <w:shd w:val="clear" w:color="auto" w:fill="FFFFFF"/>
        <w:wordWrap w:val="0"/>
        <w:spacing w:before="100" w:beforeAutospacing="1" w:after="100" w:afterAutospacing="1"/>
        <w:ind w:firstLine="640"/>
        <w:jc w:val="left"/>
        <w:rPr>
          <w:rFonts w:hint="eastAsia" w:ascii="方正仿宋_GBK" w:hAnsi="宋体" w:eastAsia="方正仿宋_GBK" w:cs="宋体"/>
          <w:color w:val="333333"/>
          <w:kern w:val="0"/>
          <w:sz w:val="24"/>
        </w:rPr>
      </w:pPr>
      <w:r>
        <w:rPr>
          <w:rFonts w:hint="eastAsia" w:ascii="方正仿宋_GBK" w:hAnsi="宋体" w:eastAsia="方正仿宋_GBK" w:cs="宋体"/>
          <w:color w:val="333333"/>
          <w:kern w:val="0"/>
          <w:sz w:val="32"/>
          <w:szCs w:val="32"/>
        </w:rPr>
        <w:t>【财政存量资金】</w:t>
      </w:r>
    </w:p>
    <w:p>
      <w:pPr>
        <w:rPr>
          <w:rFonts w:hint="eastAsia" w:ascii="方正仿宋_GBK" w:hAnsi="仿宋_GB2312" w:eastAsia="方正仿宋_GBK" w:cs="仿宋_GB2312"/>
          <w:color w:val="000000"/>
          <w:sz w:val="32"/>
          <w:szCs w:val="32"/>
          <w:shd w:val="clear" w:color="auto" w:fill="FFFFFF"/>
        </w:rPr>
      </w:pPr>
      <w:r>
        <w:rPr>
          <w:rFonts w:hint="eastAsia" w:ascii="方正仿宋_GBK" w:hAnsi="宋体" w:eastAsia="方正仿宋_GBK" w:cs="宋体"/>
          <w:color w:val="333333"/>
          <w:kern w:val="0"/>
          <w:sz w:val="32"/>
          <w:szCs w:val="32"/>
        </w:rPr>
        <w:t>是指收入已经发生、尚未安排预算，或者预算已经安排、尚未形成实际支出的财政资金。具体内容是：一是收入已经发生、尚未安排预算的资金，如每年的一般公共预算和政府性基金预算中的超收收入，年终调整列入预算稳定调节基金或预算周转金。二是预算已经安排、尚未形成实际支出且尚未列支的资金。三是预算已经安排、尚未形成实际支出且已经列支的资金。四是不包括当年季节性收支差额形成的资金。</w:t>
      </w:r>
    </w:p>
    <w:p>
      <w:pPr>
        <w:pStyle w:val="10"/>
      </w:pPr>
      <w:r>
        <w:t>窗体底端</w:t>
      </w:r>
    </w:p>
    <w:p>
      <w:pPr>
        <w:rPr>
          <w:rFonts w:hint="eastAsia" w:ascii="仿宋" w:hAnsi="仿宋" w:eastAsia="仿宋" w:cs="仿宋"/>
          <w:sz w:val="32"/>
          <w:szCs w:val="32"/>
          <w:lang w:val="en-US" w:eastAsia="zh-CN"/>
        </w:rPr>
      </w:pPr>
    </w:p>
    <w:p>
      <w:pPr>
        <w:rPr>
          <w:rFonts w:hint="eastAsia" w:ascii="仿宋" w:hAnsi="仿宋" w:eastAsia="仿宋" w:cs="仿宋"/>
          <w:sz w:val="32"/>
          <w:szCs w:val="32"/>
          <w:lang w:eastAsia="zh-CN"/>
        </w:rPr>
      </w:pP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C0E8D1"/>
    <w:multiLevelType w:val="singleLevel"/>
    <w:tmpl w:val="D6C0E8D1"/>
    <w:lvl w:ilvl="0" w:tentative="0">
      <w:start w:val="1"/>
      <w:numFmt w:val="chineseCounting"/>
      <w:suff w:val="nothing"/>
      <w:lvlText w:val="（%1）"/>
      <w:lvlJc w:val="left"/>
      <w:rPr>
        <w:rFonts w:hint="eastAsia"/>
      </w:rPr>
    </w:lvl>
  </w:abstractNum>
  <w:abstractNum w:abstractNumId="1">
    <w:nsid w:val="2645AA9F"/>
    <w:multiLevelType w:val="singleLevel"/>
    <w:tmpl w:val="2645AA9F"/>
    <w:lvl w:ilvl="0" w:tentative="0">
      <w:start w:val="2"/>
      <w:numFmt w:val="decimal"/>
      <w:suff w:val="nothing"/>
      <w:lvlText w:val="（%1）"/>
      <w:lvlJc w:val="left"/>
    </w:lvl>
  </w:abstractNum>
  <w:abstractNum w:abstractNumId="2">
    <w:nsid w:val="59A767A6"/>
    <w:multiLevelType w:val="singleLevel"/>
    <w:tmpl w:val="59A767A6"/>
    <w:lvl w:ilvl="0" w:tentative="0">
      <w:start w:val="2"/>
      <w:numFmt w:val="chineseCounting"/>
      <w:suff w:val="nothing"/>
      <w:lvlText w:val="（%1）"/>
      <w:lvlJc w:val="left"/>
    </w:lvl>
  </w:abstractNum>
  <w:abstractNum w:abstractNumId="3">
    <w:nsid w:val="6D7B677B"/>
    <w:multiLevelType w:val="multilevel"/>
    <w:tmpl w:val="6D7B677B"/>
    <w:lvl w:ilvl="0" w:tentative="0">
      <w:start w:val="1"/>
      <w:numFmt w:val="japaneseCounting"/>
      <w:lvlText w:val="（%1）"/>
      <w:lvlJc w:val="left"/>
      <w:pPr>
        <w:ind w:left="1723" w:hanging="108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4">
    <w:nsid w:val="70E6CF51"/>
    <w:multiLevelType w:val="singleLevel"/>
    <w:tmpl w:val="70E6CF51"/>
    <w:lvl w:ilvl="0" w:tentative="0">
      <w:start w:val="3"/>
      <w:numFmt w:val="chineseCounting"/>
      <w:suff w:val="nothing"/>
      <w:lvlText w:val="%1、"/>
      <w:lvlJc w:val="left"/>
      <w:rPr>
        <w:rFonts w:hint="eastAsia"/>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1F3"/>
    <w:rsid w:val="000071AF"/>
    <w:rsid w:val="000153E1"/>
    <w:rsid w:val="00016016"/>
    <w:rsid w:val="0002185F"/>
    <w:rsid w:val="00022977"/>
    <w:rsid w:val="00027A89"/>
    <w:rsid w:val="0003025A"/>
    <w:rsid w:val="00030DB6"/>
    <w:rsid w:val="00031A90"/>
    <w:rsid w:val="00034D6A"/>
    <w:rsid w:val="0003679A"/>
    <w:rsid w:val="0005393F"/>
    <w:rsid w:val="00053BDA"/>
    <w:rsid w:val="000559C9"/>
    <w:rsid w:val="0006301A"/>
    <w:rsid w:val="00071C71"/>
    <w:rsid w:val="0008094A"/>
    <w:rsid w:val="00081449"/>
    <w:rsid w:val="0009264F"/>
    <w:rsid w:val="00093694"/>
    <w:rsid w:val="000A0FA0"/>
    <w:rsid w:val="000B537E"/>
    <w:rsid w:val="000C7BA8"/>
    <w:rsid w:val="000D147E"/>
    <w:rsid w:val="000D4BF3"/>
    <w:rsid w:val="000D59A2"/>
    <w:rsid w:val="000D7BC3"/>
    <w:rsid w:val="000E4508"/>
    <w:rsid w:val="000E55D0"/>
    <w:rsid w:val="000F16D1"/>
    <w:rsid w:val="000F2F25"/>
    <w:rsid w:val="000F7675"/>
    <w:rsid w:val="00106ABE"/>
    <w:rsid w:val="00112317"/>
    <w:rsid w:val="00113130"/>
    <w:rsid w:val="0011705D"/>
    <w:rsid w:val="001211BA"/>
    <w:rsid w:val="00125EF5"/>
    <w:rsid w:val="00136390"/>
    <w:rsid w:val="0014044F"/>
    <w:rsid w:val="00140DDF"/>
    <w:rsid w:val="001467FA"/>
    <w:rsid w:val="00162B00"/>
    <w:rsid w:val="001844FB"/>
    <w:rsid w:val="00190636"/>
    <w:rsid w:val="00191B22"/>
    <w:rsid w:val="00192C60"/>
    <w:rsid w:val="001A469E"/>
    <w:rsid w:val="001A78A5"/>
    <w:rsid w:val="001B33DC"/>
    <w:rsid w:val="001B33E4"/>
    <w:rsid w:val="001B66B9"/>
    <w:rsid w:val="001B6FD5"/>
    <w:rsid w:val="001B7FE8"/>
    <w:rsid w:val="001C32CC"/>
    <w:rsid w:val="001D71E8"/>
    <w:rsid w:val="001E095B"/>
    <w:rsid w:val="001E4979"/>
    <w:rsid w:val="001E77D8"/>
    <w:rsid w:val="001F20E7"/>
    <w:rsid w:val="00200437"/>
    <w:rsid w:val="00204882"/>
    <w:rsid w:val="00205873"/>
    <w:rsid w:val="00211C9F"/>
    <w:rsid w:val="00213394"/>
    <w:rsid w:val="002159F4"/>
    <w:rsid w:val="002243D1"/>
    <w:rsid w:val="00224A02"/>
    <w:rsid w:val="00231E7D"/>
    <w:rsid w:val="002349FA"/>
    <w:rsid w:val="00235621"/>
    <w:rsid w:val="00240B28"/>
    <w:rsid w:val="00241002"/>
    <w:rsid w:val="0024544D"/>
    <w:rsid w:val="00252820"/>
    <w:rsid w:val="00255C55"/>
    <w:rsid w:val="002644F3"/>
    <w:rsid w:val="00265EB8"/>
    <w:rsid w:val="00271534"/>
    <w:rsid w:val="00272DBD"/>
    <w:rsid w:val="002770BA"/>
    <w:rsid w:val="00281E9F"/>
    <w:rsid w:val="0029288A"/>
    <w:rsid w:val="00297749"/>
    <w:rsid w:val="002B00E0"/>
    <w:rsid w:val="002B6D58"/>
    <w:rsid w:val="002C54F8"/>
    <w:rsid w:val="002D3C34"/>
    <w:rsid w:val="002D5FA2"/>
    <w:rsid w:val="002E0E58"/>
    <w:rsid w:val="002E6FA3"/>
    <w:rsid w:val="00300F4C"/>
    <w:rsid w:val="00301B60"/>
    <w:rsid w:val="003021E3"/>
    <w:rsid w:val="00302D34"/>
    <w:rsid w:val="0030789E"/>
    <w:rsid w:val="00346FDA"/>
    <w:rsid w:val="00347BE8"/>
    <w:rsid w:val="003531FB"/>
    <w:rsid w:val="003602AE"/>
    <w:rsid w:val="003622E3"/>
    <w:rsid w:val="003642CE"/>
    <w:rsid w:val="00365A41"/>
    <w:rsid w:val="003708AC"/>
    <w:rsid w:val="00380352"/>
    <w:rsid w:val="0038231D"/>
    <w:rsid w:val="0038588F"/>
    <w:rsid w:val="00385C59"/>
    <w:rsid w:val="00396122"/>
    <w:rsid w:val="003971AC"/>
    <w:rsid w:val="003B2A7B"/>
    <w:rsid w:val="003B647B"/>
    <w:rsid w:val="003B687E"/>
    <w:rsid w:val="003E0B1B"/>
    <w:rsid w:val="003E507A"/>
    <w:rsid w:val="003F1DA0"/>
    <w:rsid w:val="003F74DC"/>
    <w:rsid w:val="00404141"/>
    <w:rsid w:val="00404200"/>
    <w:rsid w:val="004067DD"/>
    <w:rsid w:val="0041200D"/>
    <w:rsid w:val="00412B67"/>
    <w:rsid w:val="00413556"/>
    <w:rsid w:val="00413804"/>
    <w:rsid w:val="00421C61"/>
    <w:rsid w:val="00423071"/>
    <w:rsid w:val="004309A7"/>
    <w:rsid w:val="004368CA"/>
    <w:rsid w:val="004401AA"/>
    <w:rsid w:val="004448C0"/>
    <w:rsid w:val="00450473"/>
    <w:rsid w:val="0045290C"/>
    <w:rsid w:val="00454027"/>
    <w:rsid w:val="00457B7D"/>
    <w:rsid w:val="00463E7D"/>
    <w:rsid w:val="004739B9"/>
    <w:rsid w:val="00481F42"/>
    <w:rsid w:val="00484219"/>
    <w:rsid w:val="00487057"/>
    <w:rsid w:val="00492553"/>
    <w:rsid w:val="00496AAC"/>
    <w:rsid w:val="004B311F"/>
    <w:rsid w:val="004B6C9A"/>
    <w:rsid w:val="004C133B"/>
    <w:rsid w:val="004C1757"/>
    <w:rsid w:val="004C46D0"/>
    <w:rsid w:val="004D288D"/>
    <w:rsid w:val="004D69FC"/>
    <w:rsid w:val="004E5B32"/>
    <w:rsid w:val="004F06E3"/>
    <w:rsid w:val="004F34B8"/>
    <w:rsid w:val="004F3575"/>
    <w:rsid w:val="00500B05"/>
    <w:rsid w:val="0050453C"/>
    <w:rsid w:val="00506FB9"/>
    <w:rsid w:val="0051426B"/>
    <w:rsid w:val="00517348"/>
    <w:rsid w:val="005233BC"/>
    <w:rsid w:val="005233C5"/>
    <w:rsid w:val="0052341A"/>
    <w:rsid w:val="00525E1C"/>
    <w:rsid w:val="00531258"/>
    <w:rsid w:val="005675B2"/>
    <w:rsid w:val="00572504"/>
    <w:rsid w:val="00576534"/>
    <w:rsid w:val="005775E4"/>
    <w:rsid w:val="00580569"/>
    <w:rsid w:val="005845EB"/>
    <w:rsid w:val="005963FF"/>
    <w:rsid w:val="00597533"/>
    <w:rsid w:val="005A030A"/>
    <w:rsid w:val="005A1715"/>
    <w:rsid w:val="005B5B63"/>
    <w:rsid w:val="005C0EBF"/>
    <w:rsid w:val="005D622E"/>
    <w:rsid w:val="005D677F"/>
    <w:rsid w:val="005E1CCE"/>
    <w:rsid w:val="00606CE3"/>
    <w:rsid w:val="00607328"/>
    <w:rsid w:val="00615022"/>
    <w:rsid w:val="00615A19"/>
    <w:rsid w:val="00616AD4"/>
    <w:rsid w:val="00621220"/>
    <w:rsid w:val="0062286C"/>
    <w:rsid w:val="006364FE"/>
    <w:rsid w:val="00644278"/>
    <w:rsid w:val="00650515"/>
    <w:rsid w:val="006512EF"/>
    <w:rsid w:val="00652333"/>
    <w:rsid w:val="0066457A"/>
    <w:rsid w:val="00665306"/>
    <w:rsid w:val="00665A7B"/>
    <w:rsid w:val="00672AB2"/>
    <w:rsid w:val="006814CD"/>
    <w:rsid w:val="00682416"/>
    <w:rsid w:val="00682DF1"/>
    <w:rsid w:val="00695425"/>
    <w:rsid w:val="006A0732"/>
    <w:rsid w:val="006A5BFC"/>
    <w:rsid w:val="006E54E6"/>
    <w:rsid w:val="006E55AB"/>
    <w:rsid w:val="006F5690"/>
    <w:rsid w:val="00701A6F"/>
    <w:rsid w:val="00705857"/>
    <w:rsid w:val="00712791"/>
    <w:rsid w:val="007307EB"/>
    <w:rsid w:val="007309BB"/>
    <w:rsid w:val="00733756"/>
    <w:rsid w:val="00740032"/>
    <w:rsid w:val="0075419B"/>
    <w:rsid w:val="00754DF6"/>
    <w:rsid w:val="00756BB9"/>
    <w:rsid w:val="007632B3"/>
    <w:rsid w:val="0076695C"/>
    <w:rsid w:val="00772DFB"/>
    <w:rsid w:val="007744A7"/>
    <w:rsid w:val="007749C4"/>
    <w:rsid w:val="00783783"/>
    <w:rsid w:val="0078515B"/>
    <w:rsid w:val="00786A0B"/>
    <w:rsid w:val="00791BF1"/>
    <w:rsid w:val="00793A01"/>
    <w:rsid w:val="007B342A"/>
    <w:rsid w:val="007B4BFE"/>
    <w:rsid w:val="007C254E"/>
    <w:rsid w:val="007C33A4"/>
    <w:rsid w:val="007C590D"/>
    <w:rsid w:val="007C653A"/>
    <w:rsid w:val="007D6AB6"/>
    <w:rsid w:val="007E0B34"/>
    <w:rsid w:val="007E4C4D"/>
    <w:rsid w:val="007E6BD6"/>
    <w:rsid w:val="007E79E2"/>
    <w:rsid w:val="007E79FA"/>
    <w:rsid w:val="007F071A"/>
    <w:rsid w:val="007F0BAF"/>
    <w:rsid w:val="007F4995"/>
    <w:rsid w:val="008026B9"/>
    <w:rsid w:val="00804696"/>
    <w:rsid w:val="008062BF"/>
    <w:rsid w:val="008234DD"/>
    <w:rsid w:val="00825770"/>
    <w:rsid w:val="00825F16"/>
    <w:rsid w:val="0082653C"/>
    <w:rsid w:val="00832C1D"/>
    <w:rsid w:val="0083553C"/>
    <w:rsid w:val="008359E9"/>
    <w:rsid w:val="0084187C"/>
    <w:rsid w:val="00850709"/>
    <w:rsid w:val="00881F43"/>
    <w:rsid w:val="00886520"/>
    <w:rsid w:val="00896AC5"/>
    <w:rsid w:val="008A17F5"/>
    <w:rsid w:val="008B1842"/>
    <w:rsid w:val="008C29A9"/>
    <w:rsid w:val="008D2FC2"/>
    <w:rsid w:val="008E7A89"/>
    <w:rsid w:val="008F38E0"/>
    <w:rsid w:val="008F3E89"/>
    <w:rsid w:val="008F4B97"/>
    <w:rsid w:val="008F7C20"/>
    <w:rsid w:val="009022AF"/>
    <w:rsid w:val="00904B4B"/>
    <w:rsid w:val="00907DF8"/>
    <w:rsid w:val="00911782"/>
    <w:rsid w:val="0091545C"/>
    <w:rsid w:val="00921A2C"/>
    <w:rsid w:val="0092211A"/>
    <w:rsid w:val="0092542C"/>
    <w:rsid w:val="00926E2E"/>
    <w:rsid w:val="0093062F"/>
    <w:rsid w:val="0093745C"/>
    <w:rsid w:val="00937AC9"/>
    <w:rsid w:val="00941CFD"/>
    <w:rsid w:val="00943F8B"/>
    <w:rsid w:val="009469A4"/>
    <w:rsid w:val="00950B52"/>
    <w:rsid w:val="00966CEE"/>
    <w:rsid w:val="009673FD"/>
    <w:rsid w:val="00970059"/>
    <w:rsid w:val="009807DD"/>
    <w:rsid w:val="00991537"/>
    <w:rsid w:val="009926AE"/>
    <w:rsid w:val="009A3CBD"/>
    <w:rsid w:val="009A7D6D"/>
    <w:rsid w:val="009B153B"/>
    <w:rsid w:val="009B4C61"/>
    <w:rsid w:val="009C35DC"/>
    <w:rsid w:val="009D23A5"/>
    <w:rsid w:val="009D7BAD"/>
    <w:rsid w:val="009F3FC3"/>
    <w:rsid w:val="009F5F90"/>
    <w:rsid w:val="00A0108F"/>
    <w:rsid w:val="00A01854"/>
    <w:rsid w:val="00A069D0"/>
    <w:rsid w:val="00A07772"/>
    <w:rsid w:val="00A23FA6"/>
    <w:rsid w:val="00A43795"/>
    <w:rsid w:val="00A448C0"/>
    <w:rsid w:val="00A45C4E"/>
    <w:rsid w:val="00A51125"/>
    <w:rsid w:val="00A53C59"/>
    <w:rsid w:val="00A547A3"/>
    <w:rsid w:val="00A57459"/>
    <w:rsid w:val="00A575FE"/>
    <w:rsid w:val="00A60094"/>
    <w:rsid w:val="00A613D8"/>
    <w:rsid w:val="00A63A5D"/>
    <w:rsid w:val="00A74AE4"/>
    <w:rsid w:val="00A81CD7"/>
    <w:rsid w:val="00A84952"/>
    <w:rsid w:val="00A93928"/>
    <w:rsid w:val="00AA3516"/>
    <w:rsid w:val="00AA4F02"/>
    <w:rsid w:val="00AB0038"/>
    <w:rsid w:val="00AB294F"/>
    <w:rsid w:val="00AC1F11"/>
    <w:rsid w:val="00AC37B8"/>
    <w:rsid w:val="00AD10D3"/>
    <w:rsid w:val="00AE07A1"/>
    <w:rsid w:val="00AF2781"/>
    <w:rsid w:val="00AF2D3D"/>
    <w:rsid w:val="00B02D8F"/>
    <w:rsid w:val="00B03E37"/>
    <w:rsid w:val="00B03E80"/>
    <w:rsid w:val="00B11A03"/>
    <w:rsid w:val="00B12880"/>
    <w:rsid w:val="00B231B9"/>
    <w:rsid w:val="00B2404E"/>
    <w:rsid w:val="00B275D7"/>
    <w:rsid w:val="00B27957"/>
    <w:rsid w:val="00B31F63"/>
    <w:rsid w:val="00B45E1D"/>
    <w:rsid w:val="00B57E95"/>
    <w:rsid w:val="00B614B1"/>
    <w:rsid w:val="00B674CC"/>
    <w:rsid w:val="00B70822"/>
    <w:rsid w:val="00B80660"/>
    <w:rsid w:val="00B84177"/>
    <w:rsid w:val="00B85B3C"/>
    <w:rsid w:val="00B91234"/>
    <w:rsid w:val="00B9131B"/>
    <w:rsid w:val="00B9233E"/>
    <w:rsid w:val="00B97F98"/>
    <w:rsid w:val="00BB31F3"/>
    <w:rsid w:val="00BB70F1"/>
    <w:rsid w:val="00BC0667"/>
    <w:rsid w:val="00BC7053"/>
    <w:rsid w:val="00BE2B6A"/>
    <w:rsid w:val="00BF0E74"/>
    <w:rsid w:val="00BF69EF"/>
    <w:rsid w:val="00C12297"/>
    <w:rsid w:val="00C159AF"/>
    <w:rsid w:val="00C22E00"/>
    <w:rsid w:val="00C3505F"/>
    <w:rsid w:val="00C36E10"/>
    <w:rsid w:val="00C42193"/>
    <w:rsid w:val="00C46170"/>
    <w:rsid w:val="00C57F8C"/>
    <w:rsid w:val="00C63888"/>
    <w:rsid w:val="00C675FA"/>
    <w:rsid w:val="00C74CE1"/>
    <w:rsid w:val="00C80F62"/>
    <w:rsid w:val="00C82254"/>
    <w:rsid w:val="00C86E11"/>
    <w:rsid w:val="00C90D1C"/>
    <w:rsid w:val="00C91CD3"/>
    <w:rsid w:val="00CA6C4F"/>
    <w:rsid w:val="00CB206F"/>
    <w:rsid w:val="00CB3772"/>
    <w:rsid w:val="00CB408A"/>
    <w:rsid w:val="00CC2BEC"/>
    <w:rsid w:val="00CC3C1B"/>
    <w:rsid w:val="00CD53DC"/>
    <w:rsid w:val="00CD55EB"/>
    <w:rsid w:val="00CD596C"/>
    <w:rsid w:val="00CE0EEA"/>
    <w:rsid w:val="00CE7516"/>
    <w:rsid w:val="00CF053D"/>
    <w:rsid w:val="00CF6C33"/>
    <w:rsid w:val="00D00CCF"/>
    <w:rsid w:val="00D04F84"/>
    <w:rsid w:val="00D173B3"/>
    <w:rsid w:val="00D2176F"/>
    <w:rsid w:val="00D32B6A"/>
    <w:rsid w:val="00D338F7"/>
    <w:rsid w:val="00D3699F"/>
    <w:rsid w:val="00D50570"/>
    <w:rsid w:val="00D7028C"/>
    <w:rsid w:val="00D7132A"/>
    <w:rsid w:val="00D83A23"/>
    <w:rsid w:val="00D93969"/>
    <w:rsid w:val="00D9535E"/>
    <w:rsid w:val="00DA3042"/>
    <w:rsid w:val="00DA3278"/>
    <w:rsid w:val="00DA3728"/>
    <w:rsid w:val="00DA3DA4"/>
    <w:rsid w:val="00DC331A"/>
    <w:rsid w:val="00DD0006"/>
    <w:rsid w:val="00DE6824"/>
    <w:rsid w:val="00DE6BD4"/>
    <w:rsid w:val="00DF1F1A"/>
    <w:rsid w:val="00DF39AA"/>
    <w:rsid w:val="00DF445C"/>
    <w:rsid w:val="00DF52A7"/>
    <w:rsid w:val="00E05088"/>
    <w:rsid w:val="00E10A4D"/>
    <w:rsid w:val="00E12AA4"/>
    <w:rsid w:val="00E17A0A"/>
    <w:rsid w:val="00E32574"/>
    <w:rsid w:val="00E37FE8"/>
    <w:rsid w:val="00E64905"/>
    <w:rsid w:val="00E92D82"/>
    <w:rsid w:val="00E92FB9"/>
    <w:rsid w:val="00E94370"/>
    <w:rsid w:val="00E950DF"/>
    <w:rsid w:val="00E97C1D"/>
    <w:rsid w:val="00E97D29"/>
    <w:rsid w:val="00EA0823"/>
    <w:rsid w:val="00EA3D25"/>
    <w:rsid w:val="00EA40BA"/>
    <w:rsid w:val="00EA5BD7"/>
    <w:rsid w:val="00EA6D32"/>
    <w:rsid w:val="00EA707D"/>
    <w:rsid w:val="00EB5BA8"/>
    <w:rsid w:val="00EB5CD1"/>
    <w:rsid w:val="00EC0ABA"/>
    <w:rsid w:val="00ED0382"/>
    <w:rsid w:val="00ED2DBA"/>
    <w:rsid w:val="00ED60BB"/>
    <w:rsid w:val="00ED7A6A"/>
    <w:rsid w:val="00EE458C"/>
    <w:rsid w:val="00EE506D"/>
    <w:rsid w:val="00EE5FFE"/>
    <w:rsid w:val="00EF3138"/>
    <w:rsid w:val="00F02D6F"/>
    <w:rsid w:val="00F07A35"/>
    <w:rsid w:val="00F11359"/>
    <w:rsid w:val="00F11375"/>
    <w:rsid w:val="00F1175E"/>
    <w:rsid w:val="00F21985"/>
    <w:rsid w:val="00F40265"/>
    <w:rsid w:val="00F4075A"/>
    <w:rsid w:val="00F41116"/>
    <w:rsid w:val="00F6192B"/>
    <w:rsid w:val="00F61F7C"/>
    <w:rsid w:val="00F634B8"/>
    <w:rsid w:val="00F675E3"/>
    <w:rsid w:val="00F7629F"/>
    <w:rsid w:val="00F814B0"/>
    <w:rsid w:val="00F9148C"/>
    <w:rsid w:val="00F94955"/>
    <w:rsid w:val="00F967D6"/>
    <w:rsid w:val="00FA3704"/>
    <w:rsid w:val="00FA39AB"/>
    <w:rsid w:val="00FB2D27"/>
    <w:rsid w:val="00FB3D50"/>
    <w:rsid w:val="00FC1193"/>
    <w:rsid w:val="00FC73B1"/>
    <w:rsid w:val="00FD1B99"/>
    <w:rsid w:val="00FD4F79"/>
    <w:rsid w:val="029C413A"/>
    <w:rsid w:val="02FD3B1E"/>
    <w:rsid w:val="03323A64"/>
    <w:rsid w:val="03BB4C75"/>
    <w:rsid w:val="04171383"/>
    <w:rsid w:val="042659F8"/>
    <w:rsid w:val="044D7AD3"/>
    <w:rsid w:val="046C653C"/>
    <w:rsid w:val="049E52F8"/>
    <w:rsid w:val="06441A7B"/>
    <w:rsid w:val="06AA6173"/>
    <w:rsid w:val="06C62D1C"/>
    <w:rsid w:val="06E174B7"/>
    <w:rsid w:val="071F02C7"/>
    <w:rsid w:val="077C3002"/>
    <w:rsid w:val="081079C0"/>
    <w:rsid w:val="085411D1"/>
    <w:rsid w:val="08C03D68"/>
    <w:rsid w:val="096F5B09"/>
    <w:rsid w:val="0A3060CF"/>
    <w:rsid w:val="0A6B5439"/>
    <w:rsid w:val="0B607C39"/>
    <w:rsid w:val="0C244F8D"/>
    <w:rsid w:val="0C7B5195"/>
    <w:rsid w:val="0CF64A24"/>
    <w:rsid w:val="0D5B2DFF"/>
    <w:rsid w:val="0D812269"/>
    <w:rsid w:val="0E2C5368"/>
    <w:rsid w:val="0F5463B3"/>
    <w:rsid w:val="1002523F"/>
    <w:rsid w:val="108F7EEA"/>
    <w:rsid w:val="10B62C11"/>
    <w:rsid w:val="111246C1"/>
    <w:rsid w:val="114546BE"/>
    <w:rsid w:val="11C96648"/>
    <w:rsid w:val="120657F4"/>
    <w:rsid w:val="1461345B"/>
    <w:rsid w:val="149375BA"/>
    <w:rsid w:val="15493C0A"/>
    <w:rsid w:val="15845814"/>
    <w:rsid w:val="15C347B6"/>
    <w:rsid w:val="160C7381"/>
    <w:rsid w:val="16126220"/>
    <w:rsid w:val="173E3F59"/>
    <w:rsid w:val="174D428E"/>
    <w:rsid w:val="177015FA"/>
    <w:rsid w:val="182259C1"/>
    <w:rsid w:val="182954F2"/>
    <w:rsid w:val="18A97152"/>
    <w:rsid w:val="19BA2C8D"/>
    <w:rsid w:val="19F10E71"/>
    <w:rsid w:val="1A3334CA"/>
    <w:rsid w:val="1B477BDE"/>
    <w:rsid w:val="1B911529"/>
    <w:rsid w:val="1C176F8B"/>
    <w:rsid w:val="1E6C76D8"/>
    <w:rsid w:val="1EAC7E0B"/>
    <w:rsid w:val="1EFB5728"/>
    <w:rsid w:val="1F2A7FE7"/>
    <w:rsid w:val="1F430961"/>
    <w:rsid w:val="21465B43"/>
    <w:rsid w:val="218D5D28"/>
    <w:rsid w:val="21A15788"/>
    <w:rsid w:val="21B545E0"/>
    <w:rsid w:val="21F27A03"/>
    <w:rsid w:val="2227782F"/>
    <w:rsid w:val="226C7D69"/>
    <w:rsid w:val="24C47840"/>
    <w:rsid w:val="260E6EA0"/>
    <w:rsid w:val="26277283"/>
    <w:rsid w:val="27236638"/>
    <w:rsid w:val="273F0F21"/>
    <w:rsid w:val="28EB6F3A"/>
    <w:rsid w:val="298074C9"/>
    <w:rsid w:val="29A31D3E"/>
    <w:rsid w:val="29CD4A94"/>
    <w:rsid w:val="2A0B76DC"/>
    <w:rsid w:val="2A5234F2"/>
    <w:rsid w:val="2A637CF8"/>
    <w:rsid w:val="2A682DE3"/>
    <w:rsid w:val="2A8E2EBC"/>
    <w:rsid w:val="2A9576D6"/>
    <w:rsid w:val="2AD37C21"/>
    <w:rsid w:val="2AF15BD1"/>
    <w:rsid w:val="2BA86056"/>
    <w:rsid w:val="2D277728"/>
    <w:rsid w:val="2D7C23B6"/>
    <w:rsid w:val="2D80516B"/>
    <w:rsid w:val="2E0C5674"/>
    <w:rsid w:val="2E417305"/>
    <w:rsid w:val="2E725612"/>
    <w:rsid w:val="2E8E0A7F"/>
    <w:rsid w:val="2EC63E6A"/>
    <w:rsid w:val="2F1B477D"/>
    <w:rsid w:val="2F224320"/>
    <w:rsid w:val="2F560A86"/>
    <w:rsid w:val="2FCF510F"/>
    <w:rsid w:val="30985AB1"/>
    <w:rsid w:val="30AB1ECF"/>
    <w:rsid w:val="31360E77"/>
    <w:rsid w:val="31633C27"/>
    <w:rsid w:val="325076B2"/>
    <w:rsid w:val="336A2A65"/>
    <w:rsid w:val="33D522FC"/>
    <w:rsid w:val="35892440"/>
    <w:rsid w:val="36E06B43"/>
    <w:rsid w:val="37860506"/>
    <w:rsid w:val="37AE05CD"/>
    <w:rsid w:val="37EA6666"/>
    <w:rsid w:val="380B04EB"/>
    <w:rsid w:val="390B1C3E"/>
    <w:rsid w:val="39162B0D"/>
    <w:rsid w:val="3938458E"/>
    <w:rsid w:val="39647E91"/>
    <w:rsid w:val="3C3A00E0"/>
    <w:rsid w:val="3CBE6EC2"/>
    <w:rsid w:val="3CC4389B"/>
    <w:rsid w:val="3D4B0199"/>
    <w:rsid w:val="3D725EBD"/>
    <w:rsid w:val="3E8A6D94"/>
    <w:rsid w:val="3EF43671"/>
    <w:rsid w:val="3FB87AB6"/>
    <w:rsid w:val="3FEE1967"/>
    <w:rsid w:val="3FF70FF7"/>
    <w:rsid w:val="407F6503"/>
    <w:rsid w:val="40823BD6"/>
    <w:rsid w:val="412B3C2E"/>
    <w:rsid w:val="41423564"/>
    <w:rsid w:val="414B57EB"/>
    <w:rsid w:val="415A6ABB"/>
    <w:rsid w:val="41AD4ACD"/>
    <w:rsid w:val="448B7F99"/>
    <w:rsid w:val="44E8063C"/>
    <w:rsid w:val="4559266D"/>
    <w:rsid w:val="45D43D4C"/>
    <w:rsid w:val="4613331E"/>
    <w:rsid w:val="473C2455"/>
    <w:rsid w:val="48705F19"/>
    <w:rsid w:val="48A6403F"/>
    <w:rsid w:val="495442BB"/>
    <w:rsid w:val="4A235865"/>
    <w:rsid w:val="4AD10CF3"/>
    <w:rsid w:val="4B2B0BA6"/>
    <w:rsid w:val="4B30626E"/>
    <w:rsid w:val="4BA52A1D"/>
    <w:rsid w:val="4BCF747C"/>
    <w:rsid w:val="4BD356D0"/>
    <w:rsid w:val="4D0514D1"/>
    <w:rsid w:val="4D4D643E"/>
    <w:rsid w:val="4DD96733"/>
    <w:rsid w:val="4E7C4FE5"/>
    <w:rsid w:val="4F3D6ADD"/>
    <w:rsid w:val="4F403FF0"/>
    <w:rsid w:val="4F627ADA"/>
    <w:rsid w:val="4F7253D8"/>
    <w:rsid w:val="4FF2052A"/>
    <w:rsid w:val="50037403"/>
    <w:rsid w:val="50287816"/>
    <w:rsid w:val="505D1707"/>
    <w:rsid w:val="506C0BAF"/>
    <w:rsid w:val="50AF3DCA"/>
    <w:rsid w:val="50C338B9"/>
    <w:rsid w:val="50F3592A"/>
    <w:rsid w:val="51325A76"/>
    <w:rsid w:val="513571DF"/>
    <w:rsid w:val="52BC7E53"/>
    <w:rsid w:val="53CB7067"/>
    <w:rsid w:val="54112BF0"/>
    <w:rsid w:val="573F199C"/>
    <w:rsid w:val="585661A3"/>
    <w:rsid w:val="58597D09"/>
    <w:rsid w:val="58B74DFB"/>
    <w:rsid w:val="58E7274C"/>
    <w:rsid w:val="58FC3C49"/>
    <w:rsid w:val="592E6BF2"/>
    <w:rsid w:val="598C2788"/>
    <w:rsid w:val="59CA494B"/>
    <w:rsid w:val="5A0825D6"/>
    <w:rsid w:val="5A1F14F9"/>
    <w:rsid w:val="5B3E6949"/>
    <w:rsid w:val="5B871061"/>
    <w:rsid w:val="5C350B5A"/>
    <w:rsid w:val="5C5F6E7E"/>
    <w:rsid w:val="5C8A74DF"/>
    <w:rsid w:val="5DED3521"/>
    <w:rsid w:val="5FC17687"/>
    <w:rsid w:val="5FC4018D"/>
    <w:rsid w:val="607A030C"/>
    <w:rsid w:val="60E6796D"/>
    <w:rsid w:val="61131984"/>
    <w:rsid w:val="61542313"/>
    <w:rsid w:val="61BB09BD"/>
    <w:rsid w:val="61FA053E"/>
    <w:rsid w:val="626139C1"/>
    <w:rsid w:val="6326124F"/>
    <w:rsid w:val="63830A38"/>
    <w:rsid w:val="646D33CE"/>
    <w:rsid w:val="64B676E1"/>
    <w:rsid w:val="66FF6A6B"/>
    <w:rsid w:val="671967FC"/>
    <w:rsid w:val="67B45283"/>
    <w:rsid w:val="67CF7A3B"/>
    <w:rsid w:val="682E373A"/>
    <w:rsid w:val="68A719DA"/>
    <w:rsid w:val="68DE1E30"/>
    <w:rsid w:val="68E34BC2"/>
    <w:rsid w:val="68E8378D"/>
    <w:rsid w:val="6AB53F62"/>
    <w:rsid w:val="6B15781E"/>
    <w:rsid w:val="6BAB523A"/>
    <w:rsid w:val="6C0A376F"/>
    <w:rsid w:val="6DDB62FB"/>
    <w:rsid w:val="6DDE563F"/>
    <w:rsid w:val="6E0046B3"/>
    <w:rsid w:val="6E48786C"/>
    <w:rsid w:val="6E81241C"/>
    <w:rsid w:val="6EA12387"/>
    <w:rsid w:val="6F97676C"/>
    <w:rsid w:val="702A50A2"/>
    <w:rsid w:val="703267C2"/>
    <w:rsid w:val="71640C64"/>
    <w:rsid w:val="71A066FB"/>
    <w:rsid w:val="72576C27"/>
    <w:rsid w:val="7273274C"/>
    <w:rsid w:val="729A054C"/>
    <w:rsid w:val="72D7211B"/>
    <w:rsid w:val="73A539C5"/>
    <w:rsid w:val="7488562F"/>
    <w:rsid w:val="749E31AF"/>
    <w:rsid w:val="74E035D0"/>
    <w:rsid w:val="75447654"/>
    <w:rsid w:val="75A302BE"/>
    <w:rsid w:val="75CA0B9B"/>
    <w:rsid w:val="764E754E"/>
    <w:rsid w:val="76632D5E"/>
    <w:rsid w:val="773F13AE"/>
    <w:rsid w:val="78552844"/>
    <w:rsid w:val="78886CA6"/>
    <w:rsid w:val="79272208"/>
    <w:rsid w:val="79DC1F36"/>
    <w:rsid w:val="7A6F60B3"/>
    <w:rsid w:val="7AAA3850"/>
    <w:rsid w:val="7AC83BD8"/>
    <w:rsid w:val="7B9F2976"/>
    <w:rsid w:val="7BAE66CF"/>
    <w:rsid w:val="7BAF2580"/>
    <w:rsid w:val="7BEC482C"/>
    <w:rsid w:val="7C0A1B5B"/>
    <w:rsid w:val="7CB96DEC"/>
    <w:rsid w:val="7CCF4D5A"/>
    <w:rsid w:val="7CFF5E83"/>
    <w:rsid w:val="7D6B12BA"/>
    <w:rsid w:val="7D8A5E7E"/>
    <w:rsid w:val="7DFF5A1A"/>
    <w:rsid w:val="7E117AED"/>
    <w:rsid w:val="7E204AF6"/>
    <w:rsid w:val="7E210847"/>
    <w:rsid w:val="7EAF2FCD"/>
    <w:rsid w:val="7ED81F51"/>
    <w:rsid w:val="7EF25106"/>
    <w:rsid w:val="7F2E55BA"/>
    <w:rsid w:val="7F6367C8"/>
    <w:rsid w:val="7F9D2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7">
    <w:name w:val="page number"/>
    <w:basedOn w:val="6"/>
    <w:unhideWhenUsed/>
    <w:qFormat/>
    <w:uiPriority w:val="99"/>
  </w:style>
  <w:style w:type="character" w:styleId="8">
    <w:name w:val="Hyperlink"/>
    <w:basedOn w:val="6"/>
    <w:unhideWhenUsed/>
    <w:qFormat/>
    <w:uiPriority w:val="99"/>
    <w:rPr>
      <w:color w:val="0000FF"/>
      <w:u w:val="single"/>
    </w:rPr>
  </w:style>
  <w:style w:type="paragraph" w:customStyle="1" w:styleId="9">
    <w:name w:val="_Style 8"/>
    <w:basedOn w:val="1"/>
    <w:next w:val="1"/>
    <w:qFormat/>
    <w:uiPriority w:val="0"/>
    <w:pPr>
      <w:pBdr>
        <w:bottom w:val="single" w:color="auto" w:sz="6" w:space="1"/>
      </w:pBdr>
      <w:jc w:val="center"/>
    </w:pPr>
    <w:rPr>
      <w:rFonts w:ascii="Arial" w:eastAsia="宋体"/>
      <w:vanish/>
      <w:sz w:val="16"/>
    </w:rPr>
  </w:style>
  <w:style w:type="paragraph" w:customStyle="1" w:styleId="10">
    <w:name w:val="_Style 9"/>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emf"/><Relationship Id="rId12" Type="http://schemas.openxmlformats.org/officeDocument/2006/relationships/oleObject" Target="embeddings/oleObject5.bin"/><Relationship Id="rId11" Type="http://schemas.openxmlformats.org/officeDocument/2006/relationships/image" Target="media/image4.e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340</Words>
  <Characters>1942</Characters>
  <Lines>16</Lines>
  <Paragraphs>4</Paragraphs>
  <TotalTime>16</TotalTime>
  <ScaleCrop>false</ScaleCrop>
  <LinksUpToDate>false</LinksUpToDate>
  <CharactersWithSpaces>2278</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2017-08-30T08:47:00Z</dcterms:created>
  <dc:creator>WRGHO</dc:creator>
  <cp:lastModifiedBy>Administrator</cp:lastModifiedBy>
  <dcterms:modified xsi:type="dcterms:W3CDTF">2020-12-31T03:33:16Z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