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44"/>
          <w:szCs w:val="44"/>
        </w:rPr>
      </w:pPr>
    </w:p>
    <w:p>
      <w:pPr>
        <w:jc w:val="center"/>
        <w:rPr>
          <w:b/>
          <w:sz w:val="44"/>
          <w:szCs w:val="44"/>
        </w:rPr>
      </w:pPr>
    </w:p>
    <w:p>
      <w:pPr>
        <w:jc w:val="center"/>
        <w:rPr>
          <w:b/>
          <w:sz w:val="44"/>
          <w:szCs w:val="44"/>
        </w:rPr>
      </w:pPr>
    </w:p>
    <w:p>
      <w:pPr>
        <w:jc w:val="center"/>
        <w:rPr>
          <w:b/>
          <w:sz w:val="72"/>
          <w:szCs w:val="72"/>
        </w:rPr>
      </w:pPr>
      <w:r>
        <w:rPr>
          <w:b/>
          <w:sz w:val="72"/>
          <w:szCs w:val="72"/>
        </w:rPr>
        <w:t>建设项目环境影响报告表</w:t>
      </w:r>
    </w:p>
    <w:p>
      <w:pPr>
        <w:jc w:val="center"/>
        <w:outlineLvl w:val="0"/>
        <w:rPr>
          <w:b/>
          <w:sz w:val="44"/>
          <w:szCs w:val="44"/>
        </w:rPr>
      </w:pPr>
      <w:bookmarkStart w:id="0" w:name="_Toc57972421"/>
      <w:bookmarkStart w:id="1" w:name="_Toc426044914"/>
      <w:bookmarkStart w:id="2" w:name="_Toc425156263"/>
      <w:r>
        <w:rPr>
          <w:b/>
          <w:sz w:val="44"/>
          <w:szCs w:val="44"/>
        </w:rPr>
        <w:t>（</w:t>
      </w:r>
      <w:r>
        <w:rPr>
          <w:rFonts w:hint="eastAsia"/>
          <w:b/>
          <w:sz w:val="44"/>
          <w:szCs w:val="44"/>
        </w:rPr>
        <w:t>报批稿</w:t>
      </w:r>
      <w:r>
        <w:rPr>
          <w:b/>
          <w:sz w:val="44"/>
          <w:szCs w:val="44"/>
        </w:rPr>
        <w:t>）</w:t>
      </w:r>
      <w:bookmarkEnd w:id="0"/>
      <w:bookmarkEnd w:id="1"/>
      <w:bookmarkEnd w:id="2"/>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32"/>
          <w:szCs w:val="32"/>
          <w:u w:val="single"/>
        </w:rPr>
      </w:pPr>
      <w:r>
        <w:rPr>
          <w:b/>
          <w:sz w:val="32"/>
          <w:szCs w:val="32"/>
        </w:rPr>
        <w:t>项目名称：</w:t>
      </w:r>
      <w:r>
        <w:rPr>
          <w:rFonts w:hint="eastAsia"/>
          <w:b/>
          <w:sz w:val="32"/>
          <w:szCs w:val="32"/>
          <w:u w:val="single"/>
        </w:rPr>
        <w:t>维西县</w:t>
      </w:r>
      <w:r>
        <w:rPr>
          <w:b/>
          <w:sz w:val="32"/>
          <w:szCs w:val="32"/>
          <w:u w:val="single"/>
        </w:rPr>
        <w:t>老城区农贸市场建设</w:t>
      </w:r>
      <w:r>
        <w:rPr>
          <w:rFonts w:hint="eastAsia"/>
          <w:b/>
          <w:sz w:val="32"/>
          <w:szCs w:val="32"/>
          <w:u w:val="single"/>
        </w:rPr>
        <w:t>项目</w:t>
      </w:r>
    </w:p>
    <w:p>
      <w:pPr>
        <w:jc w:val="center"/>
        <w:rPr>
          <w:rFonts w:hint="eastAsia"/>
          <w:b/>
          <w:sz w:val="32"/>
          <w:szCs w:val="32"/>
          <w:u w:val="single"/>
        </w:rPr>
      </w:pPr>
      <w:r>
        <w:rPr>
          <w:b/>
          <w:sz w:val="32"/>
          <w:szCs w:val="32"/>
        </w:rPr>
        <w:t>建设单位（盖章）：</w:t>
      </w:r>
      <w:r>
        <w:rPr>
          <w:rFonts w:hint="eastAsia"/>
          <w:b/>
          <w:sz w:val="32"/>
          <w:szCs w:val="32"/>
          <w:u w:val="single"/>
        </w:rPr>
        <w:t>维西县老城区</w:t>
      </w:r>
      <w:r>
        <w:rPr>
          <w:b/>
          <w:sz w:val="32"/>
          <w:szCs w:val="32"/>
          <w:u w:val="single"/>
        </w:rPr>
        <w:t>农贸市场建设项目指挥部</w:t>
      </w:r>
    </w:p>
    <w:p>
      <w:pPr>
        <w:jc w:val="center"/>
        <w:rPr>
          <w:b/>
          <w:sz w:val="32"/>
          <w:szCs w:val="32"/>
        </w:rPr>
      </w:pPr>
    </w:p>
    <w:p>
      <w:pPr>
        <w:jc w:val="center"/>
        <w:rPr>
          <w:b/>
          <w:sz w:val="32"/>
          <w:szCs w:val="32"/>
        </w:rPr>
      </w:pPr>
    </w:p>
    <w:p>
      <w:pPr>
        <w:jc w:val="center"/>
        <w:rPr>
          <w:b/>
          <w:sz w:val="32"/>
          <w:szCs w:val="32"/>
        </w:rPr>
      </w:pPr>
    </w:p>
    <w:p>
      <w:pPr>
        <w:jc w:val="center"/>
        <w:rPr>
          <w:b/>
          <w:sz w:val="32"/>
          <w:szCs w:val="32"/>
        </w:rPr>
      </w:pPr>
      <w:r>
        <w:rPr>
          <w:b/>
          <w:sz w:val="32"/>
          <w:szCs w:val="32"/>
        </w:rPr>
        <w:t>编制日期</w:t>
      </w:r>
      <w:r>
        <w:rPr>
          <w:rFonts w:hint="eastAsia"/>
          <w:b/>
          <w:sz w:val="32"/>
          <w:szCs w:val="32"/>
        </w:rPr>
        <w:t>:2020</w:t>
      </w:r>
      <w:r>
        <w:rPr>
          <w:b/>
          <w:sz w:val="32"/>
          <w:szCs w:val="32"/>
        </w:rPr>
        <w:t>年</w:t>
      </w:r>
      <w:r>
        <w:rPr>
          <w:rFonts w:hint="eastAsia"/>
          <w:b/>
          <w:sz w:val="32"/>
          <w:szCs w:val="32"/>
        </w:rPr>
        <w:t>1</w:t>
      </w:r>
      <w:r>
        <w:rPr>
          <w:b/>
          <w:sz w:val="32"/>
          <w:szCs w:val="32"/>
        </w:rPr>
        <w:t>2月</w:t>
      </w:r>
    </w:p>
    <w:p>
      <w:pPr>
        <w:jc w:val="center"/>
        <w:rPr>
          <w:b/>
          <w:sz w:val="32"/>
          <w:szCs w:val="32"/>
        </w:rPr>
      </w:pPr>
      <w:r>
        <w:rPr>
          <w:rFonts w:hint="eastAsia"/>
          <w:b/>
          <w:sz w:val="32"/>
          <w:szCs w:val="32"/>
        </w:rPr>
        <w:t>编制单位:云南玮元</w:t>
      </w:r>
      <w:r>
        <w:rPr>
          <w:b/>
          <w:sz w:val="32"/>
          <w:szCs w:val="32"/>
        </w:rPr>
        <w:t>工程</w:t>
      </w:r>
      <w:r>
        <w:rPr>
          <w:rFonts w:hint="eastAsia"/>
          <w:b/>
          <w:sz w:val="32"/>
          <w:szCs w:val="32"/>
        </w:rPr>
        <w:t>咨询有限公司</w:t>
      </w:r>
    </w:p>
    <w:p>
      <w:pPr>
        <w:jc w:val="center"/>
        <w:rPr>
          <w:b/>
          <w:sz w:val="30"/>
          <w:szCs w:val="30"/>
        </w:rPr>
      </w:pPr>
    </w:p>
    <w:p>
      <w:pPr>
        <w:spacing w:before="600" w:after="240"/>
        <w:jc w:val="center"/>
        <w:rPr>
          <w:sz w:val="28"/>
          <w:szCs w:val="28"/>
        </w:rPr>
      </w:pPr>
      <w:r>
        <w:rPr>
          <w:b/>
          <w:bCs/>
          <w:sz w:val="28"/>
          <w:szCs w:val="28"/>
        </w:rPr>
        <w:t>《建设项目环境影响报告表》编制说明</w:t>
      </w:r>
    </w:p>
    <w:p>
      <w:pPr>
        <w:adjustRightInd w:val="0"/>
        <w:snapToGrid w:val="0"/>
        <w:spacing w:line="360" w:lineRule="auto"/>
        <w:ind w:firstLine="560" w:firstLineChars="200"/>
        <w:rPr>
          <w:sz w:val="28"/>
          <w:szCs w:val="28"/>
        </w:rPr>
      </w:pPr>
      <w:r>
        <w:rPr>
          <w:sz w:val="28"/>
          <w:szCs w:val="28"/>
        </w:rPr>
        <w:t>《建设项目环境影响报告表》由具有从事环境影响评价工作资质的单位编制。</w:t>
      </w:r>
    </w:p>
    <w:p>
      <w:pPr>
        <w:adjustRightInd w:val="0"/>
        <w:snapToGrid w:val="0"/>
        <w:spacing w:line="360" w:lineRule="auto"/>
        <w:rPr>
          <w:sz w:val="28"/>
          <w:szCs w:val="28"/>
        </w:rPr>
      </w:pPr>
      <w:r>
        <w:rPr>
          <w:sz w:val="28"/>
          <w:szCs w:val="28"/>
        </w:rPr>
        <w:t xml:space="preserve">    1、项目名称——指项目立项批复时的名称，应不超过30个字（两个英文字段作一个汉字）。</w:t>
      </w:r>
    </w:p>
    <w:p>
      <w:pPr>
        <w:adjustRightInd w:val="0"/>
        <w:snapToGrid w:val="0"/>
        <w:spacing w:line="360" w:lineRule="auto"/>
        <w:ind w:firstLine="560" w:firstLineChars="200"/>
        <w:rPr>
          <w:sz w:val="28"/>
          <w:szCs w:val="28"/>
        </w:rPr>
      </w:pPr>
      <w:r>
        <w:rPr>
          <w:sz w:val="28"/>
          <w:szCs w:val="28"/>
        </w:rPr>
        <w:t>2、建设地点——指项目所在地详细地址，公路、铁路应填写起止地点。</w:t>
      </w:r>
    </w:p>
    <w:p>
      <w:pPr>
        <w:adjustRightInd w:val="0"/>
        <w:snapToGrid w:val="0"/>
        <w:spacing w:line="360" w:lineRule="auto"/>
        <w:rPr>
          <w:sz w:val="28"/>
          <w:szCs w:val="28"/>
        </w:rPr>
      </w:pPr>
      <w:r>
        <w:rPr>
          <w:sz w:val="28"/>
          <w:szCs w:val="28"/>
        </w:rPr>
        <w:t xml:space="preserve">    3、行业类别——按国标填写。</w:t>
      </w:r>
    </w:p>
    <w:p>
      <w:pPr>
        <w:adjustRightInd w:val="0"/>
        <w:snapToGrid w:val="0"/>
        <w:spacing w:line="360" w:lineRule="auto"/>
        <w:rPr>
          <w:sz w:val="28"/>
          <w:szCs w:val="28"/>
        </w:rPr>
      </w:pPr>
      <w:r>
        <w:rPr>
          <w:sz w:val="28"/>
          <w:szCs w:val="28"/>
        </w:rPr>
        <w:t xml:space="preserve">    4、总投资——指项目投资总额。</w:t>
      </w:r>
    </w:p>
    <w:p>
      <w:pPr>
        <w:adjustRightInd w:val="0"/>
        <w:snapToGrid w:val="0"/>
        <w:spacing w:line="360" w:lineRule="auto"/>
        <w:rPr>
          <w:sz w:val="28"/>
          <w:szCs w:val="28"/>
        </w:rPr>
      </w:pPr>
      <w:r>
        <w:rPr>
          <w:sz w:val="28"/>
          <w:szCs w:val="28"/>
        </w:rPr>
        <w:t xml:space="preserve">    5、主要环境保护目标——指项目区周围一定范围内集中居民住宅区、学校、医院、保护文物、风景名胜区、水源地和生态敏感点等，应尽可能给出保护目标、性质、规模和距厂界距离等。</w:t>
      </w:r>
    </w:p>
    <w:p>
      <w:pPr>
        <w:adjustRightInd w:val="0"/>
        <w:snapToGrid w:val="0"/>
        <w:spacing w:line="360" w:lineRule="auto"/>
        <w:rPr>
          <w:sz w:val="28"/>
          <w:szCs w:val="28"/>
        </w:rPr>
      </w:pPr>
      <w:r>
        <w:rPr>
          <w:sz w:val="28"/>
          <w:szCs w:val="28"/>
        </w:rPr>
        <w:t xml:space="preserve">    6、结论与建议——给出本项目清洁生产、达标排放和总量控制的分析结论，确定污染防治措施的有效性，说明本项目对环境造成的影响，给出建设项目环境可行性的明确结论。同时提出减少环境影响的其他建议。</w:t>
      </w:r>
    </w:p>
    <w:p>
      <w:pPr>
        <w:adjustRightInd w:val="0"/>
        <w:snapToGrid w:val="0"/>
        <w:spacing w:line="360" w:lineRule="auto"/>
        <w:ind w:firstLine="560" w:firstLineChars="200"/>
        <w:rPr>
          <w:sz w:val="28"/>
          <w:szCs w:val="28"/>
        </w:rPr>
      </w:pPr>
      <w:r>
        <w:rPr>
          <w:sz w:val="28"/>
          <w:szCs w:val="28"/>
        </w:rPr>
        <w:t>7、预审意见——由行业主管部门填写答复意见，无主管部门项目，可不填。</w:t>
      </w:r>
    </w:p>
    <w:p>
      <w:pPr>
        <w:adjustRightInd w:val="0"/>
        <w:snapToGrid w:val="0"/>
        <w:spacing w:line="360" w:lineRule="auto"/>
        <w:ind w:firstLine="560" w:firstLineChars="200"/>
        <w:rPr>
          <w:sz w:val="24"/>
        </w:rPr>
      </w:pPr>
      <w:r>
        <w:rPr>
          <w:sz w:val="28"/>
          <w:szCs w:val="28"/>
        </w:rPr>
        <w:t>8、审批意见——由负责审批该项目的环境保护行政主管部门批复。</w:t>
      </w:r>
    </w:p>
    <w:p>
      <w:pPr>
        <w:adjustRightInd w:val="0"/>
        <w:snapToGrid w:val="0"/>
        <w:spacing w:line="500" w:lineRule="exact"/>
        <w:ind w:right="25" w:rightChars="12"/>
        <w:jc w:val="center"/>
        <w:rPr>
          <w:sz w:val="24"/>
        </w:rPr>
      </w:pPr>
    </w:p>
    <w:p>
      <w:pPr>
        <w:adjustRightInd w:val="0"/>
        <w:snapToGrid w:val="0"/>
        <w:spacing w:line="500" w:lineRule="exact"/>
        <w:ind w:right="25" w:rightChars="12"/>
        <w:jc w:val="center"/>
        <w:rPr>
          <w:sz w:val="24"/>
        </w:rPr>
      </w:pPr>
    </w:p>
    <w:p>
      <w:pPr>
        <w:adjustRightInd w:val="0"/>
        <w:snapToGrid w:val="0"/>
        <w:spacing w:line="500" w:lineRule="exact"/>
        <w:ind w:right="25" w:rightChars="12"/>
        <w:jc w:val="center"/>
        <w:rPr>
          <w:sz w:val="24"/>
        </w:rPr>
      </w:pPr>
    </w:p>
    <w:p>
      <w:pPr>
        <w:tabs>
          <w:tab w:val="left" w:pos="3450"/>
          <w:tab w:val="center" w:pos="4140"/>
        </w:tabs>
        <w:adjustRightInd w:val="0"/>
        <w:snapToGrid w:val="0"/>
        <w:spacing w:line="500" w:lineRule="exact"/>
        <w:ind w:right="25" w:rightChars="12"/>
        <w:jc w:val="left"/>
        <w:rPr>
          <w:sz w:val="24"/>
        </w:rPr>
      </w:pPr>
      <w:r>
        <w:rPr>
          <w:sz w:val="24"/>
        </w:rPr>
        <w:tab/>
      </w:r>
      <w:r>
        <w:rPr>
          <w:sz w:val="24"/>
        </w:rPr>
        <w:tab/>
      </w:r>
    </w:p>
    <w:p>
      <w:pPr>
        <w:rPr>
          <w:sz w:val="24"/>
        </w:rPr>
        <w:sectPr>
          <w:footerReference r:id="rId3" w:type="even"/>
          <w:pgSz w:w="11906" w:h="16838"/>
          <w:pgMar w:top="1440" w:right="1800" w:bottom="1440" w:left="1800" w:header="851" w:footer="992" w:gutter="0"/>
          <w:pgNumType w:start="1"/>
          <w:cols w:space="720" w:num="1"/>
          <w:docGrid w:type="lines" w:linePitch="312" w:charSpace="0"/>
        </w:sectPr>
      </w:pPr>
    </w:p>
    <w:p>
      <w:pPr>
        <w:pStyle w:val="27"/>
        <w:outlineLvl w:val="1"/>
        <w:rPr>
          <w:rStyle w:val="66"/>
          <w:sz w:val="32"/>
          <w:szCs w:val="32"/>
        </w:rPr>
      </w:pPr>
      <w:bookmarkStart w:id="3" w:name="_Toc425156264"/>
      <w:bookmarkStart w:id="4" w:name="_Toc57972422"/>
      <w:bookmarkStart w:id="5" w:name="_Toc426044915"/>
      <w:r>
        <w:rPr>
          <w:rStyle w:val="66"/>
          <w:rFonts w:hAnsi="宋体"/>
          <w:sz w:val="32"/>
          <w:szCs w:val="32"/>
        </w:rPr>
        <w:t>目</w:t>
      </w:r>
      <w:r>
        <w:rPr>
          <w:rStyle w:val="66"/>
          <w:sz w:val="32"/>
          <w:szCs w:val="32"/>
        </w:rPr>
        <w:t xml:space="preserve"> </w:t>
      </w:r>
      <w:r>
        <w:rPr>
          <w:rStyle w:val="66"/>
          <w:rFonts w:hAnsi="宋体"/>
          <w:sz w:val="32"/>
          <w:szCs w:val="32"/>
        </w:rPr>
        <w:t>录</w:t>
      </w:r>
      <w:bookmarkEnd w:id="3"/>
      <w:bookmarkEnd w:id="4"/>
      <w:bookmarkEnd w:id="5"/>
    </w:p>
    <w:p>
      <w:pPr>
        <w:pStyle w:val="27"/>
        <w:tabs>
          <w:tab w:val="right" w:leader="dot" w:pos="8296"/>
        </w:tabs>
        <w:rPr>
          <w:rFonts w:ascii="Calibri" w:hAnsi="Calibri"/>
          <w:szCs w:val="22"/>
          <w:lang/>
        </w:rPr>
      </w:pPr>
      <w:r>
        <w:rPr>
          <w:bCs/>
          <w:sz w:val="24"/>
        </w:rPr>
        <w:fldChar w:fldCharType="begin"/>
      </w:r>
      <w:r>
        <w:rPr>
          <w:rStyle w:val="66"/>
          <w:b w:val="0"/>
          <w:sz w:val="24"/>
        </w:rPr>
        <w:instrText xml:space="preserve"> TOC \o "1-3" \h \z \u </w:instrText>
      </w:r>
      <w:r>
        <w:rPr>
          <w:bCs/>
          <w:sz w:val="24"/>
        </w:rPr>
        <w:fldChar w:fldCharType="separate"/>
      </w:r>
    </w:p>
    <w:p>
      <w:pPr>
        <w:pStyle w:val="27"/>
        <w:tabs>
          <w:tab w:val="right" w:leader="dot" w:pos="8296"/>
        </w:tabs>
        <w:rPr>
          <w:rFonts w:ascii="Calibri" w:hAnsi="Calibri"/>
          <w:szCs w:val="22"/>
          <w:lang/>
        </w:rPr>
      </w:pPr>
      <w:r>
        <w:rPr>
          <w:rStyle w:val="41"/>
          <w:lang/>
        </w:rPr>
        <w:fldChar w:fldCharType="begin"/>
      </w:r>
      <w:r>
        <w:rPr>
          <w:rStyle w:val="41"/>
          <w:lang/>
        </w:rPr>
        <w:instrText xml:space="preserve"> </w:instrText>
      </w:r>
      <w:r>
        <w:rPr>
          <w:lang/>
        </w:rPr>
        <w:instrText xml:space="preserve">HYPERLINK \l "_Toc57972423"</w:instrText>
      </w:r>
      <w:r>
        <w:rPr>
          <w:rStyle w:val="41"/>
          <w:lang/>
        </w:rPr>
        <w:instrText xml:space="preserve"> </w:instrText>
      </w:r>
      <w:r>
        <w:rPr>
          <w:rStyle w:val="41"/>
          <w:lang/>
        </w:rPr>
        <w:fldChar w:fldCharType="separate"/>
      </w:r>
      <w:r>
        <w:rPr>
          <w:rStyle w:val="41"/>
          <w:rFonts w:hint="eastAsia" w:hAnsi="宋体"/>
          <w:b/>
          <w:spacing w:val="20"/>
          <w:kern w:val="0"/>
          <w:lang/>
        </w:rPr>
        <w:t>表一</w:t>
      </w:r>
      <w:r>
        <w:rPr>
          <w:rStyle w:val="41"/>
          <w:rFonts w:hAnsi="宋体"/>
          <w:b/>
          <w:spacing w:val="20"/>
          <w:kern w:val="0"/>
          <w:lang/>
        </w:rPr>
        <w:t xml:space="preserve"> </w:t>
      </w:r>
      <w:r>
        <w:rPr>
          <w:rStyle w:val="41"/>
          <w:rFonts w:hint="eastAsia" w:hAnsi="宋体"/>
          <w:b/>
          <w:spacing w:val="20"/>
          <w:kern w:val="0"/>
          <w:lang/>
        </w:rPr>
        <w:t>建设项目基本情况</w:t>
      </w:r>
      <w:r>
        <w:rPr>
          <w:lang/>
        </w:rPr>
        <w:tab/>
      </w:r>
      <w:r>
        <w:rPr>
          <w:lang/>
        </w:rPr>
        <w:fldChar w:fldCharType="begin"/>
      </w:r>
      <w:r>
        <w:rPr>
          <w:lang/>
        </w:rPr>
        <w:instrText xml:space="preserve"> PAGEREF _Toc57972423 \h </w:instrText>
      </w:r>
      <w:r>
        <w:rPr>
          <w:lang/>
        </w:rPr>
        <w:fldChar w:fldCharType="separate"/>
      </w:r>
      <w:r>
        <w:rPr>
          <w:lang/>
        </w:rPr>
        <w:t>1</w:t>
      </w:r>
      <w:r>
        <w:rPr>
          <w:lang/>
        </w:rPr>
        <w:fldChar w:fldCharType="end"/>
      </w:r>
      <w:r>
        <w:rPr>
          <w:rStyle w:val="41"/>
          <w:lang/>
        </w:rPr>
        <w:fldChar w:fldCharType="end"/>
      </w:r>
    </w:p>
    <w:p>
      <w:pPr>
        <w:pStyle w:val="27"/>
        <w:tabs>
          <w:tab w:val="right" w:leader="dot" w:pos="8296"/>
        </w:tabs>
        <w:rPr>
          <w:rFonts w:ascii="Calibri" w:hAnsi="Calibri"/>
          <w:szCs w:val="22"/>
          <w:lang/>
        </w:rPr>
      </w:pPr>
      <w:r>
        <w:rPr>
          <w:rStyle w:val="41"/>
          <w:lang/>
        </w:rPr>
        <w:fldChar w:fldCharType="begin"/>
      </w:r>
      <w:r>
        <w:rPr>
          <w:rStyle w:val="41"/>
          <w:lang/>
        </w:rPr>
        <w:instrText xml:space="preserve"> </w:instrText>
      </w:r>
      <w:r>
        <w:rPr>
          <w:lang/>
        </w:rPr>
        <w:instrText xml:space="preserve">HYPERLINK \l "_Toc57972426"</w:instrText>
      </w:r>
      <w:r>
        <w:rPr>
          <w:rStyle w:val="41"/>
          <w:lang/>
        </w:rPr>
        <w:instrText xml:space="preserve"> </w:instrText>
      </w:r>
      <w:r>
        <w:rPr>
          <w:rStyle w:val="41"/>
          <w:lang/>
        </w:rPr>
        <w:fldChar w:fldCharType="separate"/>
      </w:r>
      <w:r>
        <w:rPr>
          <w:rStyle w:val="41"/>
          <w:rFonts w:hint="eastAsia" w:hAnsi="宋体"/>
          <w:b/>
          <w:spacing w:val="20"/>
          <w:kern w:val="0"/>
          <w:lang/>
        </w:rPr>
        <w:t>表二</w:t>
      </w:r>
      <w:r>
        <w:rPr>
          <w:rStyle w:val="41"/>
          <w:rFonts w:hAnsi="宋体"/>
          <w:b/>
          <w:spacing w:val="20"/>
          <w:kern w:val="0"/>
          <w:lang/>
        </w:rPr>
        <w:t xml:space="preserve"> </w:t>
      </w:r>
      <w:r>
        <w:rPr>
          <w:rStyle w:val="41"/>
          <w:rFonts w:hint="eastAsia" w:hAnsi="宋体"/>
          <w:b/>
          <w:spacing w:val="20"/>
          <w:kern w:val="0"/>
          <w:lang/>
        </w:rPr>
        <w:t>建设项目所在地自然环境社会环境简况</w:t>
      </w:r>
      <w:r>
        <w:rPr>
          <w:lang/>
        </w:rPr>
        <w:tab/>
      </w:r>
      <w:r>
        <w:rPr>
          <w:lang/>
        </w:rPr>
        <w:fldChar w:fldCharType="begin"/>
      </w:r>
      <w:r>
        <w:rPr>
          <w:lang/>
        </w:rPr>
        <w:instrText xml:space="preserve"> PAGEREF _Toc57972426 \h </w:instrText>
      </w:r>
      <w:r>
        <w:rPr>
          <w:lang/>
        </w:rPr>
        <w:fldChar w:fldCharType="separate"/>
      </w:r>
      <w:r>
        <w:rPr>
          <w:lang/>
        </w:rPr>
        <w:t>13</w:t>
      </w:r>
      <w:r>
        <w:rPr>
          <w:lang/>
        </w:rPr>
        <w:fldChar w:fldCharType="end"/>
      </w:r>
      <w:r>
        <w:rPr>
          <w:rStyle w:val="41"/>
          <w:lang/>
        </w:rPr>
        <w:fldChar w:fldCharType="end"/>
      </w:r>
    </w:p>
    <w:p>
      <w:pPr>
        <w:pStyle w:val="27"/>
        <w:tabs>
          <w:tab w:val="right" w:leader="dot" w:pos="8296"/>
        </w:tabs>
        <w:rPr>
          <w:rFonts w:ascii="Calibri" w:hAnsi="Calibri"/>
          <w:szCs w:val="22"/>
          <w:lang/>
        </w:rPr>
      </w:pPr>
      <w:r>
        <w:rPr>
          <w:rStyle w:val="41"/>
          <w:lang/>
        </w:rPr>
        <w:fldChar w:fldCharType="begin"/>
      </w:r>
      <w:r>
        <w:rPr>
          <w:rStyle w:val="41"/>
          <w:lang/>
        </w:rPr>
        <w:instrText xml:space="preserve"> </w:instrText>
      </w:r>
      <w:r>
        <w:rPr>
          <w:lang/>
        </w:rPr>
        <w:instrText xml:space="preserve">HYPERLINK \l "_Toc57972427"</w:instrText>
      </w:r>
      <w:r>
        <w:rPr>
          <w:rStyle w:val="41"/>
          <w:lang/>
        </w:rPr>
        <w:instrText xml:space="preserve"> </w:instrText>
      </w:r>
      <w:r>
        <w:rPr>
          <w:rStyle w:val="41"/>
          <w:lang/>
        </w:rPr>
        <w:fldChar w:fldCharType="separate"/>
      </w:r>
      <w:r>
        <w:rPr>
          <w:rStyle w:val="41"/>
          <w:rFonts w:hint="eastAsia" w:hAnsi="宋体"/>
          <w:b/>
          <w:spacing w:val="20"/>
          <w:kern w:val="0"/>
          <w:lang/>
        </w:rPr>
        <w:t>表三</w:t>
      </w:r>
      <w:r>
        <w:rPr>
          <w:rStyle w:val="41"/>
          <w:rFonts w:hAnsi="宋体"/>
          <w:b/>
          <w:spacing w:val="20"/>
          <w:kern w:val="0"/>
          <w:lang/>
        </w:rPr>
        <w:t xml:space="preserve"> </w:t>
      </w:r>
      <w:r>
        <w:rPr>
          <w:rStyle w:val="41"/>
          <w:rFonts w:hint="eastAsia" w:hAnsi="宋体"/>
          <w:b/>
          <w:spacing w:val="20"/>
          <w:kern w:val="0"/>
          <w:lang/>
        </w:rPr>
        <w:t>环境质量状况</w:t>
      </w:r>
      <w:r>
        <w:rPr>
          <w:lang/>
        </w:rPr>
        <w:tab/>
      </w:r>
      <w:r>
        <w:rPr>
          <w:lang/>
        </w:rPr>
        <w:fldChar w:fldCharType="begin"/>
      </w:r>
      <w:r>
        <w:rPr>
          <w:lang/>
        </w:rPr>
        <w:instrText xml:space="preserve"> PAGEREF _Toc57972427 \h </w:instrText>
      </w:r>
      <w:r>
        <w:rPr>
          <w:lang/>
        </w:rPr>
        <w:fldChar w:fldCharType="separate"/>
      </w:r>
      <w:r>
        <w:rPr>
          <w:lang/>
        </w:rPr>
        <w:t>16</w:t>
      </w:r>
      <w:r>
        <w:rPr>
          <w:lang/>
        </w:rPr>
        <w:fldChar w:fldCharType="end"/>
      </w:r>
      <w:r>
        <w:rPr>
          <w:rStyle w:val="41"/>
          <w:lang/>
        </w:rPr>
        <w:fldChar w:fldCharType="end"/>
      </w:r>
    </w:p>
    <w:p>
      <w:pPr>
        <w:pStyle w:val="27"/>
        <w:tabs>
          <w:tab w:val="right" w:leader="dot" w:pos="8296"/>
        </w:tabs>
        <w:rPr>
          <w:rFonts w:ascii="Calibri" w:hAnsi="Calibri"/>
          <w:szCs w:val="22"/>
          <w:lang/>
        </w:rPr>
      </w:pPr>
      <w:r>
        <w:rPr>
          <w:rStyle w:val="41"/>
          <w:lang/>
        </w:rPr>
        <w:fldChar w:fldCharType="begin"/>
      </w:r>
      <w:r>
        <w:rPr>
          <w:rStyle w:val="41"/>
          <w:lang/>
        </w:rPr>
        <w:instrText xml:space="preserve"> </w:instrText>
      </w:r>
      <w:r>
        <w:rPr>
          <w:lang/>
        </w:rPr>
        <w:instrText xml:space="preserve">HYPERLINK \l "_Toc57972428"</w:instrText>
      </w:r>
      <w:r>
        <w:rPr>
          <w:rStyle w:val="41"/>
          <w:lang/>
        </w:rPr>
        <w:instrText xml:space="preserve"> </w:instrText>
      </w:r>
      <w:r>
        <w:rPr>
          <w:rStyle w:val="41"/>
          <w:lang/>
        </w:rPr>
        <w:fldChar w:fldCharType="separate"/>
      </w:r>
      <w:r>
        <w:rPr>
          <w:rStyle w:val="41"/>
          <w:rFonts w:hint="eastAsia" w:hAnsi="宋体"/>
          <w:b/>
          <w:spacing w:val="20"/>
          <w:kern w:val="0"/>
          <w:lang/>
        </w:rPr>
        <w:t>表四</w:t>
      </w:r>
      <w:r>
        <w:rPr>
          <w:rStyle w:val="41"/>
          <w:rFonts w:hAnsi="宋体"/>
          <w:b/>
          <w:spacing w:val="20"/>
          <w:kern w:val="0"/>
          <w:lang/>
        </w:rPr>
        <w:t xml:space="preserve"> </w:t>
      </w:r>
      <w:r>
        <w:rPr>
          <w:rStyle w:val="41"/>
          <w:rFonts w:hint="eastAsia" w:hAnsi="宋体"/>
          <w:b/>
          <w:spacing w:val="20"/>
          <w:kern w:val="0"/>
          <w:lang/>
        </w:rPr>
        <w:t>评价适用标准</w:t>
      </w:r>
      <w:r>
        <w:rPr>
          <w:lang/>
        </w:rPr>
        <w:tab/>
      </w:r>
      <w:r>
        <w:rPr>
          <w:lang/>
        </w:rPr>
        <w:fldChar w:fldCharType="begin"/>
      </w:r>
      <w:r>
        <w:rPr>
          <w:lang/>
        </w:rPr>
        <w:instrText xml:space="preserve"> PAGEREF _Toc57972428 \h </w:instrText>
      </w:r>
      <w:r>
        <w:rPr>
          <w:lang/>
        </w:rPr>
        <w:fldChar w:fldCharType="separate"/>
      </w:r>
      <w:r>
        <w:rPr>
          <w:lang/>
        </w:rPr>
        <w:t>20</w:t>
      </w:r>
      <w:r>
        <w:rPr>
          <w:lang/>
        </w:rPr>
        <w:fldChar w:fldCharType="end"/>
      </w:r>
      <w:r>
        <w:rPr>
          <w:rStyle w:val="41"/>
          <w:lang/>
        </w:rPr>
        <w:fldChar w:fldCharType="end"/>
      </w:r>
    </w:p>
    <w:p>
      <w:pPr>
        <w:pStyle w:val="27"/>
        <w:tabs>
          <w:tab w:val="right" w:leader="dot" w:pos="8296"/>
        </w:tabs>
        <w:rPr>
          <w:rFonts w:ascii="Calibri" w:hAnsi="Calibri"/>
          <w:szCs w:val="22"/>
          <w:lang/>
        </w:rPr>
      </w:pPr>
      <w:r>
        <w:rPr>
          <w:rStyle w:val="41"/>
          <w:lang/>
        </w:rPr>
        <w:fldChar w:fldCharType="begin"/>
      </w:r>
      <w:r>
        <w:rPr>
          <w:rStyle w:val="41"/>
          <w:lang/>
        </w:rPr>
        <w:instrText xml:space="preserve"> </w:instrText>
      </w:r>
      <w:r>
        <w:rPr>
          <w:lang/>
        </w:rPr>
        <w:instrText xml:space="preserve">HYPERLINK \l "_Toc57972429"</w:instrText>
      </w:r>
      <w:r>
        <w:rPr>
          <w:rStyle w:val="41"/>
          <w:lang/>
        </w:rPr>
        <w:instrText xml:space="preserve"> </w:instrText>
      </w:r>
      <w:r>
        <w:rPr>
          <w:rStyle w:val="41"/>
          <w:lang/>
        </w:rPr>
        <w:fldChar w:fldCharType="separate"/>
      </w:r>
      <w:r>
        <w:rPr>
          <w:rStyle w:val="41"/>
          <w:rFonts w:hint="eastAsia" w:hAnsi="宋体"/>
          <w:b/>
          <w:spacing w:val="20"/>
          <w:kern w:val="0"/>
          <w:lang/>
        </w:rPr>
        <w:t>表五</w:t>
      </w:r>
      <w:r>
        <w:rPr>
          <w:rStyle w:val="41"/>
          <w:rFonts w:hAnsi="宋体"/>
          <w:b/>
          <w:spacing w:val="20"/>
          <w:kern w:val="0"/>
          <w:lang/>
        </w:rPr>
        <w:t xml:space="preserve"> </w:t>
      </w:r>
      <w:r>
        <w:rPr>
          <w:rStyle w:val="41"/>
          <w:rFonts w:hint="eastAsia" w:hAnsi="宋体"/>
          <w:b/>
          <w:spacing w:val="20"/>
          <w:kern w:val="0"/>
          <w:lang/>
        </w:rPr>
        <w:t>建设项目工程分析</w:t>
      </w:r>
      <w:r>
        <w:rPr>
          <w:lang/>
        </w:rPr>
        <w:tab/>
      </w:r>
      <w:r>
        <w:rPr>
          <w:lang/>
        </w:rPr>
        <w:fldChar w:fldCharType="begin"/>
      </w:r>
      <w:r>
        <w:rPr>
          <w:lang/>
        </w:rPr>
        <w:instrText xml:space="preserve"> PAGEREF _Toc57972429 \h </w:instrText>
      </w:r>
      <w:r>
        <w:rPr>
          <w:lang/>
        </w:rPr>
        <w:fldChar w:fldCharType="separate"/>
      </w:r>
      <w:r>
        <w:rPr>
          <w:lang/>
        </w:rPr>
        <w:t>25</w:t>
      </w:r>
      <w:r>
        <w:rPr>
          <w:lang/>
        </w:rPr>
        <w:fldChar w:fldCharType="end"/>
      </w:r>
      <w:r>
        <w:rPr>
          <w:rStyle w:val="41"/>
          <w:lang/>
        </w:rPr>
        <w:fldChar w:fldCharType="end"/>
      </w:r>
    </w:p>
    <w:p>
      <w:pPr>
        <w:pStyle w:val="27"/>
        <w:tabs>
          <w:tab w:val="right" w:leader="dot" w:pos="8296"/>
        </w:tabs>
        <w:rPr>
          <w:rFonts w:ascii="Calibri" w:hAnsi="Calibri"/>
          <w:szCs w:val="22"/>
          <w:lang/>
        </w:rPr>
      </w:pPr>
      <w:r>
        <w:rPr>
          <w:rStyle w:val="41"/>
          <w:lang/>
        </w:rPr>
        <w:fldChar w:fldCharType="begin"/>
      </w:r>
      <w:r>
        <w:rPr>
          <w:rStyle w:val="41"/>
          <w:lang/>
        </w:rPr>
        <w:instrText xml:space="preserve"> </w:instrText>
      </w:r>
      <w:r>
        <w:rPr>
          <w:lang/>
        </w:rPr>
        <w:instrText xml:space="preserve">HYPERLINK \l "_Toc57972430"</w:instrText>
      </w:r>
      <w:r>
        <w:rPr>
          <w:rStyle w:val="41"/>
          <w:lang/>
        </w:rPr>
        <w:instrText xml:space="preserve"> </w:instrText>
      </w:r>
      <w:r>
        <w:rPr>
          <w:rStyle w:val="41"/>
          <w:lang/>
        </w:rPr>
        <w:fldChar w:fldCharType="separate"/>
      </w:r>
      <w:r>
        <w:rPr>
          <w:rStyle w:val="41"/>
          <w:rFonts w:hint="eastAsia" w:hAnsi="宋体"/>
          <w:b/>
          <w:spacing w:val="20"/>
          <w:kern w:val="0"/>
          <w:lang/>
        </w:rPr>
        <w:t>表六</w:t>
      </w:r>
      <w:r>
        <w:rPr>
          <w:rStyle w:val="41"/>
          <w:rFonts w:hAnsi="宋体"/>
          <w:b/>
          <w:spacing w:val="20"/>
          <w:kern w:val="0"/>
          <w:lang/>
        </w:rPr>
        <w:t xml:space="preserve"> </w:t>
      </w:r>
      <w:r>
        <w:rPr>
          <w:rStyle w:val="41"/>
          <w:rFonts w:hint="eastAsia" w:hAnsi="宋体"/>
          <w:b/>
          <w:spacing w:val="20"/>
          <w:kern w:val="0"/>
          <w:lang/>
        </w:rPr>
        <w:t>项目主要污染物产生及预计排放情况</w:t>
      </w:r>
      <w:r>
        <w:rPr>
          <w:lang/>
        </w:rPr>
        <w:tab/>
      </w:r>
      <w:r>
        <w:rPr>
          <w:lang/>
        </w:rPr>
        <w:fldChar w:fldCharType="begin"/>
      </w:r>
      <w:r>
        <w:rPr>
          <w:lang/>
        </w:rPr>
        <w:instrText xml:space="preserve"> PAGEREF _Toc57972430 \h </w:instrText>
      </w:r>
      <w:r>
        <w:rPr>
          <w:lang/>
        </w:rPr>
        <w:fldChar w:fldCharType="separate"/>
      </w:r>
      <w:r>
        <w:rPr>
          <w:lang/>
        </w:rPr>
        <w:t>37</w:t>
      </w:r>
      <w:r>
        <w:rPr>
          <w:lang/>
        </w:rPr>
        <w:fldChar w:fldCharType="end"/>
      </w:r>
      <w:r>
        <w:rPr>
          <w:rStyle w:val="41"/>
          <w:lang/>
        </w:rPr>
        <w:fldChar w:fldCharType="end"/>
      </w:r>
    </w:p>
    <w:p>
      <w:pPr>
        <w:pStyle w:val="27"/>
        <w:tabs>
          <w:tab w:val="right" w:leader="dot" w:pos="8296"/>
        </w:tabs>
        <w:rPr>
          <w:rFonts w:ascii="Calibri" w:hAnsi="Calibri"/>
          <w:szCs w:val="22"/>
          <w:lang/>
        </w:rPr>
      </w:pPr>
      <w:r>
        <w:rPr>
          <w:rStyle w:val="41"/>
          <w:lang/>
        </w:rPr>
        <w:fldChar w:fldCharType="begin"/>
      </w:r>
      <w:r>
        <w:rPr>
          <w:rStyle w:val="41"/>
          <w:lang/>
        </w:rPr>
        <w:instrText xml:space="preserve"> </w:instrText>
      </w:r>
      <w:r>
        <w:rPr>
          <w:lang/>
        </w:rPr>
        <w:instrText xml:space="preserve">HYPERLINK \l "_Toc57972431"</w:instrText>
      </w:r>
      <w:r>
        <w:rPr>
          <w:rStyle w:val="41"/>
          <w:lang/>
        </w:rPr>
        <w:instrText xml:space="preserve"> </w:instrText>
      </w:r>
      <w:r>
        <w:rPr>
          <w:rStyle w:val="41"/>
          <w:lang/>
        </w:rPr>
        <w:fldChar w:fldCharType="separate"/>
      </w:r>
      <w:r>
        <w:rPr>
          <w:rStyle w:val="41"/>
          <w:rFonts w:hint="eastAsia" w:hAnsi="宋体"/>
          <w:b/>
          <w:spacing w:val="20"/>
          <w:kern w:val="0"/>
          <w:lang/>
        </w:rPr>
        <w:t>表七</w:t>
      </w:r>
      <w:r>
        <w:rPr>
          <w:rStyle w:val="41"/>
          <w:rFonts w:hAnsi="宋体"/>
          <w:b/>
          <w:spacing w:val="20"/>
          <w:kern w:val="0"/>
          <w:lang/>
        </w:rPr>
        <w:t xml:space="preserve"> </w:t>
      </w:r>
      <w:r>
        <w:rPr>
          <w:rStyle w:val="41"/>
          <w:rFonts w:hint="eastAsia" w:hAnsi="宋体"/>
          <w:b/>
          <w:spacing w:val="20"/>
          <w:kern w:val="0"/>
          <w:lang/>
        </w:rPr>
        <w:t>环境影响分析</w:t>
      </w:r>
      <w:r>
        <w:rPr>
          <w:lang/>
        </w:rPr>
        <w:tab/>
      </w:r>
      <w:r>
        <w:rPr>
          <w:lang/>
        </w:rPr>
        <w:fldChar w:fldCharType="begin"/>
      </w:r>
      <w:r>
        <w:rPr>
          <w:lang/>
        </w:rPr>
        <w:instrText xml:space="preserve"> PAGEREF _Toc57972431 \h </w:instrText>
      </w:r>
      <w:r>
        <w:rPr>
          <w:lang/>
        </w:rPr>
        <w:fldChar w:fldCharType="separate"/>
      </w:r>
      <w:r>
        <w:rPr>
          <w:lang/>
        </w:rPr>
        <w:t>39</w:t>
      </w:r>
      <w:r>
        <w:rPr>
          <w:lang/>
        </w:rPr>
        <w:fldChar w:fldCharType="end"/>
      </w:r>
      <w:r>
        <w:rPr>
          <w:rStyle w:val="41"/>
          <w:lang/>
        </w:rPr>
        <w:fldChar w:fldCharType="end"/>
      </w:r>
    </w:p>
    <w:p>
      <w:pPr>
        <w:pStyle w:val="27"/>
        <w:tabs>
          <w:tab w:val="right" w:leader="dot" w:pos="8296"/>
        </w:tabs>
        <w:rPr>
          <w:rFonts w:ascii="Calibri" w:hAnsi="Calibri"/>
          <w:szCs w:val="22"/>
          <w:lang/>
        </w:rPr>
      </w:pPr>
      <w:r>
        <w:rPr>
          <w:rStyle w:val="41"/>
          <w:lang/>
        </w:rPr>
        <w:fldChar w:fldCharType="begin"/>
      </w:r>
      <w:r>
        <w:rPr>
          <w:rStyle w:val="41"/>
          <w:lang/>
        </w:rPr>
        <w:instrText xml:space="preserve"> </w:instrText>
      </w:r>
      <w:r>
        <w:rPr>
          <w:lang/>
        </w:rPr>
        <w:instrText xml:space="preserve">HYPERLINK \l "_Toc57972434"</w:instrText>
      </w:r>
      <w:r>
        <w:rPr>
          <w:rStyle w:val="41"/>
          <w:lang/>
        </w:rPr>
        <w:instrText xml:space="preserve"> </w:instrText>
      </w:r>
      <w:r>
        <w:rPr>
          <w:rStyle w:val="41"/>
          <w:lang/>
        </w:rPr>
        <w:fldChar w:fldCharType="separate"/>
      </w:r>
      <w:r>
        <w:rPr>
          <w:rStyle w:val="41"/>
          <w:rFonts w:hint="eastAsia" w:hAnsi="宋体"/>
          <w:b/>
          <w:spacing w:val="20"/>
          <w:kern w:val="0"/>
          <w:lang/>
        </w:rPr>
        <w:t>表八</w:t>
      </w:r>
      <w:r>
        <w:rPr>
          <w:rStyle w:val="41"/>
          <w:rFonts w:hAnsi="宋体"/>
          <w:b/>
          <w:spacing w:val="20"/>
          <w:kern w:val="0"/>
          <w:lang/>
        </w:rPr>
        <w:t xml:space="preserve"> </w:t>
      </w:r>
      <w:r>
        <w:rPr>
          <w:rStyle w:val="41"/>
          <w:rFonts w:hint="eastAsia" w:hAnsi="宋体"/>
          <w:b/>
          <w:spacing w:val="20"/>
          <w:kern w:val="0"/>
          <w:lang/>
        </w:rPr>
        <w:t>建设项目拟采取的防治措施及预期治理效果</w:t>
      </w:r>
      <w:r>
        <w:rPr>
          <w:lang/>
        </w:rPr>
        <w:tab/>
      </w:r>
      <w:r>
        <w:rPr>
          <w:lang/>
        </w:rPr>
        <w:fldChar w:fldCharType="begin"/>
      </w:r>
      <w:r>
        <w:rPr>
          <w:lang/>
        </w:rPr>
        <w:instrText xml:space="preserve"> PAGEREF _Toc57972434 \h </w:instrText>
      </w:r>
      <w:r>
        <w:rPr>
          <w:lang/>
        </w:rPr>
        <w:fldChar w:fldCharType="separate"/>
      </w:r>
      <w:r>
        <w:rPr>
          <w:lang/>
        </w:rPr>
        <w:t>58</w:t>
      </w:r>
      <w:r>
        <w:rPr>
          <w:lang/>
        </w:rPr>
        <w:fldChar w:fldCharType="end"/>
      </w:r>
      <w:r>
        <w:rPr>
          <w:rStyle w:val="41"/>
          <w:lang/>
        </w:rPr>
        <w:fldChar w:fldCharType="end"/>
      </w:r>
    </w:p>
    <w:p>
      <w:pPr>
        <w:pStyle w:val="27"/>
        <w:tabs>
          <w:tab w:val="right" w:leader="dot" w:pos="8296"/>
        </w:tabs>
        <w:rPr>
          <w:rFonts w:ascii="Calibri" w:hAnsi="Calibri"/>
          <w:szCs w:val="22"/>
          <w:lang/>
        </w:rPr>
      </w:pPr>
      <w:r>
        <w:rPr>
          <w:rStyle w:val="41"/>
          <w:lang/>
        </w:rPr>
        <w:fldChar w:fldCharType="begin"/>
      </w:r>
      <w:r>
        <w:rPr>
          <w:rStyle w:val="41"/>
          <w:lang/>
        </w:rPr>
        <w:instrText xml:space="preserve"> </w:instrText>
      </w:r>
      <w:r>
        <w:rPr>
          <w:lang/>
        </w:rPr>
        <w:instrText xml:space="preserve">HYPERLINK \l "_Toc57972435"</w:instrText>
      </w:r>
      <w:r>
        <w:rPr>
          <w:rStyle w:val="41"/>
          <w:lang/>
        </w:rPr>
        <w:instrText xml:space="preserve"> </w:instrText>
      </w:r>
      <w:r>
        <w:rPr>
          <w:rStyle w:val="41"/>
          <w:lang/>
        </w:rPr>
        <w:fldChar w:fldCharType="separate"/>
      </w:r>
      <w:r>
        <w:rPr>
          <w:rStyle w:val="41"/>
          <w:rFonts w:hint="eastAsia" w:hAnsi="宋体"/>
          <w:b/>
          <w:spacing w:val="20"/>
          <w:kern w:val="0"/>
          <w:lang/>
        </w:rPr>
        <w:t>表九</w:t>
      </w:r>
      <w:r>
        <w:rPr>
          <w:rStyle w:val="41"/>
          <w:rFonts w:hAnsi="宋体"/>
          <w:b/>
          <w:spacing w:val="20"/>
          <w:kern w:val="0"/>
          <w:lang/>
        </w:rPr>
        <w:t xml:space="preserve"> </w:t>
      </w:r>
      <w:r>
        <w:rPr>
          <w:rStyle w:val="41"/>
          <w:rFonts w:hint="eastAsia" w:hAnsi="宋体"/>
          <w:b/>
          <w:spacing w:val="20"/>
          <w:kern w:val="0"/>
          <w:lang/>
        </w:rPr>
        <w:t>结论与建议</w:t>
      </w:r>
      <w:r>
        <w:rPr>
          <w:lang/>
        </w:rPr>
        <w:tab/>
      </w:r>
      <w:r>
        <w:rPr>
          <w:lang/>
        </w:rPr>
        <w:fldChar w:fldCharType="begin"/>
      </w:r>
      <w:r>
        <w:rPr>
          <w:lang/>
        </w:rPr>
        <w:instrText xml:space="preserve"> PAGEREF _Toc57972435 \h </w:instrText>
      </w:r>
      <w:r>
        <w:rPr>
          <w:lang/>
        </w:rPr>
        <w:fldChar w:fldCharType="separate"/>
      </w:r>
      <w:r>
        <w:rPr>
          <w:lang/>
        </w:rPr>
        <w:t>60</w:t>
      </w:r>
      <w:r>
        <w:rPr>
          <w:lang/>
        </w:rPr>
        <w:fldChar w:fldCharType="end"/>
      </w:r>
      <w:r>
        <w:rPr>
          <w:rStyle w:val="41"/>
          <w:lang/>
        </w:rPr>
        <w:fldChar w:fldCharType="end"/>
      </w:r>
    </w:p>
    <w:p>
      <w:pPr>
        <w:pStyle w:val="119"/>
        <w:ind w:firstLine="482" w:firstLineChars="200"/>
        <w:rPr>
          <w:rFonts w:cs="Times New Roman"/>
          <w:b/>
          <w:sz w:val="24"/>
          <w:szCs w:val="24"/>
        </w:rPr>
      </w:pPr>
      <w:r>
        <w:rPr>
          <w:rFonts w:cs="Times New Roman"/>
          <w:b/>
          <w:sz w:val="24"/>
          <w:szCs w:val="24"/>
        </w:rPr>
        <w:fldChar w:fldCharType="end"/>
      </w:r>
    </w:p>
    <w:p>
      <w:pPr>
        <w:spacing w:line="360" w:lineRule="auto"/>
        <w:rPr>
          <w:b/>
          <w:sz w:val="24"/>
        </w:rPr>
      </w:pPr>
      <w:r>
        <w:rPr>
          <w:rFonts w:hint="eastAsia"/>
          <w:b/>
          <w:sz w:val="24"/>
        </w:rPr>
        <w:t>附件：</w:t>
      </w:r>
    </w:p>
    <w:p>
      <w:pPr>
        <w:tabs>
          <w:tab w:val="left" w:pos="927"/>
        </w:tabs>
        <w:spacing w:line="360" w:lineRule="auto"/>
        <w:ind w:left="567"/>
        <w:rPr>
          <w:sz w:val="24"/>
        </w:rPr>
      </w:pPr>
      <w:r>
        <w:rPr>
          <w:rFonts w:hint="eastAsia"/>
          <w:sz w:val="24"/>
        </w:rPr>
        <w:t>附件1委托书</w:t>
      </w:r>
    </w:p>
    <w:p>
      <w:pPr>
        <w:tabs>
          <w:tab w:val="left" w:pos="927"/>
        </w:tabs>
        <w:spacing w:line="360" w:lineRule="auto"/>
        <w:ind w:left="567"/>
        <w:rPr>
          <w:sz w:val="24"/>
        </w:rPr>
      </w:pPr>
      <w:r>
        <w:rPr>
          <w:rFonts w:hint="eastAsia"/>
          <w:sz w:val="24"/>
        </w:rPr>
        <w:t>附件2可研批复</w:t>
      </w:r>
    </w:p>
    <w:p>
      <w:pPr>
        <w:tabs>
          <w:tab w:val="left" w:pos="927"/>
        </w:tabs>
        <w:spacing w:line="360" w:lineRule="auto"/>
        <w:ind w:left="567"/>
        <w:rPr>
          <w:sz w:val="24"/>
        </w:rPr>
      </w:pPr>
      <w:r>
        <w:rPr>
          <w:rFonts w:hint="eastAsia"/>
          <w:sz w:val="24"/>
        </w:rPr>
        <w:t>附件3</w:t>
      </w:r>
      <w:r>
        <w:rPr>
          <w:sz w:val="24"/>
        </w:rPr>
        <w:t xml:space="preserve"> </w:t>
      </w:r>
      <w:r>
        <w:rPr>
          <w:rFonts w:hint="eastAsia"/>
          <w:sz w:val="24"/>
        </w:rPr>
        <w:t>审查意见</w:t>
      </w:r>
    </w:p>
    <w:p>
      <w:pPr>
        <w:tabs>
          <w:tab w:val="left" w:pos="927"/>
        </w:tabs>
        <w:spacing w:line="360" w:lineRule="auto"/>
        <w:ind w:left="567"/>
        <w:rPr>
          <w:rFonts w:hint="eastAsia"/>
          <w:sz w:val="24"/>
        </w:rPr>
      </w:pPr>
      <w:r>
        <w:rPr>
          <w:rFonts w:hint="eastAsia"/>
          <w:sz w:val="24"/>
        </w:rPr>
        <w:t>附件4</w:t>
      </w:r>
      <w:r>
        <w:rPr>
          <w:sz w:val="24"/>
        </w:rPr>
        <w:t xml:space="preserve"> </w:t>
      </w:r>
      <w:r>
        <w:rPr>
          <w:rFonts w:hint="eastAsia"/>
          <w:sz w:val="24"/>
        </w:rPr>
        <w:t>修改对照表</w:t>
      </w:r>
    </w:p>
    <w:p>
      <w:pPr>
        <w:spacing w:line="360" w:lineRule="auto"/>
        <w:rPr>
          <w:b/>
          <w:sz w:val="24"/>
        </w:rPr>
      </w:pPr>
      <w:r>
        <w:rPr>
          <w:rFonts w:hint="eastAsia"/>
          <w:b/>
          <w:sz w:val="24"/>
        </w:rPr>
        <w:t>附图：</w:t>
      </w:r>
    </w:p>
    <w:p>
      <w:pPr>
        <w:adjustRightInd w:val="0"/>
        <w:snapToGrid w:val="0"/>
        <w:spacing w:line="500" w:lineRule="exact"/>
        <w:ind w:firstLine="480" w:firstLineChars="200"/>
        <w:jc w:val="left"/>
        <w:rPr>
          <w:sz w:val="24"/>
        </w:rPr>
      </w:pPr>
      <w:r>
        <w:rPr>
          <w:rFonts w:hint="eastAsia"/>
          <w:sz w:val="24"/>
        </w:rPr>
        <w:t>附图1项目地理位置示意图</w:t>
      </w:r>
    </w:p>
    <w:p>
      <w:pPr>
        <w:adjustRightInd w:val="0"/>
        <w:snapToGrid w:val="0"/>
        <w:spacing w:line="500" w:lineRule="exact"/>
        <w:ind w:firstLine="480" w:firstLineChars="200"/>
        <w:jc w:val="left"/>
        <w:rPr>
          <w:sz w:val="24"/>
        </w:rPr>
      </w:pPr>
      <w:r>
        <w:rPr>
          <w:rFonts w:hint="eastAsia"/>
          <w:sz w:val="24"/>
        </w:rPr>
        <w:t>附图2项目总平面布置示意图</w:t>
      </w:r>
    </w:p>
    <w:p>
      <w:pPr>
        <w:pStyle w:val="119"/>
        <w:ind w:firstLine="480" w:firstLineChars="200"/>
        <w:rPr>
          <w:rFonts w:hint="eastAsia"/>
          <w:sz w:val="24"/>
        </w:rPr>
      </w:pPr>
      <w:r>
        <w:rPr>
          <w:rFonts w:hint="eastAsia"/>
          <w:sz w:val="24"/>
        </w:rPr>
        <w:t>附图3 维西县</w:t>
      </w:r>
      <w:r>
        <w:rPr>
          <w:sz w:val="24"/>
        </w:rPr>
        <w:t>总规总平面布置图</w:t>
      </w:r>
    </w:p>
    <w:p>
      <w:pPr>
        <w:pStyle w:val="119"/>
        <w:ind w:firstLine="480" w:firstLineChars="200"/>
        <w:rPr>
          <w:rFonts w:cs="Times New Roman"/>
          <w:b/>
          <w:sz w:val="24"/>
          <w:szCs w:val="24"/>
        </w:rPr>
      </w:pPr>
      <w:r>
        <w:rPr>
          <w:rFonts w:hint="eastAsia"/>
          <w:sz w:val="24"/>
        </w:rPr>
        <w:t>附图</w:t>
      </w:r>
      <w:r>
        <w:rPr>
          <w:sz w:val="24"/>
        </w:rPr>
        <w:t>4</w:t>
      </w:r>
      <w:r>
        <w:rPr>
          <w:rFonts w:hint="eastAsia"/>
          <w:sz w:val="24"/>
        </w:rPr>
        <w:t>水系图</w:t>
      </w:r>
    </w:p>
    <w:p>
      <w:pPr>
        <w:pStyle w:val="119"/>
        <w:ind w:firstLine="480" w:firstLineChars="200"/>
        <w:rPr>
          <w:rFonts w:cs="Times New Roman"/>
          <w:sz w:val="24"/>
          <w:szCs w:val="24"/>
        </w:rPr>
      </w:pPr>
    </w:p>
    <w:p>
      <w:pPr>
        <w:pStyle w:val="119"/>
        <w:ind w:firstLine="480" w:firstLineChars="200"/>
        <w:rPr>
          <w:rFonts w:cs="Times New Roman"/>
          <w:sz w:val="24"/>
          <w:szCs w:val="24"/>
        </w:rPr>
      </w:pPr>
    </w:p>
    <w:p>
      <w:pPr>
        <w:pStyle w:val="119"/>
        <w:ind w:firstLine="480" w:firstLineChars="200"/>
        <w:rPr>
          <w:rFonts w:cs="Times New Roman"/>
          <w:sz w:val="24"/>
          <w:szCs w:val="24"/>
        </w:rPr>
      </w:pPr>
    </w:p>
    <w:p>
      <w:pPr>
        <w:adjustRightInd w:val="0"/>
        <w:snapToGrid w:val="0"/>
        <w:spacing w:line="500" w:lineRule="exact"/>
        <w:ind w:firstLine="480" w:firstLineChars="200"/>
        <w:jc w:val="left"/>
        <w:rPr>
          <w:rFonts w:hint="eastAsia"/>
          <w:sz w:val="24"/>
        </w:rPr>
      </w:pPr>
    </w:p>
    <w:p>
      <w:pPr>
        <w:adjustRightInd w:val="0"/>
        <w:snapToGrid w:val="0"/>
        <w:spacing w:line="500" w:lineRule="exact"/>
        <w:ind w:firstLine="480" w:firstLineChars="200"/>
        <w:jc w:val="left"/>
        <w:rPr>
          <w:rFonts w:hint="eastAsia"/>
          <w:sz w:val="24"/>
        </w:rPr>
      </w:pPr>
    </w:p>
    <w:p>
      <w:pPr>
        <w:adjustRightInd w:val="0"/>
        <w:snapToGrid w:val="0"/>
        <w:spacing w:line="500" w:lineRule="exact"/>
        <w:ind w:right="25" w:rightChars="12"/>
        <w:jc w:val="center"/>
        <w:rPr>
          <w:rFonts w:hint="eastAsia"/>
          <w:sz w:val="24"/>
        </w:rPr>
        <w:sectPr>
          <w:headerReference r:id="rId4" w:type="default"/>
          <w:footerReference r:id="rId5" w:type="default"/>
          <w:pgSz w:w="11906" w:h="16838"/>
          <w:pgMar w:top="1440" w:right="1800" w:bottom="1440" w:left="1800" w:header="851" w:footer="992" w:gutter="0"/>
          <w:pgNumType w:fmt="upperRoman" w:start="2"/>
          <w:cols w:space="720" w:num="1"/>
          <w:docGrid w:type="lines" w:linePitch="312" w:charSpace="0"/>
        </w:sectPr>
      </w:pPr>
    </w:p>
    <w:p>
      <w:pPr>
        <w:pStyle w:val="3"/>
        <w:keepNext w:val="0"/>
        <w:pageBreakBefore/>
        <w:widowControl/>
        <w:tabs>
          <w:tab w:val="center" w:pos="4535"/>
        </w:tabs>
        <w:autoSpaceDE w:val="0"/>
        <w:autoSpaceDN w:val="0"/>
        <w:adjustRightInd w:val="0"/>
        <w:jc w:val="left"/>
        <w:rPr>
          <w:b/>
          <w:spacing w:val="20"/>
          <w:kern w:val="0"/>
          <w:sz w:val="32"/>
          <w:szCs w:val="30"/>
        </w:rPr>
      </w:pPr>
      <w:bookmarkStart w:id="6" w:name="_Toc57972423"/>
      <w:r>
        <w:rPr>
          <w:rFonts w:hint="eastAsia" w:hAnsi="宋体"/>
          <w:b/>
          <w:spacing w:val="20"/>
          <w:kern w:val="0"/>
          <w:sz w:val="32"/>
          <w:szCs w:val="30"/>
        </w:rPr>
        <w:t xml:space="preserve">表一 </w:t>
      </w:r>
      <w:r>
        <w:rPr>
          <w:rFonts w:hAnsi="宋体"/>
          <w:b/>
          <w:spacing w:val="20"/>
          <w:kern w:val="0"/>
          <w:sz w:val="32"/>
          <w:szCs w:val="30"/>
        </w:rPr>
        <w:t>建设项目基本情况</w:t>
      </w:r>
      <w:bookmarkEnd w:id="6"/>
      <w:r>
        <w:rPr>
          <w:rFonts w:hAnsi="宋体"/>
          <w:b/>
          <w:spacing w:val="20"/>
          <w:kern w:val="0"/>
          <w:sz w:val="32"/>
          <w:szCs w:val="30"/>
        </w:rPr>
        <w:tab/>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64"/>
        <w:gridCol w:w="204"/>
        <w:gridCol w:w="1036"/>
        <w:gridCol w:w="832"/>
        <w:gridCol w:w="1163"/>
        <w:gridCol w:w="230"/>
        <w:gridCol w:w="80"/>
        <w:gridCol w:w="121"/>
        <w:gridCol w:w="979"/>
        <w:gridCol w:w="327"/>
        <w:gridCol w:w="1326"/>
        <w:gridCol w:w="22"/>
        <w:gridCol w:w="15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spacing w:line="360" w:lineRule="auto"/>
              <w:jc w:val="center"/>
              <w:rPr>
                <w:sz w:val="24"/>
              </w:rPr>
            </w:pPr>
            <w:r>
              <w:rPr>
                <w:sz w:val="24"/>
              </w:rPr>
              <w:t>项目名称</w:t>
            </w:r>
          </w:p>
        </w:tc>
        <w:tc>
          <w:tcPr>
            <w:tcW w:w="7822" w:type="dxa"/>
            <w:gridSpan w:val="12"/>
            <w:noWrap w:val="0"/>
            <w:vAlign w:val="center"/>
          </w:tcPr>
          <w:p>
            <w:pPr>
              <w:jc w:val="center"/>
              <w:rPr>
                <w:rFonts w:hint="eastAsia"/>
                <w:sz w:val="24"/>
              </w:rPr>
            </w:pPr>
            <w:r>
              <w:rPr>
                <w:rFonts w:hint="eastAsia"/>
                <w:sz w:val="24"/>
              </w:rPr>
              <w:t>维西县</w:t>
            </w:r>
            <w:r>
              <w:rPr>
                <w:sz w:val="24"/>
              </w:rPr>
              <w:t>老城区农贸市场建设</w:t>
            </w:r>
            <w:r>
              <w:rPr>
                <w:rFonts w:hint="eastAsia"/>
                <w:sz w:val="24"/>
              </w:rPr>
              <w:t>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spacing w:line="360" w:lineRule="auto"/>
              <w:jc w:val="center"/>
              <w:rPr>
                <w:sz w:val="24"/>
              </w:rPr>
            </w:pPr>
            <w:r>
              <w:rPr>
                <w:sz w:val="24"/>
              </w:rPr>
              <w:t>建设单位</w:t>
            </w:r>
          </w:p>
        </w:tc>
        <w:tc>
          <w:tcPr>
            <w:tcW w:w="7822" w:type="dxa"/>
            <w:gridSpan w:val="12"/>
            <w:noWrap w:val="0"/>
            <w:vAlign w:val="center"/>
          </w:tcPr>
          <w:p>
            <w:pPr>
              <w:spacing w:line="360" w:lineRule="auto"/>
              <w:jc w:val="center"/>
              <w:rPr>
                <w:rFonts w:hint="eastAsia"/>
                <w:sz w:val="24"/>
              </w:rPr>
            </w:pPr>
            <w:r>
              <w:rPr>
                <w:rFonts w:hint="eastAsia"/>
                <w:sz w:val="24"/>
              </w:rPr>
              <w:t>维西县老城区</w:t>
            </w:r>
            <w:r>
              <w:rPr>
                <w:sz w:val="24"/>
              </w:rPr>
              <w:t>农贸</w:t>
            </w:r>
            <w:r>
              <w:rPr>
                <w:rFonts w:hint="eastAsia"/>
                <w:sz w:val="24"/>
              </w:rPr>
              <w:t>市场</w:t>
            </w:r>
            <w:r>
              <w:rPr>
                <w:sz w:val="24"/>
              </w:rPr>
              <w:t>建设</w:t>
            </w:r>
            <w:r>
              <w:rPr>
                <w:rFonts w:hint="eastAsia"/>
                <w:sz w:val="24"/>
              </w:rPr>
              <w:t>项目</w:t>
            </w:r>
            <w:r>
              <w:rPr>
                <w:sz w:val="24"/>
              </w:rPr>
              <w:t>指挥部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spacing w:line="360" w:lineRule="auto"/>
              <w:jc w:val="center"/>
              <w:rPr>
                <w:sz w:val="24"/>
              </w:rPr>
            </w:pPr>
            <w:r>
              <w:rPr>
                <w:sz w:val="24"/>
              </w:rPr>
              <w:t>法人代表</w:t>
            </w:r>
          </w:p>
        </w:tc>
        <w:tc>
          <w:tcPr>
            <w:tcW w:w="3666" w:type="dxa"/>
            <w:gridSpan w:val="7"/>
            <w:noWrap w:val="0"/>
            <w:vAlign w:val="center"/>
          </w:tcPr>
          <w:p>
            <w:pPr>
              <w:spacing w:line="360" w:lineRule="auto"/>
              <w:jc w:val="center"/>
              <w:rPr>
                <w:rFonts w:hint="eastAsia"/>
                <w:sz w:val="24"/>
              </w:rPr>
            </w:pPr>
            <w:r>
              <w:rPr>
                <w:rFonts w:hint="eastAsia"/>
                <w:sz w:val="24"/>
              </w:rPr>
              <w:t>杨</w:t>
            </w:r>
            <w:r>
              <w:rPr>
                <w:sz w:val="24"/>
              </w:rPr>
              <w:t>春芳</w:t>
            </w:r>
          </w:p>
        </w:tc>
        <w:tc>
          <w:tcPr>
            <w:tcW w:w="1306" w:type="dxa"/>
            <w:gridSpan w:val="2"/>
            <w:noWrap w:val="0"/>
            <w:vAlign w:val="center"/>
          </w:tcPr>
          <w:p>
            <w:pPr>
              <w:spacing w:line="360" w:lineRule="auto"/>
              <w:jc w:val="center"/>
              <w:rPr>
                <w:sz w:val="24"/>
              </w:rPr>
            </w:pPr>
            <w:r>
              <w:rPr>
                <w:sz w:val="24"/>
              </w:rPr>
              <w:t>联系人</w:t>
            </w:r>
          </w:p>
        </w:tc>
        <w:tc>
          <w:tcPr>
            <w:tcW w:w="2850" w:type="dxa"/>
            <w:gridSpan w:val="3"/>
            <w:noWrap w:val="0"/>
            <w:vAlign w:val="center"/>
          </w:tcPr>
          <w:p>
            <w:pPr>
              <w:spacing w:line="360" w:lineRule="auto"/>
              <w:jc w:val="center"/>
              <w:rPr>
                <w:rFonts w:hint="eastAsia"/>
                <w:sz w:val="24"/>
              </w:rPr>
            </w:pPr>
            <w:r>
              <w:rPr>
                <w:rFonts w:hint="eastAsia"/>
                <w:sz w:val="24"/>
              </w:rPr>
              <w:t>徐</w:t>
            </w:r>
            <w:r>
              <w:rPr>
                <w:sz w:val="24"/>
              </w:rPr>
              <w:t>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spacing w:line="360" w:lineRule="auto"/>
              <w:jc w:val="center"/>
              <w:rPr>
                <w:sz w:val="24"/>
              </w:rPr>
            </w:pPr>
            <w:r>
              <w:rPr>
                <w:sz w:val="24"/>
              </w:rPr>
              <w:t>通讯地址</w:t>
            </w:r>
          </w:p>
        </w:tc>
        <w:tc>
          <w:tcPr>
            <w:tcW w:w="7822" w:type="dxa"/>
            <w:gridSpan w:val="12"/>
            <w:noWrap w:val="0"/>
            <w:vAlign w:val="center"/>
          </w:tcPr>
          <w:p>
            <w:pPr>
              <w:spacing w:line="360" w:lineRule="auto"/>
              <w:jc w:val="center"/>
              <w:rPr>
                <w:sz w:val="24"/>
              </w:rPr>
            </w:pPr>
            <w:r>
              <w:rPr>
                <w:rFonts w:hint="eastAsia"/>
                <w:sz w:val="24"/>
              </w:rPr>
              <w:t>维西县</w:t>
            </w:r>
            <w:r>
              <w:rPr>
                <w:sz w:val="24"/>
              </w:rPr>
              <w:t>保和镇东大街</w:t>
            </w:r>
            <w:r>
              <w:rPr>
                <w:rFonts w:hint="eastAsia"/>
                <w:sz w:val="24"/>
              </w:rPr>
              <w:t>37号</w:t>
            </w:r>
            <w:r>
              <w:rPr>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spacing w:line="360" w:lineRule="auto"/>
              <w:jc w:val="center"/>
              <w:rPr>
                <w:sz w:val="24"/>
              </w:rPr>
            </w:pPr>
            <w:r>
              <w:rPr>
                <w:sz w:val="24"/>
              </w:rPr>
              <w:t>联系电话</w:t>
            </w:r>
          </w:p>
        </w:tc>
        <w:tc>
          <w:tcPr>
            <w:tcW w:w="2072" w:type="dxa"/>
            <w:gridSpan w:val="3"/>
            <w:noWrap w:val="0"/>
            <w:vAlign w:val="center"/>
          </w:tcPr>
          <w:p>
            <w:pPr>
              <w:spacing w:line="360" w:lineRule="auto"/>
              <w:jc w:val="center"/>
              <w:rPr>
                <w:sz w:val="24"/>
              </w:rPr>
            </w:pPr>
            <w:r>
              <w:rPr>
                <w:sz w:val="24"/>
              </w:rPr>
              <w:t xml:space="preserve">13988780258 </w:t>
            </w:r>
          </w:p>
        </w:tc>
        <w:tc>
          <w:tcPr>
            <w:tcW w:w="1163" w:type="dxa"/>
            <w:noWrap w:val="0"/>
            <w:vAlign w:val="center"/>
          </w:tcPr>
          <w:p>
            <w:pPr>
              <w:spacing w:line="360" w:lineRule="auto"/>
              <w:jc w:val="center"/>
              <w:rPr>
                <w:sz w:val="24"/>
              </w:rPr>
            </w:pPr>
            <w:r>
              <w:rPr>
                <w:sz w:val="24"/>
              </w:rPr>
              <w:t>传真</w:t>
            </w:r>
          </w:p>
        </w:tc>
        <w:tc>
          <w:tcPr>
            <w:tcW w:w="1737" w:type="dxa"/>
            <w:gridSpan w:val="5"/>
            <w:noWrap w:val="0"/>
            <w:vAlign w:val="center"/>
          </w:tcPr>
          <w:p>
            <w:pPr>
              <w:spacing w:line="360" w:lineRule="auto"/>
              <w:jc w:val="center"/>
              <w:rPr>
                <w:sz w:val="24"/>
              </w:rPr>
            </w:pPr>
          </w:p>
        </w:tc>
        <w:tc>
          <w:tcPr>
            <w:tcW w:w="1348" w:type="dxa"/>
            <w:gridSpan w:val="2"/>
            <w:noWrap w:val="0"/>
            <w:vAlign w:val="center"/>
          </w:tcPr>
          <w:p>
            <w:pPr>
              <w:spacing w:line="360" w:lineRule="auto"/>
              <w:rPr>
                <w:sz w:val="24"/>
              </w:rPr>
            </w:pPr>
            <w:r>
              <w:rPr>
                <w:sz w:val="24"/>
              </w:rPr>
              <w:t>邮政编码</w:t>
            </w:r>
          </w:p>
        </w:tc>
        <w:tc>
          <w:tcPr>
            <w:tcW w:w="1502" w:type="dxa"/>
            <w:noWrap w:val="0"/>
            <w:vAlign w:val="center"/>
          </w:tcPr>
          <w:p>
            <w:pPr>
              <w:spacing w:line="360" w:lineRule="auto"/>
              <w:jc w:val="center"/>
              <w:rPr>
                <w:sz w:val="24"/>
              </w:rPr>
            </w:pPr>
            <w:r>
              <w:rPr>
                <w:sz w:val="24"/>
              </w:rPr>
              <w:t>674600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spacing w:line="360" w:lineRule="auto"/>
              <w:jc w:val="center"/>
              <w:rPr>
                <w:sz w:val="24"/>
              </w:rPr>
            </w:pPr>
            <w:r>
              <w:rPr>
                <w:sz w:val="24"/>
              </w:rPr>
              <w:t>建设地点</w:t>
            </w:r>
          </w:p>
        </w:tc>
        <w:tc>
          <w:tcPr>
            <w:tcW w:w="7822" w:type="dxa"/>
            <w:gridSpan w:val="12"/>
            <w:noWrap w:val="0"/>
            <w:vAlign w:val="center"/>
          </w:tcPr>
          <w:p>
            <w:pPr>
              <w:spacing w:line="360" w:lineRule="auto"/>
              <w:jc w:val="center"/>
              <w:rPr>
                <w:sz w:val="24"/>
              </w:rPr>
            </w:pPr>
            <w:r>
              <w:rPr>
                <w:rFonts w:hint="eastAsia"/>
                <w:sz w:val="24"/>
              </w:rPr>
              <w:t>维西县北端老城区的中心区域，北临念萨路，南临顺城南路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668" w:type="dxa"/>
            <w:gridSpan w:val="2"/>
            <w:noWrap w:val="0"/>
            <w:vAlign w:val="center"/>
          </w:tcPr>
          <w:p>
            <w:pPr>
              <w:spacing w:line="360" w:lineRule="auto"/>
              <w:jc w:val="center"/>
              <w:rPr>
                <w:sz w:val="24"/>
              </w:rPr>
            </w:pPr>
            <w:r>
              <w:rPr>
                <w:sz w:val="24"/>
              </w:rPr>
              <w:t>立项审批部门</w:t>
            </w:r>
          </w:p>
        </w:tc>
        <w:tc>
          <w:tcPr>
            <w:tcW w:w="3261" w:type="dxa"/>
            <w:gridSpan w:val="4"/>
            <w:noWrap w:val="0"/>
            <w:vAlign w:val="center"/>
          </w:tcPr>
          <w:p>
            <w:pPr>
              <w:spacing w:line="360" w:lineRule="auto"/>
              <w:jc w:val="center"/>
              <w:rPr>
                <w:spacing w:val="-8"/>
                <w:sz w:val="24"/>
              </w:rPr>
            </w:pPr>
            <w:r>
              <w:rPr>
                <w:rFonts w:hint="eastAsia"/>
                <w:spacing w:val="-8"/>
                <w:sz w:val="24"/>
              </w:rPr>
              <w:t>迪庆州</w:t>
            </w:r>
            <w:r>
              <w:rPr>
                <w:spacing w:val="-8"/>
                <w:sz w:val="24"/>
              </w:rPr>
              <w:t>发展和改革</w:t>
            </w:r>
            <w:r>
              <w:rPr>
                <w:rFonts w:hint="eastAsia"/>
                <w:spacing w:val="-8"/>
                <w:sz w:val="24"/>
              </w:rPr>
              <w:t>委员会</w:t>
            </w:r>
          </w:p>
        </w:tc>
        <w:tc>
          <w:tcPr>
            <w:tcW w:w="1180" w:type="dxa"/>
            <w:gridSpan w:val="3"/>
            <w:noWrap w:val="0"/>
            <w:vAlign w:val="center"/>
          </w:tcPr>
          <w:p>
            <w:pPr>
              <w:spacing w:line="360" w:lineRule="auto"/>
              <w:jc w:val="center"/>
              <w:rPr>
                <w:sz w:val="24"/>
              </w:rPr>
            </w:pPr>
            <w:r>
              <w:rPr>
                <w:sz w:val="24"/>
              </w:rPr>
              <w:t>批准文号</w:t>
            </w:r>
          </w:p>
        </w:tc>
        <w:tc>
          <w:tcPr>
            <w:tcW w:w="3177" w:type="dxa"/>
            <w:gridSpan w:val="4"/>
            <w:noWrap w:val="0"/>
            <w:vAlign w:val="center"/>
          </w:tcPr>
          <w:p>
            <w:pPr>
              <w:spacing w:line="360" w:lineRule="auto"/>
              <w:rPr>
                <w:sz w:val="24"/>
              </w:rPr>
            </w:pPr>
            <w:r>
              <w:rPr>
                <w:rFonts w:hint="eastAsia"/>
                <w:sz w:val="24"/>
              </w:rPr>
              <w:t>迪</w:t>
            </w:r>
            <w:r>
              <w:rPr>
                <w:sz w:val="24"/>
              </w:rPr>
              <w:t>发改</w:t>
            </w:r>
            <w:r>
              <w:rPr>
                <w:rFonts w:hint="eastAsia"/>
                <w:sz w:val="24"/>
              </w:rPr>
              <w:t>经贸[20</w:t>
            </w:r>
            <w:r>
              <w:rPr>
                <w:sz w:val="24"/>
              </w:rPr>
              <w:t>20</w:t>
            </w:r>
            <w:r>
              <w:rPr>
                <w:rFonts w:hint="eastAsia"/>
                <w:sz w:val="24"/>
              </w:rPr>
              <w:t>]</w:t>
            </w:r>
            <w:r>
              <w:rPr>
                <w:sz w:val="24"/>
              </w:rPr>
              <w:t>6</w:t>
            </w:r>
            <w:r>
              <w:rPr>
                <w:rFonts w:hint="eastAsia"/>
                <w:sz w:val="24"/>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spacing w:line="360" w:lineRule="auto"/>
              <w:jc w:val="center"/>
              <w:rPr>
                <w:sz w:val="24"/>
              </w:rPr>
            </w:pPr>
            <w:r>
              <w:rPr>
                <w:sz w:val="24"/>
              </w:rPr>
              <w:t>建设性质</w:t>
            </w:r>
          </w:p>
        </w:tc>
        <w:tc>
          <w:tcPr>
            <w:tcW w:w="3465" w:type="dxa"/>
            <w:gridSpan w:val="5"/>
            <w:noWrap w:val="0"/>
            <w:vAlign w:val="center"/>
          </w:tcPr>
          <w:p>
            <w:pPr>
              <w:spacing w:line="360" w:lineRule="auto"/>
              <w:ind w:firstLine="120" w:firstLineChars="50"/>
              <w:rPr>
                <w:sz w:val="24"/>
              </w:rPr>
            </w:pPr>
            <w:r>
              <w:rPr>
                <w:sz w:val="24"/>
              </w:rPr>
              <w:t>新建</w:t>
            </w:r>
            <w:r>
              <w:rPr>
                <w:sz w:val="24"/>
              </w:rPr>
              <w:fldChar w:fldCharType="begin"/>
            </w:r>
            <w:r>
              <w:rPr>
                <w:sz w:val="24"/>
              </w:rPr>
              <w:instrText xml:space="preserve"> eq \o\ac(□,</w:instrText>
            </w:r>
            <w:r>
              <w:rPr>
                <w:position w:val="2"/>
                <w:sz w:val="24"/>
              </w:rPr>
              <w:instrText xml:space="preserve">√</w:instrText>
            </w:r>
            <w:r>
              <w:rPr>
                <w:sz w:val="24"/>
              </w:rPr>
              <w:instrText xml:space="preserve">)</w:instrText>
            </w:r>
            <w:r>
              <w:rPr>
                <w:sz w:val="24"/>
              </w:rPr>
              <w:fldChar w:fldCharType="end"/>
            </w:r>
            <w:r>
              <w:rPr>
                <w:sz w:val="24"/>
              </w:rPr>
              <w:t xml:space="preserve">     搬迁     改扩建</w:t>
            </w:r>
          </w:p>
        </w:tc>
        <w:tc>
          <w:tcPr>
            <w:tcW w:w="1180" w:type="dxa"/>
            <w:gridSpan w:val="3"/>
            <w:noWrap w:val="0"/>
            <w:vAlign w:val="center"/>
          </w:tcPr>
          <w:p>
            <w:pPr>
              <w:jc w:val="center"/>
              <w:rPr>
                <w:sz w:val="24"/>
              </w:rPr>
            </w:pPr>
            <w:r>
              <w:rPr>
                <w:sz w:val="24"/>
              </w:rPr>
              <w:t>行业类别</w:t>
            </w:r>
          </w:p>
          <w:p>
            <w:pPr>
              <w:jc w:val="center"/>
              <w:rPr>
                <w:sz w:val="24"/>
              </w:rPr>
            </w:pPr>
            <w:r>
              <w:rPr>
                <w:sz w:val="24"/>
              </w:rPr>
              <w:t>及代码</w:t>
            </w:r>
          </w:p>
        </w:tc>
        <w:tc>
          <w:tcPr>
            <w:tcW w:w="3177" w:type="dxa"/>
            <w:gridSpan w:val="4"/>
            <w:noWrap w:val="0"/>
            <w:vAlign w:val="center"/>
          </w:tcPr>
          <w:p>
            <w:pPr>
              <w:spacing w:line="360" w:lineRule="auto"/>
              <w:jc w:val="center"/>
              <w:rPr>
                <w:sz w:val="24"/>
              </w:rPr>
            </w:pPr>
            <w:r>
              <w:rPr>
                <w:rFonts w:hint="eastAsia"/>
                <w:sz w:val="24"/>
              </w:rPr>
              <w:t>K7010房地产开发经营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jc w:val="center"/>
              <w:rPr>
                <w:sz w:val="24"/>
              </w:rPr>
            </w:pPr>
            <w:r>
              <w:rPr>
                <w:sz w:val="24"/>
              </w:rPr>
              <w:t>占地面积</w:t>
            </w:r>
          </w:p>
          <w:p>
            <w:pPr>
              <w:jc w:val="center"/>
              <w:rPr>
                <w:sz w:val="24"/>
              </w:rPr>
            </w:pPr>
            <w:r>
              <w:rPr>
                <w:sz w:val="24"/>
              </w:rPr>
              <w:t>(平方米)</w:t>
            </w:r>
          </w:p>
        </w:tc>
        <w:tc>
          <w:tcPr>
            <w:tcW w:w="3465" w:type="dxa"/>
            <w:gridSpan w:val="5"/>
            <w:noWrap w:val="0"/>
            <w:vAlign w:val="center"/>
          </w:tcPr>
          <w:p>
            <w:pPr>
              <w:spacing w:line="360" w:lineRule="auto"/>
              <w:jc w:val="center"/>
              <w:rPr>
                <w:sz w:val="24"/>
              </w:rPr>
            </w:pPr>
            <w:r>
              <w:rPr>
                <w:sz w:val="24"/>
              </w:rPr>
              <w:t>40916.43</w:t>
            </w:r>
          </w:p>
        </w:tc>
        <w:tc>
          <w:tcPr>
            <w:tcW w:w="1180" w:type="dxa"/>
            <w:gridSpan w:val="3"/>
            <w:noWrap w:val="0"/>
            <w:vAlign w:val="center"/>
          </w:tcPr>
          <w:p>
            <w:pPr>
              <w:jc w:val="center"/>
              <w:rPr>
                <w:sz w:val="24"/>
              </w:rPr>
            </w:pPr>
            <w:r>
              <w:rPr>
                <w:sz w:val="24"/>
              </w:rPr>
              <w:t>绿化面积</w:t>
            </w:r>
          </w:p>
          <w:p>
            <w:pPr>
              <w:jc w:val="center"/>
              <w:rPr>
                <w:sz w:val="24"/>
              </w:rPr>
            </w:pPr>
            <w:r>
              <w:rPr>
                <w:sz w:val="24"/>
              </w:rPr>
              <w:t>(平方米)</w:t>
            </w:r>
          </w:p>
        </w:tc>
        <w:tc>
          <w:tcPr>
            <w:tcW w:w="3177" w:type="dxa"/>
            <w:gridSpan w:val="4"/>
            <w:noWrap w:val="0"/>
            <w:vAlign w:val="center"/>
          </w:tcPr>
          <w:p>
            <w:pPr>
              <w:spacing w:line="360" w:lineRule="auto"/>
              <w:jc w:val="center"/>
              <w:rPr>
                <w:sz w:val="24"/>
              </w:rPr>
            </w:pPr>
            <w:r>
              <w:rPr>
                <w:kern w:val="0"/>
                <w:sz w:val="24"/>
              </w:rPr>
              <w:t>9737.88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jc w:val="center"/>
              <w:rPr>
                <w:sz w:val="24"/>
              </w:rPr>
            </w:pPr>
            <w:r>
              <w:rPr>
                <w:sz w:val="24"/>
              </w:rPr>
              <w:t>总投资</w:t>
            </w:r>
          </w:p>
          <w:p>
            <w:pPr>
              <w:jc w:val="center"/>
              <w:rPr>
                <w:sz w:val="24"/>
              </w:rPr>
            </w:pPr>
            <w:r>
              <w:rPr>
                <w:sz w:val="24"/>
              </w:rPr>
              <w:t>(万元)</w:t>
            </w:r>
          </w:p>
        </w:tc>
        <w:tc>
          <w:tcPr>
            <w:tcW w:w="1240" w:type="dxa"/>
            <w:gridSpan w:val="2"/>
            <w:noWrap w:val="0"/>
            <w:vAlign w:val="center"/>
          </w:tcPr>
          <w:p>
            <w:pPr>
              <w:spacing w:line="360" w:lineRule="auto"/>
              <w:jc w:val="center"/>
              <w:rPr>
                <w:sz w:val="24"/>
              </w:rPr>
            </w:pPr>
            <w:r>
              <w:rPr>
                <w:sz w:val="24"/>
              </w:rPr>
              <w:t>38975.0</w:t>
            </w:r>
          </w:p>
        </w:tc>
        <w:tc>
          <w:tcPr>
            <w:tcW w:w="2225" w:type="dxa"/>
            <w:gridSpan w:val="3"/>
            <w:noWrap w:val="0"/>
            <w:vAlign w:val="center"/>
          </w:tcPr>
          <w:p>
            <w:pPr>
              <w:jc w:val="center"/>
              <w:rPr>
                <w:sz w:val="24"/>
              </w:rPr>
            </w:pPr>
            <w:r>
              <w:rPr>
                <w:sz w:val="24"/>
              </w:rPr>
              <w:t>其中：环保投资(万元)</w:t>
            </w:r>
          </w:p>
        </w:tc>
        <w:tc>
          <w:tcPr>
            <w:tcW w:w="1180" w:type="dxa"/>
            <w:gridSpan w:val="3"/>
            <w:noWrap w:val="0"/>
            <w:vAlign w:val="center"/>
          </w:tcPr>
          <w:p>
            <w:pPr>
              <w:spacing w:line="360" w:lineRule="auto"/>
              <w:jc w:val="center"/>
              <w:rPr>
                <w:sz w:val="24"/>
              </w:rPr>
            </w:pPr>
            <w:r>
              <w:rPr>
                <w:sz w:val="24"/>
              </w:rPr>
              <w:t>225</w:t>
            </w:r>
          </w:p>
        </w:tc>
        <w:tc>
          <w:tcPr>
            <w:tcW w:w="1653" w:type="dxa"/>
            <w:gridSpan w:val="2"/>
            <w:noWrap w:val="0"/>
            <w:vAlign w:val="center"/>
          </w:tcPr>
          <w:p>
            <w:pPr>
              <w:rPr>
                <w:sz w:val="24"/>
              </w:rPr>
            </w:pPr>
            <w:r>
              <w:rPr>
                <w:sz w:val="24"/>
              </w:rPr>
              <w:t>环保投资占总投资比例%</w:t>
            </w:r>
          </w:p>
        </w:tc>
        <w:tc>
          <w:tcPr>
            <w:tcW w:w="1524" w:type="dxa"/>
            <w:gridSpan w:val="2"/>
            <w:noWrap w:val="0"/>
            <w:vAlign w:val="center"/>
          </w:tcPr>
          <w:p>
            <w:pPr>
              <w:spacing w:line="360" w:lineRule="auto"/>
              <w:jc w:val="center"/>
              <w:rPr>
                <w:sz w:val="24"/>
              </w:rPr>
            </w:pPr>
            <w:r>
              <w:rPr>
                <w:sz w:val="24"/>
              </w:rPr>
              <w:t>0.58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464" w:type="dxa"/>
            <w:noWrap w:val="0"/>
            <w:vAlign w:val="center"/>
          </w:tcPr>
          <w:p>
            <w:pPr>
              <w:jc w:val="center"/>
              <w:rPr>
                <w:sz w:val="24"/>
              </w:rPr>
            </w:pPr>
            <w:r>
              <w:rPr>
                <w:sz w:val="24"/>
              </w:rPr>
              <w:t>评价经费</w:t>
            </w:r>
          </w:p>
          <w:p>
            <w:pPr>
              <w:jc w:val="center"/>
              <w:rPr>
                <w:sz w:val="24"/>
              </w:rPr>
            </w:pPr>
            <w:r>
              <w:rPr>
                <w:sz w:val="24"/>
              </w:rPr>
              <w:t>(万元)</w:t>
            </w:r>
          </w:p>
        </w:tc>
        <w:tc>
          <w:tcPr>
            <w:tcW w:w="1240" w:type="dxa"/>
            <w:gridSpan w:val="2"/>
            <w:noWrap w:val="0"/>
            <w:vAlign w:val="center"/>
          </w:tcPr>
          <w:p>
            <w:pPr>
              <w:spacing w:line="360" w:lineRule="auto"/>
              <w:jc w:val="center"/>
              <w:rPr>
                <w:sz w:val="24"/>
              </w:rPr>
            </w:pPr>
          </w:p>
        </w:tc>
        <w:tc>
          <w:tcPr>
            <w:tcW w:w="2305" w:type="dxa"/>
            <w:gridSpan w:val="4"/>
            <w:noWrap w:val="0"/>
            <w:vAlign w:val="center"/>
          </w:tcPr>
          <w:p>
            <w:pPr>
              <w:jc w:val="center"/>
              <w:rPr>
                <w:sz w:val="24"/>
              </w:rPr>
            </w:pPr>
            <w:r>
              <w:rPr>
                <w:sz w:val="24"/>
              </w:rPr>
              <w:t>预期投产日期</w:t>
            </w:r>
          </w:p>
        </w:tc>
        <w:tc>
          <w:tcPr>
            <w:tcW w:w="4277" w:type="dxa"/>
            <w:gridSpan w:val="6"/>
            <w:noWrap w:val="0"/>
            <w:vAlign w:val="center"/>
          </w:tcPr>
          <w:p>
            <w:pPr>
              <w:spacing w:line="360" w:lineRule="auto"/>
              <w:jc w:val="center"/>
              <w:rPr>
                <w:sz w:val="24"/>
              </w:rPr>
            </w:pPr>
            <w:r>
              <w:rPr>
                <w:rFonts w:hint="eastAsia"/>
                <w:sz w:val="24"/>
              </w:rPr>
              <w:t>2023年7月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7350" w:hRule="atLeast"/>
          <w:jc w:val="center"/>
        </w:trPr>
        <w:tc>
          <w:tcPr>
            <w:tcW w:w="9286" w:type="dxa"/>
            <w:gridSpan w:val="13"/>
            <w:noWrap w:val="0"/>
            <w:vAlign w:val="top"/>
          </w:tcPr>
          <w:p>
            <w:pPr>
              <w:spacing w:line="520" w:lineRule="exact"/>
              <w:rPr>
                <w:b/>
                <w:kern w:val="0"/>
                <w:sz w:val="28"/>
                <w:szCs w:val="28"/>
              </w:rPr>
            </w:pPr>
            <w:r>
              <w:rPr>
                <w:rFonts w:hAnsi="宋体"/>
                <w:b/>
                <w:kern w:val="0"/>
                <w:sz w:val="28"/>
                <w:szCs w:val="28"/>
              </w:rPr>
              <w:t>工程内容及规模：</w:t>
            </w:r>
          </w:p>
          <w:p>
            <w:pPr>
              <w:spacing w:line="360" w:lineRule="auto"/>
              <w:ind w:firstLine="482" w:firstLineChars="200"/>
              <w:rPr>
                <w:rFonts w:hint="eastAsia" w:hAnsi="宋体"/>
                <w:b/>
                <w:sz w:val="24"/>
              </w:rPr>
            </w:pPr>
            <w:r>
              <w:rPr>
                <w:rFonts w:hint="eastAsia" w:hAnsi="宋体"/>
                <w:b/>
                <w:sz w:val="24"/>
              </w:rPr>
              <w:t>一、</w:t>
            </w:r>
            <w:r>
              <w:rPr>
                <w:rFonts w:hAnsi="宋体"/>
                <w:b/>
                <w:sz w:val="24"/>
              </w:rPr>
              <w:t>任务由来</w:t>
            </w:r>
          </w:p>
          <w:p>
            <w:pPr>
              <w:spacing w:line="360" w:lineRule="auto"/>
              <w:ind w:firstLine="480" w:firstLineChars="200"/>
              <w:rPr>
                <w:rFonts w:hAnsi="宋体"/>
                <w:sz w:val="24"/>
              </w:rPr>
            </w:pPr>
            <w:r>
              <w:rPr>
                <w:rFonts w:hAnsi="宋体"/>
                <w:sz w:val="24"/>
              </w:rPr>
              <w:t>维西县农贸</w:t>
            </w:r>
            <w:r>
              <w:rPr>
                <w:rFonts w:hint="eastAsia" w:hAnsi="宋体"/>
                <w:sz w:val="24"/>
              </w:rPr>
              <w:t>交易</w:t>
            </w:r>
            <w:r>
              <w:rPr>
                <w:rFonts w:hAnsi="宋体"/>
                <w:sz w:val="24"/>
              </w:rPr>
              <w:t>市场</w:t>
            </w:r>
            <w:r>
              <w:rPr>
                <w:rFonts w:hint="eastAsia" w:hAnsi="宋体"/>
                <w:sz w:val="24"/>
              </w:rPr>
              <w:t>整体状况较差</w:t>
            </w:r>
            <w:r>
              <w:rPr>
                <w:rFonts w:hAnsi="宋体"/>
                <w:sz w:val="24"/>
              </w:rPr>
              <w:t>，条件</w:t>
            </w:r>
            <w:r>
              <w:rPr>
                <w:rFonts w:hint="eastAsia" w:hAnsi="宋体"/>
                <w:sz w:val="24"/>
              </w:rPr>
              <w:t>相对简陋，</w:t>
            </w:r>
            <w:r>
              <w:rPr>
                <w:rFonts w:hAnsi="宋体"/>
                <w:sz w:val="24"/>
              </w:rPr>
              <w:t>全县</w:t>
            </w:r>
            <w:r>
              <w:rPr>
                <w:rFonts w:hint="eastAsia" w:hAnsi="宋体"/>
                <w:sz w:val="24"/>
              </w:rPr>
              <w:t>农贸交易场所为</w:t>
            </w:r>
            <w:r>
              <w:rPr>
                <w:rFonts w:hAnsi="宋体"/>
                <w:sz w:val="24"/>
              </w:rPr>
              <w:t>大棚或</w:t>
            </w:r>
            <w:r>
              <w:rPr>
                <w:rFonts w:hint="eastAsia" w:hAnsi="宋体"/>
                <w:sz w:val="24"/>
              </w:rPr>
              <w:t>露天</w:t>
            </w:r>
            <w:r>
              <w:rPr>
                <w:rFonts w:hAnsi="宋体"/>
                <w:sz w:val="24"/>
              </w:rPr>
              <w:t>地摊</w:t>
            </w:r>
            <w:r>
              <w:rPr>
                <w:rFonts w:hint="eastAsia" w:hAnsi="宋体"/>
                <w:sz w:val="24"/>
              </w:rPr>
              <w:t>形式。</w:t>
            </w:r>
            <w:r>
              <w:rPr>
                <w:rFonts w:hAnsi="宋体"/>
                <w:sz w:val="24"/>
              </w:rPr>
              <w:t>维西县</w:t>
            </w:r>
            <w:r>
              <w:rPr>
                <w:rFonts w:hint="eastAsia" w:hAnsi="宋体"/>
                <w:sz w:val="24"/>
              </w:rPr>
              <w:t>老城</w:t>
            </w:r>
            <w:r>
              <w:rPr>
                <w:rFonts w:hAnsi="宋体"/>
                <w:sz w:val="24"/>
              </w:rPr>
              <w:t>区</w:t>
            </w:r>
            <w:r>
              <w:rPr>
                <w:rFonts w:hint="eastAsia" w:hAnsi="宋体"/>
                <w:sz w:val="24"/>
              </w:rPr>
              <w:t>因</w:t>
            </w:r>
            <w:r>
              <w:rPr>
                <w:rFonts w:hAnsi="宋体"/>
                <w:sz w:val="24"/>
              </w:rPr>
              <w:t>场地</w:t>
            </w:r>
            <w:r>
              <w:rPr>
                <w:rFonts w:hint="eastAsia" w:hAnsi="宋体"/>
                <w:sz w:val="24"/>
              </w:rPr>
              <w:t>及</w:t>
            </w:r>
            <w:r>
              <w:rPr>
                <w:rFonts w:hAnsi="宋体"/>
                <w:sz w:val="24"/>
              </w:rPr>
              <w:t>历史等</w:t>
            </w:r>
            <w:r>
              <w:rPr>
                <w:rFonts w:hint="eastAsia" w:hAnsi="宋体"/>
                <w:sz w:val="24"/>
              </w:rPr>
              <w:t>条件</w:t>
            </w:r>
            <w:r>
              <w:rPr>
                <w:rFonts w:hAnsi="宋体"/>
                <w:sz w:val="24"/>
              </w:rPr>
              <w:t>限制</w:t>
            </w:r>
            <w:r>
              <w:rPr>
                <w:rFonts w:hint="eastAsia" w:hAnsi="宋体"/>
                <w:sz w:val="24"/>
              </w:rPr>
              <w:t>目前</w:t>
            </w:r>
            <w:r>
              <w:rPr>
                <w:rFonts w:hAnsi="宋体"/>
                <w:sz w:val="24"/>
              </w:rPr>
              <w:t>无</w:t>
            </w:r>
            <w:r>
              <w:rPr>
                <w:rFonts w:hint="eastAsia" w:hAnsi="宋体"/>
                <w:sz w:val="24"/>
              </w:rPr>
              <w:t>固定</w:t>
            </w:r>
            <w:r>
              <w:rPr>
                <w:rFonts w:hAnsi="宋体"/>
                <w:sz w:val="24"/>
              </w:rPr>
              <w:t>农贸市场，</w:t>
            </w:r>
            <w:r>
              <w:rPr>
                <w:rFonts w:hint="eastAsia" w:hAnsi="宋体"/>
                <w:sz w:val="24"/>
              </w:rPr>
              <w:t>农产品销售无固定场所，菜农占据城区主街</w:t>
            </w:r>
            <w:r>
              <w:rPr>
                <w:rFonts w:hAnsi="宋体"/>
                <w:sz w:val="24"/>
              </w:rPr>
              <w:t>沿线</w:t>
            </w:r>
            <w:r>
              <w:rPr>
                <w:rFonts w:hint="eastAsia" w:hAnsi="宋体"/>
                <w:sz w:val="24"/>
              </w:rPr>
              <w:t>进行市场交易活动，“以</w:t>
            </w:r>
            <w:r>
              <w:rPr>
                <w:rFonts w:hAnsi="宋体"/>
                <w:sz w:val="24"/>
              </w:rPr>
              <w:t>路为市，</w:t>
            </w:r>
            <w:r>
              <w:rPr>
                <w:rFonts w:hint="eastAsia" w:hAnsi="宋体"/>
                <w:sz w:val="24"/>
              </w:rPr>
              <w:t>占道经营”现象严重影响县城交通秩序、</w:t>
            </w:r>
            <w:r>
              <w:rPr>
                <w:rFonts w:hAnsi="宋体"/>
                <w:sz w:val="24"/>
              </w:rPr>
              <w:t>环境</w:t>
            </w:r>
            <w:r>
              <w:rPr>
                <w:rFonts w:hint="eastAsia" w:hAnsi="宋体"/>
                <w:sz w:val="24"/>
              </w:rPr>
              <w:t>卫生和城市</w:t>
            </w:r>
            <w:r>
              <w:rPr>
                <w:rFonts w:hAnsi="宋体"/>
                <w:sz w:val="24"/>
              </w:rPr>
              <w:t>管理</w:t>
            </w:r>
            <w:r>
              <w:rPr>
                <w:rFonts w:hint="eastAsia" w:hAnsi="宋体"/>
                <w:sz w:val="24"/>
              </w:rPr>
              <w:t>。清除“以路为市，占道经营”现象，在</w:t>
            </w:r>
            <w:r>
              <w:rPr>
                <w:rFonts w:hAnsi="宋体"/>
                <w:sz w:val="24"/>
              </w:rPr>
              <w:t>老城区</w:t>
            </w:r>
            <w:r>
              <w:rPr>
                <w:rFonts w:hint="eastAsia" w:hAnsi="宋体"/>
                <w:sz w:val="24"/>
              </w:rPr>
              <w:t>集中建设标准化农贸市场是</w:t>
            </w:r>
            <w:r>
              <w:rPr>
                <w:rFonts w:hAnsi="宋体"/>
                <w:sz w:val="24"/>
              </w:rPr>
              <w:t>当前维西县城老城区</w:t>
            </w:r>
            <w:r>
              <w:rPr>
                <w:rFonts w:hint="eastAsia" w:hAnsi="宋体"/>
                <w:sz w:val="24"/>
              </w:rPr>
              <w:t>建设</w:t>
            </w:r>
            <w:r>
              <w:rPr>
                <w:rFonts w:hAnsi="宋体"/>
                <w:sz w:val="24"/>
              </w:rPr>
              <w:t>良好交通</w:t>
            </w:r>
            <w:r>
              <w:rPr>
                <w:rFonts w:hint="eastAsia" w:hAnsi="宋体"/>
                <w:sz w:val="24"/>
              </w:rPr>
              <w:t>秩序</w:t>
            </w:r>
            <w:r>
              <w:rPr>
                <w:rFonts w:hAnsi="宋体"/>
                <w:sz w:val="24"/>
              </w:rPr>
              <w:t>，提升县城环境</w:t>
            </w:r>
            <w:r>
              <w:rPr>
                <w:rFonts w:hint="eastAsia" w:hAnsi="宋体"/>
                <w:sz w:val="24"/>
              </w:rPr>
              <w:t>和实施县城</w:t>
            </w:r>
            <w:r>
              <w:rPr>
                <w:rFonts w:hAnsi="宋体"/>
                <w:sz w:val="24"/>
              </w:rPr>
              <w:t>规范化管理的当务之急。</w:t>
            </w:r>
          </w:p>
          <w:p>
            <w:pPr>
              <w:spacing w:line="360" w:lineRule="auto"/>
              <w:ind w:firstLine="480" w:firstLineChars="200"/>
              <w:rPr>
                <w:rFonts w:hAnsi="宋体"/>
                <w:sz w:val="24"/>
              </w:rPr>
            </w:pPr>
            <w:r>
              <w:rPr>
                <w:rFonts w:hint="eastAsia" w:hAnsi="宋体"/>
                <w:sz w:val="24"/>
              </w:rPr>
              <w:t>维西县当地拥有丰富多样的土特产品，包括：维西百花蜜、维西核桃、燕麦馒头、高山苦荞、维西氽灌肠、野生菌、竹叶菜、维西县风干牛羊肉等维西特有的土特产，这些土特产品甚至不被外界所熟知，以往山区百姓交易这些土特产都是通过零散的交易方式进行，通过本项目的建设能够为山区百姓免费提供一个场所进行集中交易，形成规模效应，让原生态产品实现畅销，更让山区百姓实现创收，进一步实现小康维西；同时，农贸市场集中建设，</w:t>
            </w:r>
            <w:r>
              <w:rPr>
                <w:rFonts w:hAnsi="宋体"/>
                <w:sz w:val="24"/>
              </w:rPr>
              <w:t>配建地下停车场，解决停车问题</w:t>
            </w:r>
            <w:r>
              <w:rPr>
                <w:rFonts w:hint="eastAsia" w:hAnsi="宋体"/>
                <w:sz w:val="24"/>
              </w:rPr>
              <w:t>也是消费者的迫切需求。</w:t>
            </w:r>
          </w:p>
          <w:p>
            <w:pPr>
              <w:spacing w:line="360" w:lineRule="auto"/>
              <w:ind w:firstLine="480" w:firstLineChars="200"/>
              <w:rPr>
                <w:rFonts w:hint="eastAsia" w:hAnsi="宋体"/>
                <w:sz w:val="24"/>
              </w:rPr>
            </w:pPr>
            <w:r>
              <w:rPr>
                <w:rFonts w:hint="eastAsia" w:hAnsi="宋体"/>
                <w:sz w:val="24"/>
              </w:rPr>
              <w:t>维西县老城区位于维西傈僳族自治县保和镇</w:t>
            </w:r>
            <w:r>
              <w:rPr>
                <w:rFonts w:hAnsi="宋体"/>
                <w:sz w:val="24"/>
              </w:rPr>
              <w:t>，</w:t>
            </w:r>
            <w:r>
              <w:rPr>
                <w:rFonts w:hint="eastAsia" w:hAnsi="宋体"/>
                <w:sz w:val="24"/>
              </w:rPr>
              <w:t>是</w:t>
            </w:r>
            <w:r>
              <w:rPr>
                <w:rFonts w:hAnsi="宋体"/>
                <w:sz w:val="24"/>
              </w:rPr>
              <w:t>维西县人民政府</w:t>
            </w:r>
            <w:r>
              <w:rPr>
                <w:rFonts w:hint="eastAsia" w:hAnsi="宋体"/>
                <w:sz w:val="24"/>
              </w:rPr>
              <w:t>所在地</w:t>
            </w:r>
            <w:r>
              <w:rPr>
                <w:rFonts w:hAnsi="宋体"/>
                <w:sz w:val="24"/>
              </w:rPr>
              <w:t>。</w:t>
            </w:r>
            <w:r>
              <w:rPr>
                <w:rFonts w:hint="eastAsia" w:hAnsi="宋体"/>
                <w:sz w:val="24"/>
              </w:rPr>
              <w:t>老城区</w:t>
            </w:r>
            <w:r>
              <w:rPr>
                <w:rFonts w:hAnsi="宋体"/>
                <w:sz w:val="24"/>
              </w:rPr>
              <w:t>历史悠久，</w:t>
            </w:r>
            <w:r>
              <w:rPr>
                <w:rFonts w:hint="eastAsia" w:hAnsi="宋体"/>
                <w:sz w:val="24"/>
              </w:rPr>
              <w:t>是</w:t>
            </w:r>
            <w:r>
              <w:rPr>
                <w:rFonts w:hAnsi="宋体"/>
                <w:sz w:val="24"/>
              </w:rPr>
              <w:t>维西</w:t>
            </w:r>
            <w:r>
              <w:rPr>
                <w:rFonts w:hint="eastAsia" w:hAnsi="宋体"/>
                <w:sz w:val="24"/>
              </w:rPr>
              <w:t>傈僳</w:t>
            </w:r>
            <w:r>
              <w:rPr>
                <w:rFonts w:hAnsi="宋体"/>
                <w:sz w:val="24"/>
              </w:rPr>
              <w:t>文化的重要载体</w:t>
            </w:r>
            <w:r>
              <w:rPr>
                <w:rFonts w:hint="eastAsia" w:hAnsi="宋体"/>
                <w:sz w:val="24"/>
              </w:rPr>
              <w:t>；</w:t>
            </w:r>
            <w:r>
              <w:rPr>
                <w:rFonts w:hAnsi="宋体"/>
                <w:sz w:val="24"/>
              </w:rPr>
              <w:t>老城区</w:t>
            </w:r>
            <w:r>
              <w:rPr>
                <w:rFonts w:hint="eastAsia" w:hAnsi="宋体"/>
                <w:sz w:val="24"/>
              </w:rPr>
              <w:t>地势南</w:t>
            </w:r>
            <w:r>
              <w:rPr>
                <w:rFonts w:hAnsi="宋体"/>
                <w:sz w:val="24"/>
              </w:rPr>
              <w:t>高北</w:t>
            </w:r>
            <w:r>
              <w:rPr>
                <w:rFonts w:hint="eastAsia" w:hAnsi="宋体"/>
                <w:sz w:val="24"/>
              </w:rPr>
              <w:t>低</w:t>
            </w:r>
            <w:r>
              <w:rPr>
                <w:rFonts w:hAnsi="宋体"/>
                <w:sz w:val="24"/>
              </w:rPr>
              <w:t>，特殊的</w:t>
            </w:r>
            <w:r>
              <w:rPr>
                <w:rFonts w:hint="eastAsia" w:hAnsi="宋体"/>
                <w:sz w:val="24"/>
              </w:rPr>
              <w:t>地势</w:t>
            </w:r>
            <w:r>
              <w:rPr>
                <w:rFonts w:hAnsi="宋体"/>
                <w:sz w:val="24"/>
              </w:rPr>
              <w:t>条件</w:t>
            </w:r>
            <w:r>
              <w:rPr>
                <w:rFonts w:hint="eastAsia" w:hAnsi="宋体"/>
                <w:sz w:val="24"/>
              </w:rPr>
              <w:t>和</w:t>
            </w:r>
            <w:r>
              <w:rPr>
                <w:rFonts w:hAnsi="宋体"/>
                <w:sz w:val="24"/>
              </w:rPr>
              <w:t>复杂的历史</w:t>
            </w:r>
            <w:r>
              <w:rPr>
                <w:rFonts w:hint="eastAsia" w:hAnsi="宋体"/>
                <w:sz w:val="24"/>
              </w:rPr>
              <w:t>原因是</w:t>
            </w:r>
            <w:r>
              <w:rPr>
                <w:rFonts w:hAnsi="宋体"/>
                <w:sz w:val="24"/>
              </w:rPr>
              <w:t>其</w:t>
            </w:r>
            <w:r>
              <w:rPr>
                <w:rFonts w:hint="eastAsia" w:hAnsi="宋体"/>
                <w:sz w:val="24"/>
              </w:rPr>
              <w:t>形成</w:t>
            </w:r>
            <w:r>
              <w:rPr>
                <w:rFonts w:hAnsi="宋体"/>
                <w:sz w:val="24"/>
              </w:rPr>
              <w:t>分散式</w:t>
            </w:r>
            <w:r>
              <w:rPr>
                <w:rFonts w:hint="eastAsia" w:hAnsi="宋体"/>
                <w:sz w:val="24"/>
              </w:rPr>
              <w:t>农贸市场</w:t>
            </w:r>
            <w:r>
              <w:rPr>
                <w:rFonts w:hAnsi="宋体"/>
                <w:sz w:val="24"/>
              </w:rPr>
              <w:t>交易形态</w:t>
            </w:r>
            <w:r>
              <w:rPr>
                <w:rFonts w:hint="eastAsia" w:hAnsi="宋体"/>
                <w:sz w:val="24"/>
              </w:rPr>
              <w:t>和单一农副产品交易</w:t>
            </w:r>
            <w:r>
              <w:rPr>
                <w:rFonts w:hAnsi="宋体"/>
                <w:sz w:val="24"/>
              </w:rPr>
              <w:t>模式</w:t>
            </w:r>
            <w:r>
              <w:rPr>
                <w:rFonts w:hint="eastAsia" w:hAnsi="宋体"/>
                <w:sz w:val="24"/>
              </w:rPr>
              <w:t>的</w:t>
            </w:r>
            <w:r>
              <w:rPr>
                <w:rFonts w:hAnsi="宋体"/>
                <w:sz w:val="24"/>
              </w:rPr>
              <w:t>重要</w:t>
            </w:r>
            <w:r>
              <w:rPr>
                <w:rFonts w:hint="eastAsia" w:hAnsi="宋体"/>
                <w:sz w:val="24"/>
              </w:rPr>
              <w:t>因素。农贸</w:t>
            </w:r>
            <w:r>
              <w:rPr>
                <w:rFonts w:hAnsi="宋体"/>
                <w:sz w:val="24"/>
              </w:rPr>
              <w:t>交易点分布零散且缺少</w:t>
            </w:r>
            <w:r>
              <w:rPr>
                <w:rFonts w:hint="eastAsia" w:hAnsi="宋体"/>
                <w:sz w:val="24"/>
              </w:rPr>
              <w:t>特色，</w:t>
            </w:r>
            <w:r>
              <w:rPr>
                <w:rFonts w:hAnsi="宋体"/>
                <w:sz w:val="24"/>
              </w:rPr>
              <w:t>经营思路传统</w:t>
            </w:r>
            <w:r>
              <w:rPr>
                <w:rFonts w:hint="eastAsia" w:hAnsi="宋体"/>
                <w:sz w:val="24"/>
              </w:rPr>
              <w:t>、</w:t>
            </w:r>
            <w:r>
              <w:rPr>
                <w:rFonts w:hAnsi="宋体"/>
                <w:sz w:val="24"/>
              </w:rPr>
              <w:t>服务模式单一</w:t>
            </w:r>
            <w:r>
              <w:rPr>
                <w:rFonts w:hint="eastAsia" w:hAnsi="宋体"/>
                <w:sz w:val="24"/>
              </w:rPr>
              <w:t>严重</w:t>
            </w:r>
            <w:r>
              <w:rPr>
                <w:rFonts w:hAnsi="宋体"/>
                <w:sz w:val="24"/>
              </w:rPr>
              <w:t>制约着老城区社会经济</w:t>
            </w:r>
            <w:r>
              <w:rPr>
                <w:rFonts w:hint="eastAsia" w:hAnsi="宋体"/>
                <w:sz w:val="24"/>
              </w:rPr>
              <w:t>的高</w:t>
            </w:r>
            <w:r>
              <w:rPr>
                <w:rFonts w:hAnsi="宋体"/>
                <w:sz w:val="24"/>
              </w:rPr>
              <w:t>质量发展。</w:t>
            </w:r>
            <w:r>
              <w:rPr>
                <w:rFonts w:hint="eastAsia" w:hAnsi="宋体"/>
                <w:sz w:val="24"/>
              </w:rPr>
              <w:t>建设集中</w:t>
            </w:r>
            <w:r>
              <w:rPr>
                <w:rFonts w:hAnsi="宋体"/>
                <w:sz w:val="24"/>
              </w:rPr>
              <w:t>式</w:t>
            </w:r>
            <w:r>
              <w:rPr>
                <w:rFonts w:hint="eastAsia" w:hAnsi="宋体"/>
                <w:sz w:val="24"/>
              </w:rPr>
              <w:t>农贸市场</w:t>
            </w:r>
            <w:r>
              <w:rPr>
                <w:rFonts w:hAnsi="宋体"/>
                <w:sz w:val="24"/>
              </w:rPr>
              <w:t>，打造差异化的</w:t>
            </w:r>
            <w:r>
              <w:rPr>
                <w:rFonts w:hint="eastAsia" w:hAnsi="宋体"/>
                <w:sz w:val="24"/>
              </w:rPr>
              <w:t>交易</w:t>
            </w:r>
            <w:r>
              <w:rPr>
                <w:rFonts w:hAnsi="宋体"/>
                <w:sz w:val="24"/>
              </w:rPr>
              <w:t>服务</w:t>
            </w:r>
            <w:r>
              <w:rPr>
                <w:rFonts w:hint="eastAsia" w:hAnsi="宋体"/>
                <w:sz w:val="24"/>
              </w:rPr>
              <w:t>模式</w:t>
            </w:r>
            <w:r>
              <w:rPr>
                <w:rFonts w:hAnsi="宋体"/>
                <w:sz w:val="24"/>
              </w:rPr>
              <w:t>是</w:t>
            </w:r>
            <w:r>
              <w:rPr>
                <w:rFonts w:hint="eastAsia" w:hAnsi="宋体"/>
                <w:sz w:val="24"/>
              </w:rPr>
              <w:t>当前</w:t>
            </w:r>
            <w:r>
              <w:rPr>
                <w:rFonts w:hAnsi="宋体"/>
                <w:sz w:val="24"/>
              </w:rPr>
              <w:t>维西县</w:t>
            </w:r>
            <w:r>
              <w:rPr>
                <w:rFonts w:hint="eastAsia" w:hAnsi="宋体"/>
                <w:sz w:val="24"/>
              </w:rPr>
              <w:t>老城区</w:t>
            </w:r>
            <w:r>
              <w:rPr>
                <w:rFonts w:hAnsi="宋体"/>
                <w:sz w:val="24"/>
              </w:rPr>
              <w:t>社会经济高质量发展的</w:t>
            </w:r>
            <w:r>
              <w:rPr>
                <w:rFonts w:hint="eastAsia" w:hAnsi="宋体"/>
                <w:sz w:val="24"/>
              </w:rPr>
              <w:t>新</w:t>
            </w:r>
            <w:r>
              <w:rPr>
                <w:rFonts w:hAnsi="宋体"/>
                <w:sz w:val="24"/>
              </w:rPr>
              <w:t>思路和有效途径。</w:t>
            </w:r>
          </w:p>
          <w:p>
            <w:pPr>
              <w:spacing w:line="360" w:lineRule="auto"/>
              <w:ind w:firstLine="480" w:firstLineChars="200"/>
              <w:rPr>
                <w:rFonts w:hint="eastAsia" w:hAnsi="宋体"/>
                <w:sz w:val="24"/>
              </w:rPr>
            </w:pPr>
            <w:r>
              <w:rPr>
                <w:rFonts w:hAnsi="宋体"/>
                <w:sz w:val="24"/>
              </w:rPr>
              <w:t>为了防治污染，保护环境，根据《中华人民共和国环境影响评价法》，按照国家及云南省建设项目环境管理的有关规定，项目</w:t>
            </w:r>
            <w:r>
              <w:rPr>
                <w:rFonts w:hint="eastAsia" w:hAnsi="宋体"/>
                <w:sz w:val="24"/>
              </w:rPr>
              <w:t>建设单位</w:t>
            </w:r>
            <w:r>
              <w:rPr>
                <w:rFonts w:hAnsi="宋体"/>
                <w:sz w:val="24"/>
              </w:rPr>
              <w:t>委托</w:t>
            </w:r>
            <w:r>
              <w:rPr>
                <w:rFonts w:hint="eastAsia" w:hAnsi="宋体"/>
                <w:sz w:val="24"/>
              </w:rPr>
              <w:t>云南玮元</w:t>
            </w:r>
            <w:r>
              <w:rPr>
                <w:rFonts w:hAnsi="宋体"/>
                <w:sz w:val="24"/>
              </w:rPr>
              <w:t>工程</w:t>
            </w:r>
            <w:r>
              <w:rPr>
                <w:rFonts w:hint="eastAsia" w:hAnsi="宋体"/>
                <w:sz w:val="24"/>
              </w:rPr>
              <w:t>咨询有限公司</w:t>
            </w:r>
            <w:r>
              <w:rPr>
                <w:rFonts w:hAnsi="宋体"/>
                <w:sz w:val="24"/>
              </w:rPr>
              <w:t>对</w:t>
            </w:r>
            <w:r>
              <w:rPr>
                <w:rFonts w:hint="eastAsia"/>
                <w:sz w:val="24"/>
              </w:rPr>
              <w:t>维西县</w:t>
            </w:r>
            <w:r>
              <w:rPr>
                <w:sz w:val="24"/>
              </w:rPr>
              <w:t>老城区农贸市场建设项目</w:t>
            </w:r>
            <w:r>
              <w:rPr>
                <w:rFonts w:hAnsi="宋体"/>
                <w:sz w:val="24"/>
              </w:rPr>
              <w:t>进行环境影响评价工作。我方在接受委托后组织相关人员对现场进行了踏勘和资料收集。在对项目特点和环境影响因素进行分析的基础上，根据国家、云南省环境保护的有关规定和有关技术文件的原则、方法、内容和对该类项目环境影响评价的要求，编制了《</w:t>
            </w:r>
            <w:r>
              <w:rPr>
                <w:rFonts w:hint="eastAsia"/>
                <w:sz w:val="24"/>
              </w:rPr>
              <w:t>维西县</w:t>
            </w:r>
            <w:r>
              <w:rPr>
                <w:sz w:val="24"/>
              </w:rPr>
              <w:t>老城区农贸市场建设项目</w:t>
            </w:r>
            <w:r>
              <w:rPr>
                <w:rFonts w:hAnsi="宋体"/>
                <w:sz w:val="24"/>
              </w:rPr>
              <w:t>环境影响报告表》</w:t>
            </w:r>
            <w:r>
              <w:rPr>
                <w:rFonts w:hint="eastAsia" w:hAnsi="宋体"/>
                <w:sz w:val="24"/>
              </w:rPr>
              <w:t>（报批稿）</w:t>
            </w:r>
            <w:r>
              <w:rPr>
                <w:rFonts w:hAnsi="宋体"/>
                <w:sz w:val="24"/>
              </w:rPr>
              <w:t>，供建设单位上报审</w:t>
            </w:r>
            <w:r>
              <w:rPr>
                <w:rFonts w:hint="eastAsia" w:hAnsi="宋体"/>
                <w:sz w:val="24"/>
              </w:rPr>
              <w:t>查</w:t>
            </w:r>
            <w:r>
              <w:rPr>
                <w:rFonts w:hAnsi="宋体"/>
                <w:sz w:val="24"/>
              </w:rPr>
              <w:t>，作为该项目设计和环境管理工作的依据。</w:t>
            </w:r>
          </w:p>
          <w:p>
            <w:pPr>
              <w:spacing w:line="360" w:lineRule="auto"/>
              <w:ind w:firstLine="482" w:firstLineChars="200"/>
              <w:rPr>
                <w:kern w:val="0"/>
                <w:sz w:val="24"/>
              </w:rPr>
            </w:pPr>
            <w:r>
              <w:rPr>
                <w:rFonts w:hint="eastAsia" w:hAnsi="宋体"/>
                <w:b/>
                <w:sz w:val="24"/>
              </w:rPr>
              <w:t>二</w:t>
            </w:r>
            <w:r>
              <w:rPr>
                <w:rFonts w:hAnsi="宋体"/>
                <w:b/>
                <w:sz w:val="24"/>
              </w:rPr>
              <w:t>、项目基本情况</w:t>
            </w:r>
          </w:p>
          <w:p>
            <w:pPr>
              <w:spacing w:line="360" w:lineRule="auto"/>
              <w:ind w:firstLine="480" w:firstLineChars="200"/>
              <w:rPr>
                <w:rFonts w:hint="eastAsia" w:hAnsi="宋体"/>
                <w:sz w:val="24"/>
              </w:rPr>
            </w:pPr>
            <w:r>
              <w:rPr>
                <w:rFonts w:hAnsi="宋体"/>
                <w:sz w:val="24"/>
              </w:rPr>
              <w:t>项目名称：</w:t>
            </w:r>
            <w:r>
              <w:rPr>
                <w:rFonts w:hint="eastAsia" w:hAnsi="宋体"/>
                <w:sz w:val="24"/>
              </w:rPr>
              <w:t>维西县</w:t>
            </w:r>
            <w:r>
              <w:rPr>
                <w:rFonts w:hAnsi="宋体"/>
                <w:sz w:val="24"/>
              </w:rPr>
              <w:t>老城区农贸市场建设</w:t>
            </w:r>
            <w:r>
              <w:rPr>
                <w:rFonts w:hint="eastAsia" w:hAnsi="宋体"/>
                <w:sz w:val="24"/>
              </w:rPr>
              <w:t>项目</w:t>
            </w:r>
          </w:p>
          <w:p>
            <w:pPr>
              <w:spacing w:line="360" w:lineRule="auto"/>
              <w:ind w:firstLine="480" w:firstLineChars="200"/>
              <w:rPr>
                <w:rFonts w:hAnsi="宋体"/>
                <w:sz w:val="24"/>
              </w:rPr>
            </w:pPr>
            <w:r>
              <w:rPr>
                <w:rFonts w:hAnsi="宋体"/>
                <w:sz w:val="24"/>
              </w:rPr>
              <w:t>建设地点：</w:t>
            </w:r>
            <w:r>
              <w:rPr>
                <w:rFonts w:hint="eastAsia" w:hAnsi="宋体"/>
                <w:sz w:val="24"/>
              </w:rPr>
              <w:t>拟建维西县老城区农贸市场综合体建设项目云南省迪庆藏族自治州维西县县城中部，挟持在念萨街（南侧）、顺城南路（北侧）、头道河（东侧）、白鹤路（西侧）之间，地理位置中心坐标：东经99°17′08.1″、北纬27°11′00.27″，行政区划隶属保和镇辖。目前项目的用地上有</w:t>
            </w:r>
            <w:r>
              <w:rPr>
                <w:rFonts w:hAnsi="宋体"/>
                <w:sz w:val="24"/>
              </w:rPr>
              <w:t>部分建筑，拆除后即可</w:t>
            </w:r>
            <w:r>
              <w:rPr>
                <w:rFonts w:hint="eastAsia" w:hAnsi="宋体"/>
                <w:sz w:val="24"/>
              </w:rPr>
              <w:t>满足项目的建设条件。</w:t>
            </w:r>
          </w:p>
          <w:p>
            <w:pPr>
              <w:spacing w:line="360" w:lineRule="auto"/>
              <w:ind w:firstLine="480" w:firstLineChars="200"/>
              <w:rPr>
                <w:rFonts w:hint="eastAsia" w:hAnsi="宋体"/>
                <w:sz w:val="24"/>
              </w:rPr>
            </w:pPr>
            <w:r>
              <w:rPr>
                <w:rFonts w:hAnsi="宋体"/>
                <w:sz w:val="24"/>
              </w:rPr>
              <w:t>建设单位：</w:t>
            </w:r>
            <w:r>
              <w:rPr>
                <w:rFonts w:hint="eastAsia"/>
                <w:sz w:val="24"/>
              </w:rPr>
              <w:t>维西县老城区农贸市场建设项目指挥部</w:t>
            </w:r>
          </w:p>
          <w:p>
            <w:pPr>
              <w:spacing w:line="360" w:lineRule="auto"/>
              <w:ind w:firstLine="480" w:firstLineChars="200"/>
              <w:rPr>
                <w:rFonts w:hAnsi="宋体"/>
                <w:sz w:val="24"/>
              </w:rPr>
            </w:pPr>
            <w:r>
              <w:rPr>
                <w:rFonts w:hAnsi="宋体"/>
                <w:sz w:val="24"/>
              </w:rPr>
              <w:t>建设性质：</w:t>
            </w:r>
            <w:r>
              <w:rPr>
                <w:rFonts w:hint="eastAsia" w:hAnsi="宋体"/>
                <w:sz w:val="24"/>
              </w:rPr>
              <w:t>新建</w:t>
            </w:r>
          </w:p>
          <w:p>
            <w:pPr>
              <w:spacing w:line="360" w:lineRule="auto"/>
              <w:ind w:firstLine="480" w:firstLineChars="200"/>
              <w:rPr>
                <w:rFonts w:hAnsi="宋体"/>
                <w:sz w:val="24"/>
              </w:rPr>
            </w:pPr>
            <w:r>
              <w:rPr>
                <w:rFonts w:hint="eastAsia" w:hAnsi="宋体"/>
                <w:sz w:val="24"/>
              </w:rPr>
              <w:t>占地面积：</w:t>
            </w:r>
            <w:r>
              <w:rPr>
                <w:rFonts w:hint="eastAsia"/>
                <w:sz w:val="24"/>
              </w:rPr>
              <w:t>40916.43㎡（61.37亩）</w:t>
            </w:r>
            <w:r>
              <w:rPr>
                <w:rFonts w:hint="eastAsia" w:hAnsi="宋体"/>
                <w:sz w:val="24"/>
              </w:rPr>
              <w:t>；</w:t>
            </w:r>
          </w:p>
          <w:p>
            <w:pPr>
              <w:spacing w:line="360" w:lineRule="auto"/>
              <w:ind w:firstLine="480" w:firstLineChars="200"/>
              <w:rPr>
                <w:rFonts w:hAnsi="宋体"/>
                <w:sz w:val="24"/>
              </w:rPr>
            </w:pPr>
            <w:r>
              <w:rPr>
                <w:rFonts w:hint="eastAsia" w:hAnsi="宋体"/>
                <w:sz w:val="24"/>
              </w:rPr>
              <w:t>建筑面积：</w:t>
            </w:r>
            <w:r>
              <w:rPr>
                <w:rFonts w:hint="eastAsia"/>
                <w:sz w:val="24"/>
              </w:rPr>
              <w:t>总建筑面积66816.13㎡（其中地上总建筑面积52607.03㎡，地下建筑面积14209.10㎡）。</w:t>
            </w:r>
          </w:p>
          <w:p>
            <w:pPr>
              <w:spacing w:line="360" w:lineRule="auto"/>
              <w:ind w:firstLine="480" w:firstLineChars="200"/>
              <w:rPr>
                <w:rFonts w:hAnsi="宋体"/>
                <w:sz w:val="24"/>
              </w:rPr>
            </w:pPr>
            <w:r>
              <w:rPr>
                <w:rFonts w:hAnsi="宋体"/>
                <w:sz w:val="24"/>
              </w:rPr>
              <w:t>本项目的地理位置图见附图1</w:t>
            </w:r>
            <w:r>
              <w:rPr>
                <w:rFonts w:hint="eastAsia" w:hAnsi="宋体"/>
                <w:sz w:val="24"/>
              </w:rPr>
              <w:t>。</w:t>
            </w:r>
          </w:p>
          <w:p>
            <w:pPr>
              <w:spacing w:line="360" w:lineRule="auto"/>
              <w:ind w:firstLine="420" w:firstLineChars="200"/>
              <w:rPr>
                <w:rFonts w:hint="eastAsia" w:hAnsi="宋体"/>
                <w:sz w:val="24"/>
              </w:rPr>
            </w:pPr>
            <w:r>
              <w:rPr>
                <w:lang/>
              </w:rPr>
              <w:drawing>
                <wp:inline distT="0" distB="0" distL="114300" distR="114300">
                  <wp:extent cx="5265420" cy="2963545"/>
                  <wp:effectExtent l="0" t="0" r="11430" b="8255"/>
                  <wp:docPr id="140" name="图片 18" descr="C:\Users\6091\Desktop\维西县老城区农贸市场综合体建设项目修建性详细规划3.25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8" descr="C:\Users\6091\Desktop\维西县老城区农贸市场综合体建设项目修建性详细规划3.25 17.jpg"/>
                          <pic:cNvPicPr>
                            <a:picLocks noChangeAspect="1"/>
                          </pic:cNvPicPr>
                        </pic:nvPicPr>
                        <pic:blipFill>
                          <a:blip r:embed="rId9"/>
                          <a:stretch>
                            <a:fillRect/>
                          </a:stretch>
                        </pic:blipFill>
                        <pic:spPr>
                          <a:xfrm>
                            <a:off x="0" y="0"/>
                            <a:ext cx="5265420" cy="2963545"/>
                          </a:xfrm>
                          <a:prstGeom prst="rect">
                            <a:avLst/>
                          </a:prstGeom>
                          <a:noFill/>
                          <a:ln>
                            <a:noFill/>
                          </a:ln>
                        </pic:spPr>
                      </pic:pic>
                    </a:graphicData>
                  </a:graphic>
                </wp:inline>
              </w:drawing>
            </w:r>
          </w:p>
          <w:p>
            <w:pPr>
              <w:spacing w:line="360" w:lineRule="auto"/>
              <w:ind w:firstLine="420" w:firstLineChars="200"/>
              <w:jc w:val="center"/>
              <w:rPr>
                <w:rFonts w:hAnsi="宋体"/>
                <w:b/>
                <w:sz w:val="24"/>
              </w:rPr>
            </w:pPr>
            <w:r>
              <w:rPr>
                <w:lang/>
              </w:rPr>
              <w:drawing>
                <wp:inline distT="0" distB="0" distL="114300" distR="114300">
                  <wp:extent cx="5048250" cy="2534920"/>
                  <wp:effectExtent l="0" t="0" r="0" b="17780"/>
                  <wp:docPr id="14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2"/>
                          <pic:cNvPicPr>
                            <a:picLocks noChangeAspect="1"/>
                          </pic:cNvPicPr>
                        </pic:nvPicPr>
                        <pic:blipFill>
                          <a:blip r:embed="rId10"/>
                          <a:stretch>
                            <a:fillRect/>
                          </a:stretch>
                        </pic:blipFill>
                        <pic:spPr>
                          <a:xfrm>
                            <a:off x="0" y="0"/>
                            <a:ext cx="5048250" cy="2534920"/>
                          </a:xfrm>
                          <a:prstGeom prst="rect">
                            <a:avLst/>
                          </a:prstGeom>
                          <a:noFill/>
                          <a:ln>
                            <a:noFill/>
                          </a:ln>
                        </pic:spPr>
                      </pic:pic>
                    </a:graphicData>
                  </a:graphic>
                </wp:inline>
              </w:drawing>
            </w:r>
          </w:p>
          <w:p>
            <w:pPr>
              <w:spacing w:line="360" w:lineRule="auto"/>
              <w:ind w:firstLine="480" w:firstLineChars="200"/>
              <w:rPr>
                <w:rFonts w:hint="eastAsia" w:hAnsi="宋体"/>
                <w:bCs/>
                <w:sz w:val="24"/>
              </w:rPr>
            </w:pPr>
            <w:r>
              <w:rPr>
                <w:rFonts w:hint="eastAsia" w:hAnsi="宋体"/>
                <w:bCs/>
                <w:sz w:val="24"/>
              </w:rPr>
              <w:t>三、工程基本内容</w:t>
            </w:r>
          </w:p>
          <w:p>
            <w:pPr>
              <w:spacing w:line="360" w:lineRule="auto"/>
              <w:ind w:firstLine="480" w:firstLineChars="200"/>
              <w:rPr>
                <w:rFonts w:hAnsi="宋体"/>
                <w:bCs/>
                <w:sz w:val="24"/>
              </w:rPr>
            </w:pPr>
            <w:r>
              <w:rPr>
                <w:rFonts w:hint="eastAsia" w:hAnsi="宋体"/>
                <w:bCs/>
                <w:sz w:val="24"/>
              </w:rPr>
              <w:t>项目建设内容包括：农贸市场、配套综合业务用房、农贸市场回迁安置用房、地下停车库、室外配套及头道河提升工程等。</w:t>
            </w:r>
          </w:p>
          <w:p>
            <w:pPr>
              <w:spacing w:line="360" w:lineRule="auto"/>
              <w:ind w:firstLine="480" w:firstLineChars="200"/>
              <w:rPr>
                <w:rFonts w:hAnsi="宋体"/>
                <w:bCs/>
                <w:sz w:val="24"/>
              </w:rPr>
            </w:pPr>
            <w:r>
              <w:rPr>
                <w:rFonts w:hint="eastAsia" w:hAnsi="宋体"/>
                <w:bCs/>
                <w:sz w:val="24"/>
              </w:rPr>
              <w:t>项目建设规模：本项目规划总用地面积40916.43㎡（61.37亩），总建筑面积66816.13㎡（其中地上总建筑面积52607.03㎡，地下建筑面积14209.10㎡）。</w:t>
            </w:r>
          </w:p>
          <w:p>
            <w:pPr>
              <w:spacing w:line="360" w:lineRule="auto"/>
              <w:ind w:firstLine="480" w:firstLineChars="200"/>
              <w:rPr>
                <w:rFonts w:hint="eastAsia" w:hAnsi="宋体"/>
                <w:bCs/>
                <w:sz w:val="24"/>
              </w:rPr>
            </w:pPr>
            <w:r>
              <w:rPr>
                <w:rFonts w:hint="eastAsia" w:hAnsi="宋体"/>
                <w:bCs/>
                <w:sz w:val="24"/>
              </w:rPr>
              <w:t>项目建设内容包括主体工程、辅助工程、环保工程，具体见表1-1 。项目总平面布置图见附图2。</w:t>
            </w:r>
          </w:p>
          <w:p>
            <w:pPr>
              <w:spacing w:line="360" w:lineRule="auto"/>
              <w:ind w:firstLine="560"/>
              <w:rPr>
                <w:bCs/>
                <w:sz w:val="24"/>
              </w:rPr>
            </w:pPr>
            <w:r>
              <w:rPr>
                <w:rFonts w:hint="eastAsia"/>
                <w:bCs/>
                <w:sz w:val="24"/>
              </w:rPr>
              <w:t>采用两心、一轴、一带的规划结构</w:t>
            </w:r>
          </w:p>
          <w:p>
            <w:pPr>
              <w:spacing w:line="360" w:lineRule="auto"/>
              <w:ind w:firstLine="560"/>
              <w:rPr>
                <w:bCs/>
                <w:sz w:val="24"/>
              </w:rPr>
            </w:pPr>
            <w:r>
              <w:rPr>
                <w:rFonts w:hint="eastAsia"/>
                <w:bCs/>
                <w:sz w:val="24"/>
              </w:rPr>
              <w:t>两心：北区农贸市场景观核心；</w:t>
            </w:r>
          </w:p>
          <w:p>
            <w:pPr>
              <w:spacing w:line="360" w:lineRule="auto"/>
              <w:ind w:firstLine="560"/>
              <w:rPr>
                <w:bCs/>
                <w:sz w:val="24"/>
              </w:rPr>
            </w:pPr>
            <w:r>
              <w:rPr>
                <w:rFonts w:hint="eastAsia"/>
                <w:bCs/>
                <w:sz w:val="24"/>
              </w:rPr>
              <w:t xml:space="preserve">      南区农贸市场景观核心。</w:t>
            </w:r>
          </w:p>
          <w:p>
            <w:pPr>
              <w:spacing w:line="360" w:lineRule="auto"/>
              <w:ind w:firstLine="560"/>
              <w:rPr>
                <w:bCs/>
                <w:sz w:val="24"/>
              </w:rPr>
            </w:pPr>
            <w:r>
              <w:rPr>
                <w:rFonts w:hint="eastAsia"/>
                <w:bCs/>
                <w:sz w:val="24"/>
              </w:rPr>
              <w:t>一轴：集中式农贸市场形成的南北轴线；</w:t>
            </w:r>
          </w:p>
          <w:p>
            <w:pPr>
              <w:spacing w:line="360" w:lineRule="auto"/>
              <w:ind w:firstLine="560"/>
              <w:rPr>
                <w:sz w:val="24"/>
              </w:rPr>
            </w:pPr>
            <w:r>
              <w:rPr>
                <w:rFonts w:hint="eastAsia"/>
                <w:sz w:val="24"/>
              </w:rPr>
              <w:t>一带：结合农贸市场布局打造的头道河生态景观带。</w:t>
            </w:r>
          </w:p>
          <w:p>
            <w:pPr>
              <w:spacing w:line="360" w:lineRule="auto"/>
              <w:ind w:firstLine="560"/>
              <w:rPr>
                <w:sz w:val="24"/>
              </w:rPr>
            </w:pPr>
            <w:r>
              <w:rPr>
                <w:rFonts w:hint="eastAsia"/>
                <w:sz w:val="24"/>
              </w:rPr>
              <w:t xml:space="preserve">项目总体设计以“收放自如”的规划节奏控制。建筑形态相对灵活、丰富、开放。 </w:t>
            </w:r>
          </w:p>
          <w:p>
            <w:pPr>
              <w:spacing w:line="360" w:lineRule="auto"/>
              <w:ind w:firstLine="560"/>
              <w:rPr>
                <w:sz w:val="24"/>
              </w:rPr>
            </w:pPr>
            <w:r>
              <w:rPr>
                <w:rFonts w:hint="eastAsia"/>
                <w:sz w:val="24"/>
              </w:rPr>
              <w:t>规划设计结合头道河独特的景观资源沿河布置农贸市场，聚龙路以南分别布置农贸市场及配套综合业务用房；以北结合农贸市场布置多层农贸市场回迁安置用房。整个总图布局功能分区明确，同时结合道路、广场、景观节点创造出丰富的空间。</w:t>
            </w:r>
          </w:p>
          <w:p>
            <w:pPr>
              <w:spacing w:line="360" w:lineRule="auto"/>
              <w:ind w:firstLine="480" w:firstLineChars="200"/>
              <w:rPr>
                <w:rFonts w:hint="eastAsia" w:hAnsi="宋体"/>
                <w:color w:val="FF0000"/>
                <w:sz w:val="24"/>
              </w:rPr>
            </w:pPr>
            <w:r>
              <w:rPr>
                <w:rFonts w:hint="eastAsia"/>
                <w:sz w:val="24"/>
              </w:rPr>
              <w:t>设计尊重场地历史文脉，延续傈僳族建筑的风格特点，优化了地块空间和交通组织，实现了农贸市场、农贸市场回迁安置用房、配套综合业务用房等多功能空间的组合式设计。</w:t>
            </w:r>
          </w:p>
          <w:p>
            <w:pPr>
              <w:spacing w:line="360" w:lineRule="auto"/>
              <w:ind w:firstLine="480" w:firstLineChars="200"/>
              <w:jc w:val="left"/>
              <w:rPr>
                <w:sz w:val="24"/>
              </w:rPr>
            </w:pPr>
            <w:r>
              <w:rPr>
                <w:sz w:val="24"/>
              </w:rPr>
              <w:t>1、主体工程</w:t>
            </w:r>
          </w:p>
          <w:p>
            <w:pPr>
              <w:spacing w:line="360" w:lineRule="auto"/>
              <w:ind w:firstLine="480" w:firstLineChars="200"/>
              <w:jc w:val="left"/>
              <w:rPr>
                <w:rFonts w:hAnsi="宋体"/>
                <w:sz w:val="24"/>
              </w:rPr>
            </w:pPr>
            <w:r>
              <w:rPr>
                <w:rFonts w:hint="eastAsia" w:hAnsi="宋体"/>
                <w:sz w:val="24"/>
              </w:rPr>
              <w:t>农贸市场、配套综合业务用房、农贸市场回迁安置用房、室外配套及头道河提升工程。地上部分</w:t>
            </w:r>
            <w:r>
              <w:rPr>
                <w:rFonts w:hAnsi="宋体"/>
                <w:sz w:val="24"/>
              </w:rPr>
              <w:t>建筑面积</w:t>
            </w:r>
            <w:r>
              <w:rPr>
                <w:rFonts w:hint="eastAsia" w:hAnsi="宋体"/>
                <w:sz w:val="24"/>
              </w:rPr>
              <w:t>52607.03</w:t>
            </w:r>
            <w:r>
              <w:rPr>
                <w:rFonts w:hAnsi="宋体"/>
                <w:sz w:val="24"/>
              </w:rPr>
              <w:t>m</w:t>
            </w:r>
            <w:r>
              <w:rPr>
                <w:rFonts w:hAnsi="宋体"/>
                <w:sz w:val="24"/>
                <w:vertAlign w:val="superscript"/>
              </w:rPr>
              <w:t>2</w:t>
            </w:r>
            <w:r>
              <w:rPr>
                <w:rFonts w:hint="eastAsia" w:hAnsi="宋体"/>
                <w:sz w:val="24"/>
              </w:rPr>
              <w:t>，</w:t>
            </w:r>
            <w:r>
              <w:rPr>
                <w:rFonts w:hAnsi="宋体"/>
                <w:sz w:val="24"/>
              </w:rPr>
              <w:t>其中配套回迁安置用房</w:t>
            </w:r>
            <w:r>
              <w:rPr>
                <w:rFonts w:hint="eastAsia" w:hAnsi="宋体"/>
                <w:sz w:val="24"/>
              </w:rPr>
              <w:t>17030.58</w:t>
            </w:r>
            <w:r>
              <w:rPr>
                <w:rFonts w:hAnsi="宋体"/>
                <w:sz w:val="24"/>
              </w:rPr>
              <w:t>m</w:t>
            </w:r>
            <w:r>
              <w:rPr>
                <w:rFonts w:hAnsi="宋体"/>
                <w:sz w:val="24"/>
                <w:vertAlign w:val="superscript"/>
              </w:rPr>
              <w:t>2</w:t>
            </w:r>
            <w:r>
              <w:rPr>
                <w:rFonts w:hint="eastAsia" w:hAnsi="宋体"/>
                <w:sz w:val="24"/>
              </w:rPr>
              <w:t>，</w:t>
            </w:r>
            <w:r>
              <w:rPr>
                <w:rFonts w:hAnsi="宋体"/>
                <w:sz w:val="24"/>
              </w:rPr>
              <w:t>农贸市场及配套综合业务用房</w:t>
            </w:r>
            <w:r>
              <w:rPr>
                <w:rFonts w:hint="eastAsia" w:hAnsi="宋体"/>
                <w:sz w:val="24"/>
              </w:rPr>
              <w:t>35576.45</w:t>
            </w:r>
            <w:r>
              <w:rPr>
                <w:rFonts w:hAnsi="宋体"/>
                <w:sz w:val="24"/>
              </w:rPr>
              <w:t>m</w:t>
            </w:r>
            <w:r>
              <w:rPr>
                <w:rFonts w:hAnsi="宋体"/>
                <w:sz w:val="24"/>
                <w:vertAlign w:val="superscript"/>
              </w:rPr>
              <w:t>3</w:t>
            </w:r>
            <w:r>
              <w:rPr>
                <w:rFonts w:hint="eastAsia" w:hAnsi="宋体"/>
                <w:sz w:val="24"/>
              </w:rPr>
              <w:t>，</w:t>
            </w:r>
            <w:r>
              <w:rPr>
                <w:rFonts w:hAnsi="宋体"/>
                <w:sz w:val="24"/>
              </w:rPr>
              <w:t>共计</w:t>
            </w:r>
            <w:r>
              <w:rPr>
                <w:rFonts w:hint="eastAsia" w:hAnsi="宋体"/>
                <w:sz w:val="24"/>
              </w:rPr>
              <w:t>15幢，</w:t>
            </w:r>
            <w:r>
              <w:rPr>
                <w:rFonts w:hAnsi="宋体"/>
                <w:sz w:val="24"/>
              </w:rPr>
              <w:t>楼层</w:t>
            </w:r>
            <w:r>
              <w:rPr>
                <w:rFonts w:hint="eastAsia" w:hAnsi="宋体"/>
                <w:sz w:val="24"/>
              </w:rPr>
              <w:t>3至6层</w:t>
            </w:r>
            <w:r>
              <w:rPr>
                <w:rFonts w:hAnsi="宋体"/>
                <w:sz w:val="24"/>
              </w:rPr>
              <w:t>的房子。</w:t>
            </w:r>
            <w:r>
              <w:rPr>
                <w:rFonts w:hint="eastAsia" w:hAnsi="宋体"/>
                <w:sz w:val="24"/>
              </w:rPr>
              <w:t>建设</w:t>
            </w:r>
            <w:r>
              <w:rPr>
                <w:rFonts w:hAnsi="宋体"/>
                <w:sz w:val="24"/>
              </w:rPr>
              <w:t>农贸市场广场</w:t>
            </w:r>
            <w:r>
              <w:rPr>
                <w:rFonts w:hint="eastAsia" w:hAnsi="宋体"/>
                <w:sz w:val="24"/>
              </w:rPr>
              <w:t>20752.46</w:t>
            </w:r>
            <w:r>
              <w:rPr>
                <w:rFonts w:hAnsi="宋体"/>
                <w:sz w:val="24"/>
              </w:rPr>
              <w:t xml:space="preserve"> m</w:t>
            </w:r>
            <w:r>
              <w:rPr>
                <w:rFonts w:hAnsi="宋体"/>
                <w:sz w:val="24"/>
                <w:vertAlign w:val="superscript"/>
              </w:rPr>
              <w:t>2</w:t>
            </w:r>
            <w:r>
              <w:rPr>
                <w:rFonts w:hint="eastAsia" w:hAnsi="宋体"/>
                <w:sz w:val="24"/>
              </w:rPr>
              <w:t>，头</w:t>
            </w:r>
            <w:r>
              <w:rPr>
                <w:rFonts w:hAnsi="宋体"/>
                <w:sz w:val="24"/>
              </w:rPr>
              <w:t>道</w:t>
            </w:r>
            <w:r>
              <w:rPr>
                <w:rFonts w:hint="eastAsia" w:hAnsi="宋体"/>
                <w:sz w:val="24"/>
              </w:rPr>
              <w:t>河提升</w:t>
            </w:r>
            <w:r>
              <w:rPr>
                <w:rFonts w:hAnsi="宋体"/>
                <w:sz w:val="24"/>
              </w:rPr>
              <w:t>工程</w:t>
            </w:r>
            <w:r>
              <w:rPr>
                <w:rFonts w:hint="eastAsia" w:hAnsi="宋体"/>
                <w:sz w:val="24"/>
              </w:rPr>
              <w:t>滨河道路1332.20</w:t>
            </w:r>
            <w:r>
              <w:rPr>
                <w:rFonts w:hAnsi="宋体"/>
                <w:sz w:val="24"/>
              </w:rPr>
              <w:t xml:space="preserve"> m</w:t>
            </w:r>
            <w:r>
              <w:rPr>
                <w:rFonts w:hAnsi="宋体"/>
                <w:sz w:val="24"/>
                <w:vertAlign w:val="superscript"/>
              </w:rPr>
              <w:t>2</w:t>
            </w:r>
            <w:r>
              <w:rPr>
                <w:rFonts w:hint="eastAsia" w:hAnsi="宋体"/>
                <w:sz w:val="24"/>
              </w:rPr>
              <w:t>，滨河绿化5</w:t>
            </w:r>
            <w:r>
              <w:rPr>
                <w:rFonts w:hAnsi="宋体"/>
                <w:sz w:val="24"/>
              </w:rPr>
              <w:t>957.88</w:t>
            </w:r>
            <w:r>
              <w:rPr>
                <w:rFonts w:hint="eastAsia" w:hAnsi="宋体"/>
                <w:sz w:val="24"/>
              </w:rPr>
              <w:t>，河流整治</w:t>
            </w:r>
            <w:r>
              <w:rPr>
                <w:rFonts w:hAnsi="宋体"/>
                <w:sz w:val="24"/>
              </w:rPr>
              <w:t>面积</w:t>
            </w:r>
            <w:r>
              <w:rPr>
                <w:rFonts w:hint="eastAsia" w:hAnsi="宋体"/>
                <w:sz w:val="24"/>
              </w:rPr>
              <w:t>2381.11</w:t>
            </w:r>
            <w:r>
              <w:rPr>
                <w:rFonts w:hAnsi="宋体"/>
                <w:sz w:val="24"/>
              </w:rPr>
              <w:t xml:space="preserve"> m</w:t>
            </w:r>
            <w:r>
              <w:rPr>
                <w:rFonts w:hAnsi="宋体"/>
                <w:sz w:val="24"/>
                <w:vertAlign w:val="superscript"/>
              </w:rPr>
              <w:t>2</w:t>
            </w:r>
            <w:r>
              <w:rPr>
                <w:rFonts w:hint="eastAsia" w:hAnsi="宋体"/>
                <w:sz w:val="24"/>
              </w:rPr>
              <w:t>。</w:t>
            </w:r>
          </w:p>
          <w:p>
            <w:pPr>
              <w:spacing w:line="360" w:lineRule="auto"/>
              <w:ind w:firstLine="560"/>
              <w:rPr>
                <w:sz w:val="24"/>
              </w:rPr>
            </w:pPr>
            <w:r>
              <w:rPr>
                <w:rFonts w:hint="eastAsia"/>
                <w:sz w:val="24"/>
              </w:rPr>
              <w:t>1）农贸市场、配套综合业务用房</w:t>
            </w:r>
          </w:p>
          <w:p>
            <w:pPr>
              <w:spacing w:line="360" w:lineRule="auto"/>
              <w:ind w:firstLine="560"/>
              <w:rPr>
                <w:sz w:val="24"/>
              </w:rPr>
            </w:pPr>
            <w:r>
              <w:rPr>
                <w:rFonts w:hint="eastAsia"/>
                <w:sz w:val="24"/>
              </w:rPr>
              <w:t>1#楼：位于项目北地块北侧，南侧与东侧为规划道路，北地块北侧为此用地的出入口。主要功能为商业及住宅。1#楼地上6层，无地下；一层为沿街商业，二至六层为住宅。一层层高3.3米-4.9米，二至六层层高3.0米。最不利点建筑高度22.608米。</w:t>
            </w:r>
          </w:p>
          <w:p>
            <w:pPr>
              <w:spacing w:line="360" w:lineRule="auto"/>
              <w:ind w:firstLine="560"/>
              <w:rPr>
                <w:sz w:val="24"/>
              </w:rPr>
            </w:pPr>
            <w:r>
              <w:rPr>
                <w:rFonts w:hint="eastAsia"/>
                <w:sz w:val="24"/>
              </w:rPr>
              <w:t>2#楼：位于项目北地块1#楼南侧，西侧为规划道路。2#楼为3个单元拼接组成，主要功能为商业及住宅。2#楼地上6层，无地下；一层为沿街商业，二至六层为住宅。一层层高3.3米-4.4米，二至六层层高3.0米。2-1#楼上段建筑高度：20.80米，下段建筑高度：5.55，建筑总高度：26.35米；2-2#楼上段建筑高度：21.55米，下段建筑高度：5.35米，建筑总高度：26.90米；2-3#楼上段建筑高度：21.15米，下段建筑高度：5.55米，建筑总高度：26.55米。</w:t>
            </w:r>
          </w:p>
          <w:p>
            <w:pPr>
              <w:spacing w:line="360" w:lineRule="auto"/>
              <w:ind w:firstLine="560"/>
              <w:rPr>
                <w:sz w:val="24"/>
              </w:rPr>
            </w:pPr>
            <w:r>
              <w:rPr>
                <w:rFonts w:hint="eastAsia"/>
                <w:sz w:val="24"/>
              </w:rPr>
              <w:t>3#楼：位于项目北地块西南侧，2#楼南侧，西侧为景观河道。东侧为规划道路。3#楼为3个单元拼接组成，主要功能为商业及住宅。3#楼地上6层，地下一层；地下一层、一层为商业，二至六层为住宅。负一层层高3.6米-4.45米，一层层高3.3米-4.35米，二至六层层高3.0米。3-1#楼上段建筑高度：21.158米，下段建筑高度：4.45米，建筑总高度：25.608米；3-2#楼上段建筑高度：21.158米，下段建筑高度：4.45米，建筑总高度：25.608米；3-3#楼段建筑高度：21.158米，下段建筑高度：4.45米，建筑总高度：25.608米。</w:t>
            </w:r>
          </w:p>
          <w:p>
            <w:pPr>
              <w:spacing w:line="360" w:lineRule="auto"/>
              <w:ind w:firstLine="560"/>
              <w:rPr>
                <w:sz w:val="24"/>
              </w:rPr>
            </w:pPr>
            <w:r>
              <w:rPr>
                <w:rFonts w:hint="eastAsia"/>
                <w:sz w:val="24"/>
              </w:rPr>
              <w:t>4#楼：位于项目北地块东南侧，5.6#楼北侧，西侧与南侧为规划道路。4#楼为2个单元拼接组成，主要功能为商业及住宅。4#楼地上6层，地下详5.6#单体设计；一层为商业，二至六层为住宅。一层层高3.5米-3.85米，二至六层层高3.0米。建筑高度20.65米。</w:t>
            </w:r>
          </w:p>
          <w:p>
            <w:pPr>
              <w:spacing w:line="360" w:lineRule="auto"/>
              <w:ind w:firstLine="560"/>
              <w:rPr>
                <w:sz w:val="24"/>
              </w:rPr>
            </w:pPr>
            <w:r>
              <w:rPr>
                <w:rFonts w:hint="eastAsia"/>
                <w:sz w:val="24"/>
              </w:rPr>
              <w:t>5#楼、6#楼：位于项目北地块南侧，紧邻聚龙路，为北区主入口展示面。主要功能为花鸟市场、商业及地下车库。5#楼地上三层，6#楼地上四层，设计采用钢筋混凝土框架结构。5、6#楼地下为一个整体地下室，地下两层，均为机动车库，地上部分均为商业。负一层层高3.9米，负二层层高4.5米，负二层为全埋地下室，负一层三面覆土，北面临空。5、6#楼地上部分层高相同，一层层高4.8米，二层层高3.9米，三、四层层高3.6米，6#楼四层局部层高4.8米。最不利点建筑高度19.60米。5#楼、6#楼，商业形态布置灵活．各栋有其独立的交通核心区，5、6#楼之间于二、三、四层通过钢结构连廊联系起来，使人流能方便、快捷的在商业空间里活动，以达到展示商业的目的。5、6#楼北侧地下室顶部为商业广场，成为北地块满足市民休闲、娱乐、集会和文化的综合性广场。</w:t>
            </w:r>
          </w:p>
          <w:p>
            <w:pPr>
              <w:spacing w:line="360" w:lineRule="auto"/>
              <w:ind w:firstLine="560"/>
              <w:rPr>
                <w:b/>
                <w:bCs/>
                <w:sz w:val="24"/>
                <w:highlight w:val="yellow"/>
              </w:rPr>
            </w:pPr>
            <w:r>
              <w:rPr>
                <w:rFonts w:hint="eastAsia"/>
                <w:sz w:val="24"/>
              </w:rPr>
              <w:t>7#楼、8#楼：位于项目南地块西侧，临近河道。建筑主要功能为商业。该栋建筑地上四层，一、二层层高4.2米，三、四层层高3.6米。建筑最高点建筑高度16.831米。</w:t>
            </w:r>
          </w:p>
          <w:p>
            <w:pPr>
              <w:spacing w:line="360" w:lineRule="auto"/>
              <w:ind w:firstLine="560"/>
              <w:rPr>
                <w:sz w:val="24"/>
              </w:rPr>
            </w:pPr>
            <w:r>
              <w:rPr>
                <w:rFonts w:hint="eastAsia"/>
                <w:sz w:val="24"/>
              </w:rPr>
              <w:t>9#楼：位于项目南地块北侧，紧邻聚龙路，为南区主入口展示面。主要功能为农贸市场、商业、地下车库。9#楼地上四层，地下一层，地下一层为机动车库，一层、二层为农贸市场（其中一层夹层利用场地高差设置一个非机动车库）、三、四层为商业。负一层层高3.9米，一层层高6.0米，二层层高5.1米，三层层高4.2米，四层层高3.6米，设备夹层层高3.0米。建筑高度23.673米。</w:t>
            </w:r>
          </w:p>
          <w:p>
            <w:pPr>
              <w:spacing w:line="360" w:lineRule="auto"/>
              <w:ind w:firstLine="560"/>
              <w:rPr>
                <w:sz w:val="24"/>
              </w:rPr>
            </w:pPr>
            <w:r>
              <w:rPr>
                <w:rFonts w:hint="eastAsia"/>
                <w:sz w:val="24"/>
              </w:rPr>
              <w:t>10#楼：位于项目南地块中部，四面设有区内环形道路。主要功能为商业、地下车库。地上五层，地下一层，地下一层为机动车库，一至五层均为商业。负一层层高3.9米，一至三层层高5.1米，四五层层高3.6米。</w:t>
            </w:r>
          </w:p>
          <w:p>
            <w:pPr>
              <w:spacing w:line="360" w:lineRule="auto"/>
              <w:ind w:firstLine="560"/>
              <w:rPr>
                <w:sz w:val="24"/>
              </w:rPr>
            </w:pPr>
            <w:r>
              <w:rPr>
                <w:rFonts w:hint="eastAsia"/>
                <w:sz w:val="24"/>
              </w:rPr>
              <w:t>11#楼：位于项目南地块中部，西侧临河设有亲水栈道，东侧设有区内道路。主要功能为商业。地上三层，地下一层，地上地下均为商业。负一层及一层层高4.2米，二三层层高3.6米。</w:t>
            </w:r>
          </w:p>
          <w:p>
            <w:pPr>
              <w:spacing w:line="360" w:lineRule="auto"/>
              <w:ind w:firstLine="560"/>
              <w:rPr>
                <w:sz w:val="24"/>
              </w:rPr>
            </w:pPr>
            <w:r>
              <w:rPr>
                <w:rFonts w:hint="eastAsia"/>
                <w:sz w:val="24"/>
              </w:rPr>
              <w:t>12#楼、13#楼：位于项目南地块南侧，独立存在。主要功能为办公建筑。12#及13#楼地上五层，一至五层均为办公。一层层高4.2米，二层至五层层高3.6米。建筑高度23.550米。</w:t>
            </w:r>
          </w:p>
          <w:p>
            <w:pPr>
              <w:spacing w:line="360" w:lineRule="auto"/>
              <w:ind w:firstLine="560"/>
              <w:rPr>
                <w:sz w:val="24"/>
              </w:rPr>
            </w:pPr>
            <w:r>
              <w:rPr>
                <w:rFonts w:hint="eastAsia"/>
                <w:sz w:val="24"/>
              </w:rPr>
              <w:t>14#楼、15#楼：位于项目南地块南侧，紧邻顺城南路，为南区南侧入口展示面。主要功能为商业。14#楼地上三层，地下一层，负一至三层均为商业。负一层层高4.2米，一层层高4.2米，二层至三层层高3.6米。建筑高度16.955米。15#楼：地上三层，一至三层均为商业。一层层高4.2米，二层至三层层高3.6米。建筑高度13.350米。</w:t>
            </w:r>
          </w:p>
          <w:p>
            <w:pPr>
              <w:spacing w:line="360" w:lineRule="auto"/>
              <w:ind w:firstLine="560"/>
              <w:rPr>
                <w:sz w:val="24"/>
              </w:rPr>
            </w:pPr>
            <w:r>
              <w:rPr>
                <w:sz w:val="24"/>
              </w:rPr>
              <w:t>2</w:t>
            </w:r>
            <w:r>
              <w:rPr>
                <w:rFonts w:hint="eastAsia"/>
                <w:sz w:val="24"/>
              </w:rPr>
              <w:t>）头道河提升工程：头道河绿带南北长约454.9米，东西宽窄不一，宽敞区域约50米，较窄区域约为6米。河道与场地最大高差有15米，现状水量较小，河道位于老城区农贸市场西侧。</w:t>
            </w:r>
            <w:r>
              <w:rPr>
                <w:rFonts w:hint="eastAsia" w:hAnsi="宋体"/>
                <w:sz w:val="24"/>
              </w:rPr>
              <w:t>头</w:t>
            </w:r>
            <w:r>
              <w:rPr>
                <w:rFonts w:hAnsi="宋体"/>
                <w:sz w:val="24"/>
              </w:rPr>
              <w:t>道</w:t>
            </w:r>
            <w:r>
              <w:rPr>
                <w:rFonts w:hint="eastAsia" w:hAnsi="宋体"/>
                <w:sz w:val="24"/>
              </w:rPr>
              <w:t>河提升</w:t>
            </w:r>
            <w:r>
              <w:rPr>
                <w:rFonts w:hAnsi="宋体"/>
                <w:sz w:val="24"/>
              </w:rPr>
              <w:t>工程</w:t>
            </w:r>
            <w:r>
              <w:rPr>
                <w:rFonts w:hint="eastAsia" w:hAnsi="宋体"/>
                <w:sz w:val="24"/>
              </w:rPr>
              <w:t>滨河道路1332.20</w:t>
            </w:r>
            <w:r>
              <w:rPr>
                <w:rFonts w:hAnsi="宋体"/>
                <w:sz w:val="24"/>
              </w:rPr>
              <w:t xml:space="preserve"> m</w:t>
            </w:r>
            <w:r>
              <w:rPr>
                <w:rFonts w:hAnsi="宋体"/>
                <w:sz w:val="24"/>
                <w:vertAlign w:val="superscript"/>
              </w:rPr>
              <w:t>2</w:t>
            </w:r>
            <w:r>
              <w:rPr>
                <w:rFonts w:hint="eastAsia" w:hAnsi="宋体"/>
                <w:sz w:val="24"/>
              </w:rPr>
              <w:t>，滨河绿化5</w:t>
            </w:r>
            <w:r>
              <w:rPr>
                <w:rFonts w:hAnsi="宋体"/>
                <w:sz w:val="24"/>
              </w:rPr>
              <w:t>957.88</w:t>
            </w:r>
            <w:r>
              <w:rPr>
                <w:rFonts w:hint="eastAsia" w:hAnsi="宋体"/>
                <w:sz w:val="24"/>
              </w:rPr>
              <w:t>，河流整治</w:t>
            </w:r>
            <w:r>
              <w:rPr>
                <w:rFonts w:hAnsi="宋体"/>
                <w:sz w:val="24"/>
              </w:rPr>
              <w:t>面积</w:t>
            </w:r>
            <w:r>
              <w:rPr>
                <w:rFonts w:hint="eastAsia" w:hAnsi="宋体"/>
                <w:sz w:val="24"/>
              </w:rPr>
              <w:t>2381.11</w:t>
            </w:r>
            <w:r>
              <w:rPr>
                <w:rFonts w:hAnsi="宋体"/>
                <w:sz w:val="24"/>
              </w:rPr>
              <w:t xml:space="preserve"> m</w:t>
            </w:r>
            <w:r>
              <w:rPr>
                <w:rFonts w:hAnsi="宋体"/>
                <w:sz w:val="24"/>
                <w:vertAlign w:val="superscript"/>
              </w:rPr>
              <w:t>2</w:t>
            </w:r>
            <w:r>
              <w:rPr>
                <w:rFonts w:hint="eastAsia" w:hAnsi="宋体"/>
                <w:sz w:val="24"/>
              </w:rPr>
              <w:t>。</w:t>
            </w:r>
          </w:p>
          <w:p>
            <w:pPr>
              <w:spacing w:line="360" w:lineRule="auto"/>
              <w:ind w:firstLine="560"/>
              <w:rPr>
                <w:sz w:val="24"/>
              </w:rPr>
            </w:pPr>
            <w:r>
              <w:rPr>
                <w:rFonts w:hint="eastAsia"/>
                <w:sz w:val="24"/>
              </w:rPr>
              <w:t>北区总平面设计，河道西侧设置亲水艺术栈道，河道东侧设置架空自行车道，使得滨水绿带形成环线。</w:t>
            </w:r>
          </w:p>
          <w:p>
            <w:pPr>
              <w:spacing w:line="360" w:lineRule="auto"/>
              <w:ind w:firstLine="560"/>
              <w:rPr>
                <w:sz w:val="24"/>
              </w:rPr>
            </w:pPr>
            <w:r>
              <w:rPr>
                <w:rFonts w:hint="eastAsia"/>
                <w:sz w:val="24"/>
              </w:rPr>
              <w:t>景观结构：将以 “一水、两带、三段、多节点”的景观结构来推进生态绿带的建设。“一水”：头道河景观水系；“两带”：头道河西侧的人文景观漫步带和东侧的有氧健身慢行带；“三段”：湖景观光段、亲水休闲段、生态修复段。湖景观光段：沿着立交两侧进行了水面扩大，形成湖景空间，同时设计了湖心岛，岛上放置艺术景墙，整块区域主要是与观赏为主，也为</w:t>
            </w:r>
            <w:r>
              <w:rPr>
                <w:sz w:val="24"/>
              </w:rPr>
              <w:t>当地百姓</w:t>
            </w:r>
            <w:r>
              <w:rPr>
                <w:rFonts w:hint="eastAsia"/>
                <w:sz w:val="24"/>
              </w:rPr>
              <w:t>提供了一个鸟瞰大水面的景观空间。亲水休闲段：结合农贸市场负一层露台进行打造，形成伴山流水的滨水休闲空间，融入当地民俗文化，形成具吃、住、行、游、文化体验为一体的滨水空间。生态修复段：南北两侧宽度较窄，无法设置过多的景观设施，因此重点进行生态化修复，采用多样的植物进行搭配，营造丰富的植物效果，同时设置景观叠水，蓄水留水。 “多节点”：沿着带状的景观带设置多个驻留、休憩节点。</w:t>
            </w:r>
          </w:p>
          <w:p>
            <w:pPr>
              <w:spacing w:line="360" w:lineRule="auto"/>
              <w:ind w:firstLine="560"/>
              <w:rPr>
                <w:sz w:val="24"/>
              </w:rPr>
            </w:pPr>
            <w:r>
              <w:rPr>
                <w:rFonts w:hint="eastAsia"/>
                <w:sz w:val="24"/>
              </w:rPr>
              <w:t>公共服务设施：座椅：主要放置于景观节点处，以及主要道路间隔50米放置。实木条椅：主要放置于节点平台处。景观设施：将竹木材料运用到景观挑台和廊架的设计之中，让人们感受到维西特色。</w:t>
            </w:r>
          </w:p>
          <w:p>
            <w:pPr>
              <w:spacing w:line="360" w:lineRule="auto"/>
              <w:ind w:firstLine="560"/>
              <w:rPr>
                <w:sz w:val="24"/>
              </w:rPr>
            </w:pPr>
            <w:r>
              <w:rPr>
                <w:rFonts w:hint="eastAsia"/>
                <w:sz w:val="24"/>
              </w:rPr>
              <w:t>河道堤岸系统：现状为自然水流，无任何岸线，本案结合景观效果为头道河划定景观隐形岸线，在岸边与水中放置石块种植水生植物、采用植物进行河堤遮挡和高差处理，既满足防洪需求又软化河岸提高亲水性，同时新增种植不同层次的不同植物、美化河岸景观。自然型岸线断面形式的驳岸采用自然草坡和水生植物的形式打造软基质岸线。人工型岸线分为平台栈桥式和台阶式两种形式。混合型岸线根据周边环境与设施的需要综合自然型与人工型的特点进行设计。</w:t>
            </w:r>
          </w:p>
          <w:p>
            <w:pPr>
              <w:spacing w:line="360" w:lineRule="auto"/>
              <w:ind w:firstLine="560"/>
              <w:rPr>
                <w:sz w:val="24"/>
              </w:rPr>
            </w:pPr>
            <w:r>
              <w:rPr>
                <w:rFonts w:hint="eastAsia"/>
                <w:sz w:val="24"/>
              </w:rPr>
              <w:t>慢行交通系统：河道东侧设置亲水木栈道，保证最小宽度不低于1.5m进行设施，主要以步行为主，河道东侧设置2m的慢跑道，可同时满足自行车和人行需求。</w:t>
            </w:r>
          </w:p>
          <w:p>
            <w:pPr>
              <w:spacing w:line="360" w:lineRule="auto"/>
              <w:ind w:firstLine="560"/>
              <w:rPr>
                <w:rFonts w:hint="eastAsia"/>
                <w:sz w:val="24"/>
              </w:rPr>
            </w:pPr>
            <w:r>
              <w:rPr>
                <w:rFonts w:hint="eastAsia"/>
                <w:sz w:val="24"/>
              </w:rPr>
              <w:t>植物种植：配置乔灌木，湿地植物。</w:t>
            </w:r>
          </w:p>
          <w:p>
            <w:pPr>
              <w:spacing w:line="360" w:lineRule="auto"/>
              <w:ind w:firstLine="480" w:firstLineChars="200"/>
              <w:rPr>
                <w:rFonts w:hint="eastAsia"/>
                <w:sz w:val="24"/>
              </w:rPr>
            </w:pPr>
            <w:r>
              <w:rPr>
                <w:sz w:val="24"/>
              </w:rPr>
              <w:t>2、辅助工程：</w:t>
            </w:r>
          </w:p>
          <w:p>
            <w:pPr>
              <w:spacing w:line="360" w:lineRule="auto"/>
              <w:ind w:firstLine="437"/>
              <w:jc w:val="left"/>
              <w:rPr>
                <w:rFonts w:hint="eastAsia"/>
                <w:sz w:val="24"/>
              </w:rPr>
            </w:pPr>
            <w:r>
              <w:rPr>
                <w:rFonts w:hint="eastAsia"/>
                <w:sz w:val="24"/>
              </w:rPr>
              <w:t>地下</w:t>
            </w:r>
            <w:r>
              <w:rPr>
                <w:sz w:val="24"/>
              </w:rPr>
              <w:t>停车库</w:t>
            </w:r>
            <w:r>
              <w:rPr>
                <w:rFonts w:hint="eastAsia"/>
                <w:sz w:val="24"/>
              </w:rPr>
              <w:t>车位：282个。</w:t>
            </w:r>
            <w:r>
              <w:rPr>
                <w:rFonts w:hint="eastAsia" w:hAnsi="宋体"/>
                <w:sz w:val="24"/>
              </w:rPr>
              <w:t>架设</w:t>
            </w:r>
            <w:r>
              <w:rPr>
                <w:rFonts w:hAnsi="宋体"/>
                <w:sz w:val="24"/>
              </w:rPr>
              <w:t>架空栈道</w:t>
            </w:r>
            <w:r>
              <w:rPr>
                <w:rFonts w:hint="eastAsia" w:hAnsi="宋体"/>
                <w:sz w:val="24"/>
              </w:rPr>
              <w:t>368.75</w:t>
            </w:r>
            <w:r>
              <w:rPr>
                <w:rFonts w:hAnsi="宋体"/>
                <w:sz w:val="24"/>
              </w:rPr>
              <w:t xml:space="preserve"> m</w:t>
            </w:r>
            <w:r>
              <w:rPr>
                <w:rFonts w:hAnsi="宋体"/>
                <w:sz w:val="24"/>
                <w:vertAlign w:val="superscript"/>
              </w:rPr>
              <w:t>2</w:t>
            </w:r>
            <w:r>
              <w:rPr>
                <w:rFonts w:hint="eastAsia" w:hAnsi="宋体"/>
                <w:sz w:val="24"/>
              </w:rPr>
              <w:t>，人行</w:t>
            </w:r>
            <w:r>
              <w:rPr>
                <w:rFonts w:hAnsi="宋体"/>
                <w:sz w:val="24"/>
              </w:rPr>
              <w:t>天桥</w:t>
            </w:r>
            <w:r>
              <w:rPr>
                <w:rFonts w:hint="eastAsia" w:hAnsi="宋体"/>
                <w:sz w:val="24"/>
              </w:rPr>
              <w:t>2座。绿地</w:t>
            </w:r>
            <w:r>
              <w:rPr>
                <w:rFonts w:hAnsi="宋体"/>
                <w:sz w:val="24"/>
              </w:rPr>
              <w:t>面积</w:t>
            </w:r>
            <w:r>
              <w:rPr>
                <w:rFonts w:hint="eastAsia" w:hAnsi="宋体"/>
                <w:sz w:val="24"/>
              </w:rPr>
              <w:t>9737.88</w:t>
            </w:r>
            <w:r>
              <w:rPr>
                <w:rFonts w:hAnsi="宋体"/>
                <w:sz w:val="24"/>
              </w:rPr>
              <w:t xml:space="preserve"> m</w:t>
            </w:r>
            <w:r>
              <w:rPr>
                <w:rFonts w:hAnsi="宋体"/>
                <w:sz w:val="24"/>
                <w:vertAlign w:val="superscript"/>
              </w:rPr>
              <w:t>2</w:t>
            </w:r>
            <w:r>
              <w:rPr>
                <w:rFonts w:hint="eastAsia" w:hAnsi="宋体"/>
                <w:sz w:val="24"/>
              </w:rPr>
              <w:t>。</w:t>
            </w:r>
          </w:p>
          <w:p>
            <w:pPr>
              <w:spacing w:line="360" w:lineRule="auto"/>
              <w:ind w:firstLine="480" w:firstLineChars="200"/>
              <w:jc w:val="left"/>
              <w:rPr>
                <w:rFonts w:hint="eastAsia" w:hAnsi="宋体"/>
                <w:sz w:val="24"/>
              </w:rPr>
            </w:pPr>
            <w:r>
              <w:rPr>
                <w:rFonts w:hint="eastAsia" w:hAnsi="宋体"/>
                <w:sz w:val="24"/>
              </w:rPr>
              <w:t xml:space="preserve">3、环保工程： </w:t>
            </w:r>
          </w:p>
          <w:p>
            <w:pPr>
              <w:autoSpaceDE w:val="0"/>
              <w:autoSpaceDN w:val="0"/>
              <w:adjustRightInd w:val="0"/>
              <w:spacing w:line="360" w:lineRule="auto"/>
              <w:ind w:firstLine="480" w:firstLineChars="200"/>
              <w:rPr>
                <w:kern w:val="0"/>
                <w:sz w:val="24"/>
              </w:rPr>
            </w:pPr>
            <w:r>
              <w:rPr>
                <w:rFonts w:hint="eastAsia"/>
                <w:sz w:val="24"/>
              </w:rPr>
              <w:t>（1）化粪池：</w:t>
            </w:r>
            <w:r>
              <w:rPr>
                <w:rFonts w:hint="eastAsia"/>
                <w:kern w:val="0"/>
                <w:sz w:val="24"/>
              </w:rPr>
              <w:t>项目化粪池与主体工程同时建设，化粪池其容积应满足污水停留时间超过</w:t>
            </w:r>
            <w:r>
              <w:rPr>
                <w:kern w:val="0"/>
                <w:sz w:val="24"/>
              </w:rPr>
              <w:t>36</w:t>
            </w:r>
            <w:r>
              <w:rPr>
                <w:rFonts w:hint="eastAsia"/>
                <w:kern w:val="0"/>
                <w:sz w:val="24"/>
              </w:rPr>
              <w:t>小时的要求，并严格按照建筑给水排水设计规范（</w:t>
            </w:r>
            <w:r>
              <w:rPr>
                <w:kern w:val="0"/>
                <w:sz w:val="24"/>
              </w:rPr>
              <w:t>GB50015</w:t>
            </w:r>
            <w:r>
              <w:rPr>
                <w:rFonts w:hint="eastAsia"/>
                <w:kern w:val="0"/>
                <w:sz w:val="24"/>
              </w:rPr>
              <w:t>-</w:t>
            </w:r>
            <w:r>
              <w:rPr>
                <w:kern w:val="0"/>
                <w:sz w:val="24"/>
              </w:rPr>
              <w:t>2003</w:t>
            </w:r>
            <w:r>
              <w:rPr>
                <w:rFonts w:hint="eastAsia"/>
                <w:kern w:val="0"/>
                <w:sz w:val="24"/>
              </w:rPr>
              <w:t>）进行设计和建设。</w:t>
            </w:r>
          </w:p>
          <w:p>
            <w:pPr>
              <w:autoSpaceDE w:val="0"/>
              <w:autoSpaceDN w:val="0"/>
              <w:adjustRightInd w:val="0"/>
              <w:spacing w:line="360" w:lineRule="auto"/>
              <w:ind w:firstLine="480" w:firstLineChars="200"/>
              <w:rPr>
                <w:rFonts w:hint="eastAsia"/>
                <w:color w:val="FF0000"/>
                <w:kern w:val="0"/>
                <w:sz w:val="24"/>
              </w:rPr>
            </w:pPr>
            <w:r>
              <w:rPr>
                <w:rFonts w:hint="eastAsia"/>
                <w:kern w:val="0"/>
                <w:sz w:val="24"/>
              </w:rPr>
              <w:t>（2）中水</w:t>
            </w:r>
            <w:r>
              <w:rPr>
                <w:kern w:val="0"/>
                <w:sz w:val="24"/>
              </w:rPr>
              <w:t>处理站：</w:t>
            </w:r>
            <w:r>
              <w:rPr>
                <w:rFonts w:hint="eastAsia"/>
                <w:kern w:val="0"/>
                <w:sz w:val="24"/>
              </w:rPr>
              <w:t>设计采用处理规模为1</w:t>
            </w:r>
            <w:r>
              <w:rPr>
                <w:kern w:val="0"/>
                <w:sz w:val="24"/>
              </w:rPr>
              <w:t>2</w:t>
            </w:r>
            <w:r>
              <w:rPr>
                <w:rFonts w:hint="eastAsia"/>
                <w:kern w:val="0"/>
                <w:sz w:val="24"/>
              </w:rPr>
              <w:t>0m³/d的中水处理站一座，内含污水提升井、格栅、调节池、二级生化处理池、中间水池、过滤设备、中水池、投药消毒设备及中水加压泵, 生活污水经化粪池处理后、厨房污水经隔油池处理后，1</w:t>
            </w:r>
            <w:r>
              <w:rPr>
                <w:kern w:val="0"/>
                <w:sz w:val="24"/>
              </w:rPr>
              <w:t>01.27</w:t>
            </w:r>
            <w:r>
              <w:rPr>
                <w:rFonts w:hint="eastAsia"/>
                <w:kern w:val="0"/>
                <w:sz w:val="24"/>
              </w:rPr>
              <w:t>m³/d废水排至自建的中水处理站处理至回用水达到《城市污水再生利用 城市杂用水质》（GB/T18920-2002）冲厕用水水质标准后用于项目区的浇洒道路、绿化浇灌用水，1</w:t>
            </w:r>
            <w:r>
              <w:rPr>
                <w:kern w:val="0"/>
                <w:sz w:val="24"/>
              </w:rPr>
              <w:t>62.67</w:t>
            </w:r>
            <w:r>
              <w:rPr>
                <w:rFonts w:hint="eastAsia"/>
                <w:kern w:val="0"/>
                <w:sz w:val="24"/>
              </w:rPr>
              <w:t>m³/d废水经化粪池处理后排入市政污水管网。</w:t>
            </w:r>
          </w:p>
          <w:p>
            <w:pPr>
              <w:spacing w:line="360" w:lineRule="auto"/>
              <w:ind w:firstLine="381" w:firstLineChars="159"/>
              <w:rPr>
                <w:kern w:val="0"/>
                <w:sz w:val="24"/>
              </w:rPr>
            </w:pPr>
            <w:r>
              <w:rPr>
                <w:rFonts w:hint="eastAsia"/>
                <w:kern w:val="0"/>
                <w:sz w:val="24"/>
              </w:rPr>
              <w:t>（2）垃圾收集箱：</w:t>
            </w:r>
            <w:r>
              <w:rPr>
                <w:rFonts w:hint="eastAsia"/>
                <w:sz w:val="24"/>
              </w:rPr>
              <w:t>在项目道路两侧、住宅区、商业区内分别设置成品垃圾桶及成品垃圾收集箱</w:t>
            </w:r>
            <w:r>
              <w:rPr>
                <w:rFonts w:hint="eastAsia"/>
                <w:kern w:val="0"/>
                <w:sz w:val="24"/>
              </w:rPr>
              <w:t>，再定期委托环卫部门及时清运。</w:t>
            </w:r>
          </w:p>
          <w:p>
            <w:pPr>
              <w:spacing w:line="360" w:lineRule="auto"/>
              <w:ind w:firstLine="381" w:firstLineChars="159"/>
              <w:jc w:val="center"/>
              <w:rPr>
                <w:kern w:val="0"/>
                <w:sz w:val="24"/>
              </w:rPr>
            </w:pPr>
          </w:p>
          <w:p>
            <w:pPr>
              <w:spacing w:line="360" w:lineRule="auto"/>
              <w:ind w:firstLine="381" w:firstLineChars="159"/>
              <w:jc w:val="center"/>
              <w:rPr>
                <w:kern w:val="0"/>
                <w:sz w:val="24"/>
              </w:rPr>
            </w:pPr>
          </w:p>
          <w:p>
            <w:pPr>
              <w:spacing w:line="360" w:lineRule="auto"/>
              <w:ind w:firstLine="381" w:firstLineChars="159"/>
              <w:jc w:val="center"/>
              <w:rPr>
                <w:kern w:val="0"/>
                <w:sz w:val="24"/>
              </w:rPr>
            </w:pPr>
          </w:p>
          <w:p>
            <w:pPr>
              <w:spacing w:line="360" w:lineRule="auto"/>
              <w:ind w:firstLine="381" w:firstLineChars="159"/>
              <w:jc w:val="center"/>
              <w:rPr>
                <w:kern w:val="0"/>
                <w:sz w:val="24"/>
              </w:rPr>
            </w:pPr>
          </w:p>
          <w:p>
            <w:pPr>
              <w:spacing w:line="360" w:lineRule="auto"/>
              <w:ind w:firstLine="381" w:firstLineChars="159"/>
              <w:jc w:val="center"/>
              <w:rPr>
                <w:kern w:val="0"/>
                <w:sz w:val="24"/>
              </w:rPr>
            </w:pPr>
          </w:p>
          <w:p>
            <w:pPr>
              <w:spacing w:line="360" w:lineRule="auto"/>
              <w:ind w:firstLine="381" w:firstLineChars="159"/>
              <w:jc w:val="center"/>
              <w:rPr>
                <w:kern w:val="0"/>
                <w:sz w:val="24"/>
              </w:rPr>
            </w:pPr>
          </w:p>
          <w:p>
            <w:pPr>
              <w:spacing w:line="360" w:lineRule="auto"/>
              <w:ind w:firstLine="381" w:firstLineChars="159"/>
              <w:jc w:val="center"/>
              <w:rPr>
                <w:kern w:val="0"/>
                <w:sz w:val="24"/>
              </w:rPr>
            </w:pPr>
          </w:p>
          <w:p>
            <w:pPr>
              <w:spacing w:line="360" w:lineRule="auto"/>
              <w:ind w:firstLine="381" w:firstLineChars="159"/>
              <w:jc w:val="center"/>
              <w:rPr>
                <w:rFonts w:hint="eastAsia"/>
                <w:kern w:val="0"/>
                <w:sz w:val="24"/>
              </w:rPr>
            </w:pPr>
          </w:p>
          <w:p>
            <w:pPr>
              <w:spacing w:line="360" w:lineRule="auto"/>
              <w:ind w:firstLine="381" w:firstLineChars="159"/>
              <w:jc w:val="center"/>
              <w:rPr>
                <w:kern w:val="0"/>
                <w:sz w:val="24"/>
              </w:rPr>
            </w:pPr>
          </w:p>
          <w:p>
            <w:pPr>
              <w:spacing w:line="360" w:lineRule="auto"/>
              <w:ind w:firstLine="381" w:firstLineChars="159"/>
              <w:jc w:val="center"/>
              <w:rPr>
                <w:rFonts w:hint="eastAsia"/>
                <w:kern w:val="0"/>
                <w:sz w:val="24"/>
              </w:rPr>
            </w:pPr>
            <w:r>
              <w:rPr>
                <w:rFonts w:hint="eastAsia"/>
                <w:kern w:val="0"/>
                <w:sz w:val="24"/>
              </w:rPr>
              <w:t>表1 技术经济</w:t>
            </w:r>
            <w:r>
              <w:rPr>
                <w:kern w:val="0"/>
                <w:sz w:val="24"/>
              </w:rPr>
              <w:t>指标表</w:t>
            </w:r>
          </w:p>
          <w:tbl>
            <w:tblPr>
              <w:tblStyle w:val="35"/>
              <w:tblW w:w="0" w:type="auto"/>
              <w:jc w:val="center"/>
              <w:tblLayout w:type="fixed"/>
              <w:tblCellMar>
                <w:top w:w="0" w:type="dxa"/>
                <w:left w:w="108" w:type="dxa"/>
                <w:bottom w:w="0" w:type="dxa"/>
                <w:right w:w="108" w:type="dxa"/>
              </w:tblCellMar>
            </w:tblPr>
            <w:tblGrid>
              <w:gridCol w:w="817"/>
              <w:gridCol w:w="2636"/>
              <w:gridCol w:w="1096"/>
              <w:gridCol w:w="656"/>
              <w:gridCol w:w="3091"/>
            </w:tblGrid>
            <w:tr>
              <w:tblPrEx>
                <w:tblCellMar>
                  <w:top w:w="0" w:type="dxa"/>
                  <w:left w:w="108" w:type="dxa"/>
                  <w:bottom w:w="0" w:type="dxa"/>
                  <w:right w:w="108" w:type="dxa"/>
                </w:tblCellMar>
              </w:tblPrEx>
              <w:trPr>
                <w:wBefore w:w="0" w:type="dxa"/>
                <w:trHeight w:val="555" w:hRule="atLeast"/>
                <w:tblHeader/>
                <w:jc w:val="center"/>
              </w:trPr>
              <w:tc>
                <w:tcPr>
                  <w:tcW w:w="3453" w:type="dxa"/>
                  <w:gridSpan w:val="2"/>
                  <w:tcBorders>
                    <w:top w:val="single" w:color="auto" w:sz="4" w:space="0"/>
                    <w:left w:val="single" w:color="auto" w:sz="4" w:space="0"/>
                    <w:bottom w:val="single" w:color="auto" w:sz="4" w:space="0"/>
                    <w:right w:val="single" w:color="auto" w:sz="4" w:space="0"/>
                  </w:tcBorders>
                  <w:shd w:val="clear" w:color="000000" w:fill="BFBFB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项目</w:t>
                  </w:r>
                </w:p>
              </w:tc>
              <w:tc>
                <w:tcPr>
                  <w:tcW w:w="1096"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656"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3091"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备注</w:t>
                  </w:r>
                </w:p>
              </w:tc>
            </w:tr>
            <w:tr>
              <w:tblPrEx>
                <w:tblCellMar>
                  <w:top w:w="0" w:type="dxa"/>
                  <w:left w:w="108" w:type="dxa"/>
                  <w:bottom w:w="0" w:type="dxa"/>
                  <w:right w:w="108" w:type="dxa"/>
                </w:tblCellMar>
              </w:tblPrEx>
              <w:trPr>
                <w:wBefore w:w="0" w:type="dxa"/>
                <w:trHeight w:val="555" w:hRule="atLeast"/>
                <w:jc w:val="center"/>
              </w:trPr>
              <w:tc>
                <w:tcPr>
                  <w:tcW w:w="3453"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用地面积</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40916.43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61.37亩</w:t>
                  </w:r>
                </w:p>
              </w:tc>
            </w:tr>
            <w:tr>
              <w:tblPrEx>
                <w:tblCellMar>
                  <w:top w:w="0" w:type="dxa"/>
                  <w:left w:w="108" w:type="dxa"/>
                  <w:bottom w:w="0" w:type="dxa"/>
                  <w:right w:w="108" w:type="dxa"/>
                </w:tblCellMar>
              </w:tblPrEx>
              <w:trPr>
                <w:wBefore w:w="0" w:type="dxa"/>
                <w:trHeight w:val="450" w:hRule="atLeast"/>
                <w:jc w:val="center"/>
              </w:trPr>
              <w:tc>
                <w:tcPr>
                  <w:tcW w:w="3453"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总建筑面积</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66816.13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540" w:hRule="atLeast"/>
                <w:jc w:val="center"/>
              </w:trPr>
              <w:tc>
                <w:tcPr>
                  <w:tcW w:w="81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其中</w:t>
                  </w:r>
                </w:p>
              </w:tc>
              <w:tc>
                <w:tcPr>
                  <w:tcW w:w="263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地上部分建筑面积</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52607.03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其中配套回迁安置用房17030.58㎡，农贸市场及配套综合业务用房35576.45㎡</w:t>
                  </w:r>
                </w:p>
              </w:tc>
            </w:tr>
            <w:tr>
              <w:tblPrEx>
                <w:tblCellMar>
                  <w:top w:w="0" w:type="dxa"/>
                  <w:left w:w="108" w:type="dxa"/>
                  <w:bottom w:w="0" w:type="dxa"/>
                  <w:right w:w="108" w:type="dxa"/>
                </w:tblCellMar>
              </w:tblPrEx>
              <w:trPr>
                <w:wBefore w:w="0" w:type="dxa"/>
                <w:trHeight w:val="450" w:hRule="atLeast"/>
                <w:jc w:val="center"/>
              </w:trPr>
              <w:tc>
                <w:tcPr>
                  <w:tcW w:w="81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63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地下部分建筑面积</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14209.10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地下车库</w:t>
                  </w:r>
                </w:p>
              </w:tc>
            </w:tr>
            <w:tr>
              <w:tblPrEx>
                <w:tblCellMar>
                  <w:top w:w="0" w:type="dxa"/>
                  <w:left w:w="108" w:type="dxa"/>
                  <w:bottom w:w="0" w:type="dxa"/>
                  <w:right w:w="108" w:type="dxa"/>
                </w:tblCellMar>
              </w:tblPrEx>
              <w:trPr>
                <w:wBefore w:w="0" w:type="dxa"/>
                <w:trHeight w:val="450" w:hRule="atLeast"/>
                <w:jc w:val="center"/>
              </w:trPr>
              <w:tc>
                <w:tcPr>
                  <w:tcW w:w="3453"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机动车停车位</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282</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辆</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地下车位</w:t>
                  </w:r>
                </w:p>
              </w:tc>
            </w:tr>
            <w:tr>
              <w:tblPrEx>
                <w:tblCellMar>
                  <w:top w:w="0" w:type="dxa"/>
                  <w:left w:w="108" w:type="dxa"/>
                  <w:bottom w:w="0" w:type="dxa"/>
                  <w:right w:w="108" w:type="dxa"/>
                </w:tblCellMar>
              </w:tblPrEx>
              <w:trPr>
                <w:wBefore w:w="0" w:type="dxa"/>
                <w:trHeight w:val="450" w:hRule="atLeast"/>
                <w:jc w:val="center"/>
              </w:trPr>
              <w:tc>
                <w:tcPr>
                  <w:tcW w:w="3453"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建筑占地面积</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15622.12</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3453"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绿地面积</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9737.88</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817"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其中</w:t>
                  </w:r>
                </w:p>
              </w:tc>
              <w:tc>
                <w:tcPr>
                  <w:tcW w:w="263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农贸市场景观绿化</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3780.00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含水景观工程</w:t>
                  </w:r>
                </w:p>
              </w:tc>
            </w:tr>
            <w:tr>
              <w:tblPrEx>
                <w:tblCellMar>
                  <w:top w:w="0" w:type="dxa"/>
                  <w:left w:w="108" w:type="dxa"/>
                  <w:bottom w:w="0" w:type="dxa"/>
                  <w:right w:w="108" w:type="dxa"/>
                </w:tblCellMar>
              </w:tblPrEx>
              <w:trPr>
                <w:wBefore w:w="0" w:type="dxa"/>
                <w:trHeight w:val="450" w:hRule="atLeast"/>
                <w:jc w:val="center"/>
              </w:trPr>
              <w:tc>
                <w:tcPr>
                  <w:tcW w:w="81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000000"/>
                      <w:kern w:val="0"/>
                      <w:sz w:val="22"/>
                      <w:szCs w:val="22"/>
                    </w:rPr>
                  </w:pPr>
                </w:p>
              </w:tc>
              <w:tc>
                <w:tcPr>
                  <w:tcW w:w="263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头道河提升</w:t>
                  </w:r>
                  <w:r>
                    <w:rPr>
                      <w:rFonts w:ascii="宋体" w:hAnsi="宋体" w:cs="宋体"/>
                      <w:color w:val="000000"/>
                      <w:kern w:val="0"/>
                      <w:sz w:val="22"/>
                      <w:szCs w:val="22"/>
                    </w:rPr>
                    <w:t>工程</w:t>
                  </w:r>
                  <w:r>
                    <w:rPr>
                      <w:rFonts w:hint="eastAsia" w:ascii="宋体" w:hAnsi="宋体" w:cs="宋体"/>
                      <w:color w:val="000000"/>
                      <w:kern w:val="0"/>
                      <w:sz w:val="22"/>
                      <w:szCs w:val="22"/>
                    </w:rPr>
                    <w:t>绿化</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5957.88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3453"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道路广场</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22084.66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817"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其中</w:t>
                  </w:r>
                </w:p>
              </w:tc>
              <w:tc>
                <w:tcPr>
                  <w:tcW w:w="263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农贸市场道路广场</w:t>
                  </w:r>
                </w:p>
              </w:tc>
              <w:tc>
                <w:tcPr>
                  <w:tcW w:w="10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20752.46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817" w:type="dxa"/>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jc w:val="left"/>
                    <w:rPr>
                      <w:rFonts w:ascii="宋体" w:hAnsi="宋体" w:cs="宋体"/>
                      <w:color w:val="000000"/>
                      <w:kern w:val="0"/>
                      <w:sz w:val="22"/>
                      <w:szCs w:val="22"/>
                    </w:rPr>
                  </w:pPr>
                </w:p>
              </w:tc>
              <w:tc>
                <w:tcPr>
                  <w:tcW w:w="2636"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头道河提升</w:t>
                  </w:r>
                  <w:r>
                    <w:rPr>
                      <w:rFonts w:ascii="宋体" w:hAnsi="宋体" w:cs="宋体"/>
                      <w:color w:val="000000"/>
                      <w:kern w:val="0"/>
                      <w:sz w:val="22"/>
                      <w:szCs w:val="22"/>
                    </w:rPr>
                    <w:t>工程</w:t>
                  </w:r>
                  <w:r>
                    <w:rPr>
                      <w:rFonts w:hint="eastAsia" w:ascii="宋体" w:hAnsi="宋体" w:cs="宋体"/>
                      <w:color w:val="000000"/>
                      <w:kern w:val="0"/>
                      <w:sz w:val="22"/>
                      <w:szCs w:val="22"/>
                    </w:rPr>
                    <w:t>道路广场</w:t>
                  </w:r>
                </w:p>
              </w:tc>
              <w:tc>
                <w:tcPr>
                  <w:tcW w:w="1096"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1332.20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3453" w:type="dxa"/>
                  <w:gridSpan w:val="2"/>
                  <w:tcBorders>
                    <w:top w:val="single" w:color="auto" w:sz="4" w:space="0"/>
                    <w:left w:val="single" w:color="auto" w:sz="4" w:space="0"/>
                    <w:bottom w:val="single" w:color="auto" w:sz="4" w:space="0"/>
                    <w:right w:val="single" w:color="000000" w:sz="4" w:space="0"/>
                  </w:tcBorders>
                  <w:shd w:val="clear" w:color="auto" w:fill="auto"/>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其他</w:t>
                  </w:r>
                </w:p>
              </w:tc>
              <w:tc>
                <w:tcPr>
                  <w:tcW w:w="1096"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817"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生态景观绿带</w:t>
                  </w:r>
                </w:p>
              </w:tc>
              <w:tc>
                <w:tcPr>
                  <w:tcW w:w="2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河道整治面积</w:t>
                  </w:r>
                </w:p>
              </w:tc>
              <w:tc>
                <w:tcPr>
                  <w:tcW w:w="1096"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2381.11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81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color w:val="000000"/>
                      <w:kern w:val="0"/>
                      <w:sz w:val="22"/>
                      <w:szCs w:val="22"/>
                    </w:rPr>
                  </w:pPr>
                </w:p>
              </w:tc>
              <w:tc>
                <w:tcPr>
                  <w:tcW w:w="2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架空栈道</w:t>
                  </w:r>
                </w:p>
              </w:tc>
              <w:tc>
                <w:tcPr>
                  <w:tcW w:w="1096"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368.75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81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color w:val="000000"/>
                      <w:kern w:val="0"/>
                      <w:sz w:val="22"/>
                      <w:szCs w:val="22"/>
                    </w:rPr>
                  </w:pPr>
                </w:p>
              </w:tc>
              <w:tc>
                <w:tcPr>
                  <w:tcW w:w="2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人行桥</w:t>
                  </w:r>
                </w:p>
              </w:tc>
              <w:tc>
                <w:tcPr>
                  <w:tcW w:w="1096"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2.00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座</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345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建筑密度</w:t>
                  </w:r>
                </w:p>
              </w:tc>
              <w:tc>
                <w:tcPr>
                  <w:tcW w:w="1096"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38.00%</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345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容积率</w:t>
                  </w:r>
                </w:p>
              </w:tc>
              <w:tc>
                <w:tcPr>
                  <w:tcW w:w="1096"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1.30 </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wBefore w:w="0" w:type="dxa"/>
                <w:trHeight w:val="450" w:hRule="atLeast"/>
                <w:jc w:val="center"/>
              </w:trPr>
              <w:tc>
                <w:tcPr>
                  <w:tcW w:w="345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绿地率</w:t>
                  </w:r>
                </w:p>
              </w:tc>
              <w:tc>
                <w:tcPr>
                  <w:tcW w:w="1096"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24.00%</w:t>
                  </w:r>
                </w:p>
              </w:tc>
              <w:tc>
                <w:tcPr>
                  <w:tcW w:w="6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309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bl>
          <w:p>
            <w:pPr>
              <w:spacing w:before="156" w:beforeLines="50" w:line="360" w:lineRule="auto"/>
              <w:ind w:firstLine="482" w:firstLineChars="200"/>
              <w:rPr>
                <w:rFonts w:hint="eastAsia" w:hAnsi="宋体"/>
                <w:b/>
                <w:sz w:val="24"/>
              </w:rPr>
            </w:pPr>
            <w:r>
              <w:rPr>
                <w:rFonts w:hint="eastAsia" w:hAnsi="宋体"/>
                <w:b/>
                <w:sz w:val="24"/>
              </w:rPr>
              <w:t>五、总平面布置</w:t>
            </w:r>
          </w:p>
          <w:p>
            <w:pPr>
              <w:spacing w:line="360" w:lineRule="auto"/>
              <w:ind w:firstLine="560"/>
              <w:rPr>
                <w:sz w:val="24"/>
              </w:rPr>
            </w:pPr>
            <w:r>
              <w:rPr>
                <w:rFonts w:hint="eastAsia" w:hAnsi="宋体"/>
                <w:sz w:val="24"/>
              </w:rPr>
              <w:t>整个项目分为两个片区：规划设计</w:t>
            </w:r>
            <w:r>
              <w:rPr>
                <w:rFonts w:hAnsi="宋体"/>
                <w:sz w:val="24"/>
              </w:rPr>
              <w:t>按</w:t>
            </w:r>
            <w:r>
              <w:rPr>
                <w:rFonts w:hint="eastAsia"/>
                <w:sz w:val="24"/>
              </w:rPr>
              <w:t>两心：北区农贸市场景观核心；南区农贸市场景观核心。一轴：集中式农贸市场形成的南北轴线；一带：结合农贸市场布局打造的头道河生态景观带。</w:t>
            </w:r>
          </w:p>
          <w:p>
            <w:pPr>
              <w:spacing w:line="360" w:lineRule="auto"/>
              <w:ind w:firstLine="560"/>
              <w:rPr>
                <w:sz w:val="24"/>
              </w:rPr>
            </w:pPr>
            <w:r>
              <w:rPr>
                <w:rFonts w:hint="eastAsia" w:hAnsi="宋体"/>
                <w:sz w:val="24"/>
              </w:rPr>
              <w:t>独立商业区、底商住宅区、回迁房</w:t>
            </w:r>
            <w:r>
              <w:rPr>
                <w:rFonts w:hAnsi="宋体"/>
                <w:sz w:val="24"/>
              </w:rPr>
              <w:t>安置区</w:t>
            </w:r>
            <w:r>
              <w:rPr>
                <w:rFonts w:hint="eastAsia" w:hAnsi="宋体"/>
                <w:sz w:val="24"/>
              </w:rPr>
              <w:t>、停车区。项目</w:t>
            </w:r>
            <w:r>
              <w:rPr>
                <w:rFonts w:hAnsi="宋体"/>
                <w:sz w:val="24"/>
              </w:rPr>
              <w:t>总平面布置图见附图</w:t>
            </w:r>
            <w:r>
              <w:rPr>
                <w:rFonts w:hint="eastAsia" w:hAnsi="宋体"/>
                <w:sz w:val="24"/>
              </w:rPr>
              <w:t>2</w:t>
            </w:r>
            <w:r>
              <w:rPr>
                <w:rFonts w:hint="eastAsia"/>
                <w:sz w:val="24"/>
              </w:rPr>
              <w:t>。</w:t>
            </w:r>
          </w:p>
          <w:p>
            <w:pPr>
              <w:spacing w:line="360" w:lineRule="auto"/>
              <w:ind w:firstLine="560"/>
              <w:rPr>
                <w:rFonts w:hint="eastAsia"/>
                <w:sz w:val="24"/>
              </w:rPr>
            </w:pPr>
            <w:r>
              <w:rPr>
                <w:lang/>
              </w:rPr>
              <w:drawing>
                <wp:inline distT="0" distB="0" distL="114300" distR="114300">
                  <wp:extent cx="3986530" cy="4426585"/>
                  <wp:effectExtent l="0" t="0" r="13970" b="12065"/>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pic:cNvPicPr>
                            <a:picLocks noChangeAspect="1"/>
                          </pic:cNvPicPr>
                        </pic:nvPicPr>
                        <pic:blipFill>
                          <a:blip r:embed="rId11"/>
                          <a:stretch>
                            <a:fillRect/>
                          </a:stretch>
                        </pic:blipFill>
                        <pic:spPr>
                          <a:xfrm>
                            <a:off x="0" y="0"/>
                            <a:ext cx="3986530" cy="4426585"/>
                          </a:xfrm>
                          <a:prstGeom prst="rect">
                            <a:avLst/>
                          </a:prstGeom>
                          <a:noFill/>
                          <a:ln>
                            <a:noFill/>
                          </a:ln>
                        </pic:spPr>
                      </pic:pic>
                    </a:graphicData>
                  </a:graphic>
                </wp:inline>
              </w:drawing>
            </w:r>
          </w:p>
          <w:p>
            <w:pPr>
              <w:spacing w:before="156" w:beforeLines="50" w:line="360" w:lineRule="auto"/>
              <w:ind w:firstLine="482" w:firstLineChars="200"/>
              <w:rPr>
                <w:rFonts w:hint="eastAsia" w:hAnsi="宋体"/>
                <w:b/>
                <w:sz w:val="24"/>
              </w:rPr>
            </w:pPr>
            <w:r>
              <w:rPr>
                <w:rFonts w:hint="eastAsia" w:hAnsi="宋体"/>
                <w:b/>
                <w:sz w:val="24"/>
              </w:rPr>
              <w:t>六、交易中心经营内容</w:t>
            </w:r>
          </w:p>
          <w:p>
            <w:pPr>
              <w:spacing w:line="360" w:lineRule="auto"/>
              <w:ind w:firstLine="480" w:firstLineChars="200"/>
              <w:rPr>
                <w:rFonts w:hint="eastAsia" w:hAnsi="新宋体" w:eastAsia="新宋体"/>
                <w:bCs/>
                <w:sz w:val="24"/>
              </w:rPr>
            </w:pPr>
            <w:r>
              <w:rPr>
                <w:rFonts w:hint="eastAsia" w:hAnsi="宋体"/>
                <w:sz w:val="24"/>
              </w:rPr>
              <w:t>项目建成后租给各商户从事农产品经营活动</w:t>
            </w:r>
            <w:r>
              <w:rPr>
                <w:rFonts w:hint="eastAsia" w:hAnsi="新宋体" w:eastAsia="新宋体"/>
                <w:bCs/>
                <w:sz w:val="24"/>
              </w:rPr>
              <w:t>。</w:t>
            </w:r>
            <w:r>
              <w:rPr>
                <w:rFonts w:hint="eastAsia" w:hAnsi="宋体"/>
                <w:sz w:val="24"/>
              </w:rPr>
              <w:t>从系统内的环境条件来看，规划是农产品交易中心，将来入驻的商家要根据自身的性质选择合理的位置，避免商家之间造成影响。</w:t>
            </w:r>
          </w:p>
          <w:p>
            <w:pPr>
              <w:spacing w:line="360" w:lineRule="auto"/>
              <w:ind w:firstLine="480" w:firstLineChars="200"/>
              <w:rPr>
                <w:rFonts w:hint="eastAsia" w:hAnsi="新宋体" w:eastAsia="新宋体"/>
                <w:bCs/>
                <w:color w:val="FF0000"/>
                <w:sz w:val="24"/>
              </w:rPr>
            </w:pPr>
            <w:r>
              <w:rPr>
                <w:rFonts w:hint="eastAsia" w:hAnsi="新宋体" w:eastAsia="新宋体"/>
                <w:bCs/>
                <w:sz w:val="24"/>
              </w:rPr>
              <w:t>但由于招商工作相对滞后，且商铺经营的行业变动较大，因此本环评不包括具体商铺部分运营期的环境影响评价，待商铺经营范围确定后，如有不属于禁止但是对环境有影响的项目，例如餐饮、KTV、洗浴等项目，须按照相关规定另行向有关部门报批环保手续。</w:t>
            </w:r>
          </w:p>
          <w:p>
            <w:pPr>
              <w:spacing w:before="156" w:beforeLines="50" w:line="360" w:lineRule="auto"/>
              <w:ind w:firstLine="482" w:firstLineChars="200"/>
              <w:rPr>
                <w:rFonts w:hint="eastAsia" w:hAnsi="宋体"/>
                <w:b/>
                <w:sz w:val="24"/>
              </w:rPr>
            </w:pPr>
            <w:r>
              <w:rPr>
                <w:rFonts w:hint="eastAsia" w:hAnsi="宋体"/>
                <w:b/>
                <w:sz w:val="24"/>
              </w:rPr>
              <w:t>七、工作制度及劳动定员</w:t>
            </w:r>
          </w:p>
          <w:p>
            <w:pPr>
              <w:pStyle w:val="5"/>
              <w:adjustRightInd w:val="0"/>
              <w:snapToGrid w:val="0"/>
              <w:spacing w:before="0" w:after="0" w:line="360" w:lineRule="auto"/>
              <w:ind w:firstLine="482"/>
              <w:rPr>
                <w:rFonts w:hint="eastAsia"/>
                <w:b w:val="0"/>
                <w:sz w:val="24"/>
                <w:szCs w:val="24"/>
                <w:lang w:val="zh-CN"/>
              </w:rPr>
            </w:pPr>
            <w:bookmarkStart w:id="7" w:name="_Toc57972424"/>
            <w:bookmarkStart w:id="8" w:name="_Toc246404485"/>
            <w:bookmarkStart w:id="9" w:name="_Toc234658224"/>
            <w:bookmarkStart w:id="10" w:name="_Toc157303012"/>
            <w:r>
              <w:rPr>
                <w:rFonts w:hint="eastAsia"/>
                <w:b w:val="0"/>
                <w:sz w:val="24"/>
                <w:szCs w:val="24"/>
                <w:lang w:val="zh-CN"/>
              </w:rPr>
              <w:t>1、生产制度</w:t>
            </w:r>
            <w:bookmarkEnd w:id="7"/>
            <w:bookmarkEnd w:id="8"/>
            <w:bookmarkEnd w:id="9"/>
            <w:bookmarkEnd w:id="10"/>
          </w:p>
          <w:p>
            <w:pPr>
              <w:autoSpaceDE w:val="0"/>
              <w:autoSpaceDN w:val="0"/>
              <w:adjustRightInd w:val="0"/>
              <w:snapToGrid w:val="0"/>
              <w:spacing w:line="360" w:lineRule="auto"/>
              <w:ind w:firstLine="560"/>
              <w:rPr>
                <w:rFonts w:hAnsi="宋体"/>
                <w:sz w:val="24"/>
                <w:lang w:val="zh-CN"/>
              </w:rPr>
            </w:pPr>
            <w:r>
              <w:rPr>
                <w:rFonts w:hint="eastAsia" w:ascii="宋体" w:hAnsi="宋体" w:cs="仿宋_GB2312"/>
                <w:sz w:val="24"/>
                <w:lang w:val="zh-CN"/>
              </w:rPr>
              <w:t>全年</w:t>
            </w:r>
            <w:r>
              <w:rPr>
                <w:rFonts w:hAnsi="宋体"/>
                <w:sz w:val="24"/>
                <w:lang w:val="zh-CN"/>
              </w:rPr>
              <w:t>工作日为</w:t>
            </w:r>
            <w:r>
              <w:rPr>
                <w:sz w:val="24"/>
                <w:lang w:val="zh-CN"/>
              </w:rPr>
              <w:t>3</w:t>
            </w:r>
            <w:r>
              <w:rPr>
                <w:rFonts w:hint="eastAsia"/>
                <w:sz w:val="24"/>
                <w:lang w:val="zh-CN"/>
              </w:rPr>
              <w:t>60</w:t>
            </w:r>
            <w:r>
              <w:rPr>
                <w:rFonts w:hAnsi="宋体"/>
                <w:sz w:val="24"/>
                <w:lang w:val="zh-CN"/>
              </w:rPr>
              <w:t>天</w:t>
            </w:r>
            <w:r>
              <w:rPr>
                <w:rFonts w:hint="eastAsia" w:hAnsi="宋体"/>
                <w:sz w:val="24"/>
                <w:lang w:val="zh-CN"/>
              </w:rPr>
              <w:t>，管理人员、办公人员</w:t>
            </w:r>
            <w:r>
              <w:rPr>
                <w:rFonts w:hAnsi="宋体"/>
                <w:sz w:val="24"/>
                <w:lang w:val="zh-CN"/>
              </w:rPr>
              <w:t>每</w:t>
            </w:r>
            <w:r>
              <w:rPr>
                <w:rFonts w:hint="eastAsia" w:hAnsi="宋体"/>
                <w:sz w:val="24"/>
                <w:lang w:val="zh-CN"/>
              </w:rPr>
              <w:t>天</w:t>
            </w:r>
            <w:r>
              <w:rPr>
                <w:rFonts w:hAnsi="宋体"/>
                <w:sz w:val="24"/>
                <w:lang w:val="zh-CN"/>
              </w:rPr>
              <w:t>工作</w:t>
            </w:r>
            <w:r>
              <w:rPr>
                <w:sz w:val="24"/>
                <w:lang w:val="zh-CN"/>
              </w:rPr>
              <w:t>8</w:t>
            </w:r>
            <w:r>
              <w:rPr>
                <w:rFonts w:hAnsi="宋体"/>
                <w:sz w:val="24"/>
                <w:lang w:val="zh-CN"/>
              </w:rPr>
              <w:t>小时</w:t>
            </w:r>
            <w:r>
              <w:rPr>
                <w:rFonts w:hint="eastAsia" w:hAnsi="宋体"/>
                <w:sz w:val="24"/>
                <w:lang w:val="zh-CN"/>
              </w:rPr>
              <w:t>；保安人员工作16小时，分为两班制。</w:t>
            </w:r>
          </w:p>
          <w:p>
            <w:pPr>
              <w:pStyle w:val="5"/>
              <w:adjustRightInd w:val="0"/>
              <w:snapToGrid w:val="0"/>
              <w:spacing w:before="0" w:after="0" w:line="360" w:lineRule="auto"/>
              <w:ind w:firstLine="482"/>
              <w:rPr>
                <w:b w:val="0"/>
                <w:sz w:val="24"/>
                <w:szCs w:val="24"/>
                <w:lang w:val="zh-CN"/>
              </w:rPr>
            </w:pPr>
            <w:bookmarkStart w:id="11" w:name="_Toc57972425"/>
            <w:r>
              <w:rPr>
                <w:rFonts w:hint="eastAsia"/>
                <w:b w:val="0"/>
                <w:sz w:val="24"/>
                <w:szCs w:val="24"/>
                <w:lang w:val="zh-CN"/>
              </w:rPr>
              <w:t>2、</w:t>
            </w:r>
            <w:r>
              <w:rPr>
                <w:b w:val="0"/>
                <w:sz w:val="24"/>
                <w:szCs w:val="24"/>
                <w:lang w:val="zh-CN"/>
              </w:rPr>
              <w:t>公司定员</w:t>
            </w:r>
            <w:bookmarkEnd w:id="11"/>
          </w:p>
          <w:p>
            <w:pPr>
              <w:adjustRightInd w:val="0"/>
              <w:snapToGrid w:val="0"/>
              <w:spacing w:line="360" w:lineRule="auto"/>
              <w:ind w:firstLine="480" w:firstLineChars="200"/>
              <w:rPr>
                <w:sz w:val="24"/>
              </w:rPr>
            </w:pPr>
            <w:r>
              <w:rPr>
                <w:rFonts w:hint="eastAsia" w:hAnsi="宋体"/>
                <w:sz w:val="24"/>
                <w:lang w:val="zh-CN"/>
              </w:rPr>
              <w:t>企业</w:t>
            </w:r>
            <w:r>
              <w:rPr>
                <w:rFonts w:hAnsi="宋体"/>
                <w:sz w:val="24"/>
                <w:lang w:val="zh-CN"/>
              </w:rPr>
              <w:t>劳动定员36人，其中管理人员5人，</w:t>
            </w:r>
            <w:r>
              <w:rPr>
                <w:rFonts w:hint="eastAsia" w:hAnsi="宋体"/>
                <w:sz w:val="24"/>
                <w:lang w:val="zh-CN"/>
              </w:rPr>
              <w:t>办公</w:t>
            </w:r>
            <w:r>
              <w:rPr>
                <w:rFonts w:hAnsi="宋体"/>
                <w:sz w:val="24"/>
                <w:lang w:val="zh-CN"/>
              </w:rPr>
              <w:t>人员19</w:t>
            </w:r>
            <w:r>
              <w:rPr>
                <w:rFonts w:hint="eastAsia" w:hAnsi="宋体"/>
                <w:sz w:val="24"/>
                <w:lang w:val="zh-CN"/>
              </w:rPr>
              <w:t>人，保安人员</w:t>
            </w:r>
            <w:r>
              <w:rPr>
                <w:sz w:val="24"/>
                <w:lang w:val="zh-CN"/>
              </w:rPr>
              <w:t>12</w:t>
            </w:r>
            <w:r>
              <w:rPr>
                <w:rFonts w:hAnsi="宋体"/>
                <w:sz w:val="24"/>
                <w:lang w:val="zh-CN"/>
              </w:rPr>
              <w:t>人</w:t>
            </w:r>
            <w:r>
              <w:rPr>
                <w:rFonts w:hint="eastAsia" w:hAnsi="宋体"/>
                <w:sz w:val="24"/>
                <w:lang w:val="zh-CN"/>
              </w:rPr>
              <w:t>。项目运营期工作人员均不</w:t>
            </w:r>
            <w:r>
              <w:rPr>
                <w:rFonts w:hint="eastAsia"/>
                <w:sz w:val="24"/>
              </w:rPr>
              <w:t>在项目区内食宿。</w:t>
            </w:r>
          </w:p>
          <w:p>
            <w:pPr>
              <w:spacing w:line="360" w:lineRule="auto"/>
              <w:ind w:firstLine="482" w:firstLineChars="200"/>
              <w:rPr>
                <w:rFonts w:hint="eastAsia" w:hAnsi="宋体"/>
                <w:b/>
                <w:sz w:val="24"/>
              </w:rPr>
            </w:pPr>
            <w:r>
              <w:rPr>
                <w:rFonts w:hint="eastAsia" w:hAnsi="宋体"/>
                <w:b/>
                <w:sz w:val="24"/>
              </w:rPr>
              <w:t>八、公用工程</w:t>
            </w:r>
          </w:p>
          <w:p>
            <w:pPr>
              <w:spacing w:line="360" w:lineRule="auto"/>
              <w:ind w:firstLine="482" w:firstLineChars="200"/>
              <w:rPr>
                <w:rFonts w:hint="eastAsia" w:hAnsi="宋体"/>
                <w:b/>
                <w:sz w:val="24"/>
              </w:rPr>
            </w:pPr>
            <w:r>
              <w:rPr>
                <w:rFonts w:hint="eastAsia" w:hAnsi="宋体"/>
                <w:b/>
                <w:sz w:val="24"/>
              </w:rPr>
              <w:t>1、给排水工程</w:t>
            </w:r>
          </w:p>
          <w:p>
            <w:pPr>
              <w:spacing w:line="360" w:lineRule="auto"/>
              <w:ind w:firstLine="480" w:firstLineChars="200"/>
              <w:rPr>
                <w:rFonts w:hint="eastAsia" w:hAnsi="宋体"/>
                <w:sz w:val="24"/>
              </w:rPr>
            </w:pPr>
            <w:r>
              <w:rPr>
                <w:rFonts w:hint="eastAsia" w:hAnsi="宋体"/>
                <w:sz w:val="24"/>
              </w:rPr>
              <w:t>（1）给水设计</w:t>
            </w:r>
          </w:p>
          <w:p>
            <w:pPr>
              <w:spacing w:line="360" w:lineRule="auto"/>
              <w:ind w:firstLine="480" w:firstLineChars="200"/>
              <w:rPr>
                <w:rFonts w:hAnsi="宋体"/>
                <w:sz w:val="24"/>
              </w:rPr>
            </w:pPr>
            <w:r>
              <w:rPr>
                <w:rFonts w:hAnsi="宋体"/>
                <w:sz w:val="24"/>
              </w:rPr>
              <w:fldChar w:fldCharType="begin"/>
            </w:r>
            <w:r>
              <w:rPr>
                <w:rFonts w:hAnsi="宋体"/>
                <w:sz w:val="24"/>
              </w:rPr>
              <w:instrText xml:space="preserve"> </w:instrText>
            </w:r>
            <w:r>
              <w:rPr>
                <w:rFonts w:hint="eastAsia" w:hAnsi="宋体"/>
                <w:sz w:val="24"/>
              </w:rPr>
              <w:instrText xml:space="preserve">= 1 \* GB3</w:instrText>
            </w:r>
            <w:r>
              <w:rPr>
                <w:rFonts w:hAnsi="宋体"/>
                <w:sz w:val="24"/>
              </w:rPr>
              <w:instrText xml:space="preserve"> </w:instrText>
            </w:r>
            <w:r>
              <w:rPr>
                <w:rFonts w:hAnsi="宋体"/>
                <w:sz w:val="24"/>
              </w:rPr>
              <w:fldChar w:fldCharType="separate"/>
            </w:r>
            <w:r>
              <w:rPr>
                <w:rFonts w:hint="eastAsia" w:hAnsi="宋体"/>
                <w:sz w:val="24"/>
              </w:rPr>
              <w:t>①</w:t>
            </w:r>
            <w:r>
              <w:rPr>
                <w:rFonts w:hAnsi="宋体"/>
                <w:sz w:val="24"/>
              </w:rPr>
              <w:fldChar w:fldCharType="end"/>
            </w:r>
            <w:r>
              <w:rPr>
                <w:rFonts w:hint="eastAsia" w:hAnsi="宋体"/>
                <w:sz w:val="24"/>
              </w:rPr>
              <w:t>给水系统：本工程紧邻市政道路，给排水管网系统已至项目区。本工程可就近搭接。</w:t>
            </w:r>
          </w:p>
          <w:p>
            <w:pPr>
              <w:spacing w:line="360" w:lineRule="auto"/>
              <w:ind w:firstLine="480" w:firstLineChars="200"/>
              <w:rPr>
                <w:rFonts w:hint="eastAsia" w:hAnsi="宋体"/>
                <w:sz w:val="24"/>
              </w:rPr>
            </w:pPr>
            <w:r>
              <w:rPr>
                <w:rFonts w:hAnsi="宋体"/>
                <w:sz w:val="24"/>
              </w:rPr>
              <w:fldChar w:fldCharType="begin"/>
            </w:r>
            <w:r>
              <w:rPr>
                <w:rFonts w:hAnsi="宋体"/>
                <w:sz w:val="24"/>
              </w:rPr>
              <w:instrText xml:space="preserve"> </w:instrText>
            </w:r>
            <w:r>
              <w:rPr>
                <w:rFonts w:hint="eastAsia" w:hAnsi="宋体"/>
                <w:sz w:val="24"/>
              </w:rPr>
              <w:instrText xml:space="preserve">= 2 \* GB3</w:instrText>
            </w:r>
            <w:r>
              <w:rPr>
                <w:rFonts w:hAnsi="宋体"/>
                <w:sz w:val="24"/>
              </w:rPr>
              <w:instrText xml:space="preserve"> </w:instrText>
            </w:r>
            <w:r>
              <w:rPr>
                <w:rFonts w:hAnsi="宋体"/>
                <w:sz w:val="24"/>
              </w:rPr>
              <w:fldChar w:fldCharType="separate"/>
            </w:r>
            <w:r>
              <w:rPr>
                <w:rFonts w:hint="eastAsia" w:hAnsi="宋体"/>
                <w:sz w:val="24"/>
                <w:lang/>
              </w:rPr>
              <w:t>②</w:t>
            </w:r>
            <w:r>
              <w:rPr>
                <w:rFonts w:hAnsi="宋体"/>
                <w:sz w:val="24"/>
              </w:rPr>
              <w:fldChar w:fldCharType="end"/>
            </w:r>
            <w:r>
              <w:rPr>
                <w:rFonts w:hint="eastAsia" w:hAnsi="宋体"/>
                <w:sz w:val="24"/>
                <w:lang/>
              </w:rPr>
              <w:t>热水给水：考虑到项目所在地冬季的极端低温天气及工程条件，</w:t>
            </w:r>
            <w:r>
              <w:rPr>
                <w:rFonts w:hAnsi="宋体"/>
                <w:sz w:val="24"/>
                <w:lang/>
              </w:rPr>
              <w:t>热水采用集中太阳能辅助</w:t>
            </w:r>
            <w:r>
              <w:rPr>
                <w:rFonts w:hint="eastAsia" w:hAnsi="宋体"/>
                <w:sz w:val="24"/>
                <w:lang/>
              </w:rPr>
              <w:t>电热水器</w:t>
            </w:r>
            <w:r>
              <w:rPr>
                <w:rFonts w:hAnsi="宋体"/>
                <w:sz w:val="24"/>
                <w:lang/>
              </w:rPr>
              <w:t>加热</w:t>
            </w:r>
            <w:r>
              <w:rPr>
                <w:rFonts w:hint="eastAsia" w:hAnsi="宋体"/>
                <w:sz w:val="24"/>
                <w:lang/>
              </w:rPr>
              <w:t>供给。</w:t>
            </w:r>
          </w:p>
          <w:p>
            <w:pPr>
              <w:spacing w:line="360" w:lineRule="auto"/>
              <w:ind w:firstLine="480" w:firstLineChars="200"/>
              <w:rPr>
                <w:rFonts w:hint="eastAsia" w:hAnsi="宋体"/>
                <w:sz w:val="24"/>
                <w:lang/>
              </w:rPr>
            </w:pPr>
            <w:r>
              <w:rPr>
                <w:rFonts w:hint="eastAsia" w:hAnsi="宋体"/>
                <w:sz w:val="24"/>
                <w:lang/>
              </w:rPr>
              <w:t>（2）排水设计</w:t>
            </w:r>
          </w:p>
          <w:p>
            <w:pPr>
              <w:spacing w:line="360" w:lineRule="auto"/>
              <w:ind w:firstLine="480" w:firstLineChars="200"/>
              <w:rPr>
                <w:rFonts w:hint="eastAsia" w:hAnsi="宋体"/>
                <w:sz w:val="24"/>
                <w:lang/>
              </w:rPr>
            </w:pPr>
            <w:r>
              <w:rPr>
                <w:rFonts w:hAnsi="宋体"/>
                <w:sz w:val="24"/>
                <w:lang/>
              </w:rPr>
              <w:t>本工程排水采用雨污分流制。</w:t>
            </w:r>
          </w:p>
          <w:p>
            <w:pPr>
              <w:spacing w:line="360" w:lineRule="auto"/>
              <w:ind w:firstLine="480" w:firstLineChars="200"/>
              <w:rPr>
                <w:rFonts w:hAnsi="宋体"/>
                <w:sz w:val="24"/>
                <w:lang/>
              </w:rPr>
            </w:pPr>
            <w:r>
              <w:rPr>
                <w:rFonts w:hAnsi="宋体"/>
                <w:sz w:val="24"/>
                <w:lang/>
              </w:rPr>
              <w:fldChar w:fldCharType="begin"/>
            </w:r>
            <w:r>
              <w:rPr>
                <w:rFonts w:hAnsi="宋体"/>
                <w:sz w:val="24"/>
                <w:lang/>
              </w:rPr>
              <w:instrText xml:space="preserve"> </w:instrText>
            </w:r>
            <w:r>
              <w:rPr>
                <w:rFonts w:hint="eastAsia" w:hAnsi="宋体"/>
                <w:sz w:val="24"/>
                <w:lang/>
              </w:rPr>
              <w:instrText xml:space="preserve">= 1 \* GB3</w:instrText>
            </w:r>
            <w:r>
              <w:rPr>
                <w:rFonts w:hAnsi="宋体"/>
                <w:sz w:val="24"/>
                <w:lang/>
              </w:rPr>
              <w:instrText xml:space="preserve"> </w:instrText>
            </w:r>
            <w:r>
              <w:rPr>
                <w:rFonts w:hAnsi="宋体"/>
                <w:sz w:val="24"/>
                <w:lang/>
              </w:rPr>
              <w:fldChar w:fldCharType="separate"/>
            </w:r>
            <w:r>
              <w:rPr>
                <w:rFonts w:hint="eastAsia" w:hAnsi="宋体"/>
                <w:sz w:val="24"/>
                <w:lang/>
              </w:rPr>
              <w:t>①</w:t>
            </w:r>
            <w:r>
              <w:rPr>
                <w:rFonts w:hAnsi="宋体"/>
                <w:sz w:val="24"/>
                <w:lang/>
              </w:rPr>
              <w:fldChar w:fldCharType="end"/>
            </w:r>
            <w:r>
              <w:rPr>
                <w:rFonts w:hint="eastAsia" w:hAnsi="宋体"/>
                <w:sz w:val="24"/>
                <w:lang/>
              </w:rPr>
              <w:t>生活排水系统</w:t>
            </w:r>
          </w:p>
          <w:p>
            <w:pPr>
              <w:spacing w:line="360" w:lineRule="auto"/>
              <w:ind w:firstLine="480" w:firstLineChars="200"/>
              <w:rPr>
                <w:rFonts w:hAnsi="宋体"/>
                <w:sz w:val="24"/>
                <w:lang/>
              </w:rPr>
            </w:pPr>
            <w:r>
              <w:rPr>
                <w:rFonts w:hint="eastAsia" w:hAnsi="宋体"/>
                <w:sz w:val="24"/>
                <w:lang/>
              </w:rPr>
              <w:t>生活排水系统采用污、废水合流制排放系统。市场渔类、禽类宰杀废水先经格栅进行隔渣处理后进入隔油池处理，其余污水经检查井集流后排入化粪池初步处理后排入附近的市政污水管网，最终进入维西县污水处理厂处理。</w:t>
            </w:r>
          </w:p>
          <w:p>
            <w:pPr>
              <w:spacing w:line="360" w:lineRule="auto"/>
              <w:ind w:firstLine="480" w:firstLineChars="200"/>
              <w:rPr>
                <w:rFonts w:hAnsi="宋体"/>
                <w:sz w:val="24"/>
                <w:lang/>
              </w:rPr>
            </w:pPr>
            <w:r>
              <w:rPr>
                <w:rFonts w:hAnsi="宋体"/>
                <w:sz w:val="24"/>
                <w:lang/>
              </w:rPr>
              <w:fldChar w:fldCharType="begin"/>
            </w:r>
            <w:r>
              <w:rPr>
                <w:rFonts w:hAnsi="宋体"/>
                <w:sz w:val="24"/>
                <w:lang/>
              </w:rPr>
              <w:instrText xml:space="preserve"> </w:instrText>
            </w:r>
            <w:r>
              <w:rPr>
                <w:rFonts w:hint="eastAsia" w:hAnsi="宋体"/>
                <w:sz w:val="24"/>
                <w:lang/>
              </w:rPr>
              <w:instrText xml:space="preserve">= 2 \* GB3</w:instrText>
            </w:r>
            <w:r>
              <w:rPr>
                <w:rFonts w:hAnsi="宋体"/>
                <w:sz w:val="24"/>
                <w:lang/>
              </w:rPr>
              <w:instrText xml:space="preserve"> </w:instrText>
            </w:r>
            <w:r>
              <w:rPr>
                <w:rFonts w:hAnsi="宋体"/>
                <w:sz w:val="24"/>
                <w:lang/>
              </w:rPr>
              <w:fldChar w:fldCharType="separate"/>
            </w:r>
            <w:r>
              <w:rPr>
                <w:rFonts w:hint="eastAsia" w:hAnsi="宋体"/>
                <w:sz w:val="24"/>
                <w:lang/>
              </w:rPr>
              <w:t>②</w:t>
            </w:r>
            <w:r>
              <w:rPr>
                <w:rFonts w:hAnsi="宋体"/>
                <w:sz w:val="24"/>
                <w:lang/>
              </w:rPr>
              <w:fldChar w:fldCharType="end"/>
            </w:r>
            <w:r>
              <w:rPr>
                <w:rFonts w:hint="eastAsia" w:hAnsi="宋体"/>
                <w:sz w:val="24"/>
                <w:lang/>
              </w:rPr>
              <w:t>雨水系统</w:t>
            </w:r>
          </w:p>
          <w:p>
            <w:pPr>
              <w:spacing w:line="360" w:lineRule="auto"/>
              <w:ind w:firstLine="480" w:firstLineChars="200"/>
              <w:rPr>
                <w:rFonts w:hint="eastAsia"/>
                <w:sz w:val="24"/>
              </w:rPr>
            </w:pPr>
            <w:r>
              <w:rPr>
                <w:rFonts w:hint="eastAsia"/>
                <w:sz w:val="24"/>
              </w:rPr>
              <w:t>屋顶雨水收集后经雨水管直接排至室外雨水管沟，室外雨水汇流至雨水口后排入室外雨水管网，再统一排入市政雨水干管。</w:t>
            </w:r>
          </w:p>
          <w:p>
            <w:pPr>
              <w:spacing w:line="360" w:lineRule="auto"/>
              <w:ind w:firstLine="482" w:firstLineChars="200"/>
              <w:rPr>
                <w:rFonts w:hint="eastAsia"/>
                <w:sz w:val="24"/>
              </w:rPr>
            </w:pPr>
            <w:r>
              <w:rPr>
                <w:rFonts w:hint="eastAsia" w:hAnsi="宋体"/>
                <w:b/>
                <w:sz w:val="24"/>
              </w:rPr>
              <w:t>2、供电工程</w:t>
            </w:r>
          </w:p>
          <w:p>
            <w:pPr>
              <w:spacing w:line="360" w:lineRule="auto"/>
              <w:ind w:firstLine="480" w:firstLineChars="200"/>
              <w:rPr>
                <w:rFonts w:hint="eastAsia"/>
                <w:sz w:val="24"/>
              </w:rPr>
            </w:pPr>
            <w:r>
              <w:rPr>
                <w:rFonts w:hint="eastAsia"/>
                <w:sz w:val="24"/>
              </w:rPr>
              <w:t>（1）高压供电电源：本项目的10kV电源由市政高压电网埋地引入。</w:t>
            </w:r>
          </w:p>
          <w:p>
            <w:pPr>
              <w:spacing w:line="360" w:lineRule="auto"/>
              <w:ind w:firstLine="480" w:firstLineChars="200"/>
              <w:rPr>
                <w:rFonts w:hint="eastAsia"/>
                <w:sz w:val="24"/>
              </w:rPr>
            </w:pPr>
            <w:r>
              <w:rPr>
                <w:rFonts w:hint="eastAsia" w:hAnsi="宋体"/>
                <w:color w:val="FF0000"/>
                <w:sz w:val="24"/>
              </w:rPr>
              <w:t>（</w:t>
            </w:r>
            <w:r>
              <w:rPr>
                <w:rFonts w:hint="eastAsia"/>
                <w:sz w:val="24"/>
              </w:rPr>
              <w:t>2）本工程在聚龙路设置室外一个10kV环网柜，再经10kV环网柜射式至各个10kV/0.4kV变配电所，南、北区农贸市场、农贸市场回迁安置用房、配套业务用房、地下车库的供电分别由各自变配电所提供。</w:t>
            </w:r>
          </w:p>
          <w:p>
            <w:pPr>
              <w:snapToGrid w:val="0"/>
              <w:spacing w:line="360" w:lineRule="auto"/>
              <w:ind w:firstLine="480" w:firstLineChars="200"/>
              <w:rPr>
                <w:kern w:val="0"/>
                <w:sz w:val="24"/>
              </w:rPr>
            </w:pPr>
            <w:r>
              <w:rPr>
                <w:rFonts w:hint="eastAsia"/>
                <w:sz w:val="24"/>
              </w:rPr>
              <w:t>（3）备用电源：</w:t>
            </w:r>
            <w:r>
              <w:rPr>
                <w:kern w:val="0"/>
                <w:sz w:val="24"/>
              </w:rPr>
              <w:t>虽然项目电源采用双回路方式供电，但考虑到特殊情况，本项目配置</w:t>
            </w:r>
            <w:r>
              <w:rPr>
                <w:rFonts w:hint="eastAsia"/>
                <w:kern w:val="0"/>
                <w:sz w:val="24"/>
              </w:rPr>
              <w:t>北区</w:t>
            </w:r>
            <w:r>
              <w:rPr>
                <w:kern w:val="0"/>
                <w:sz w:val="24"/>
              </w:rPr>
              <w:t>一台</w:t>
            </w:r>
            <w:r>
              <w:rPr>
                <w:rFonts w:hint="eastAsia"/>
                <w:kern w:val="0"/>
                <w:sz w:val="24"/>
              </w:rPr>
              <w:t>32</w:t>
            </w:r>
            <w:r>
              <w:rPr>
                <w:kern w:val="0"/>
                <w:sz w:val="24"/>
              </w:rPr>
              <w:t>0kW 柴油发电机组</w:t>
            </w:r>
            <w:r>
              <w:rPr>
                <w:rFonts w:hint="eastAsia"/>
                <w:kern w:val="0"/>
                <w:sz w:val="24"/>
              </w:rPr>
              <w:t>、南区</w:t>
            </w:r>
            <w:r>
              <w:rPr>
                <w:kern w:val="0"/>
                <w:sz w:val="24"/>
              </w:rPr>
              <w:t>设置</w:t>
            </w:r>
            <w:r>
              <w:rPr>
                <w:rFonts w:hint="eastAsia"/>
                <w:kern w:val="0"/>
                <w:sz w:val="24"/>
              </w:rPr>
              <w:t>一台660</w:t>
            </w:r>
            <w:r>
              <w:rPr>
                <w:kern w:val="0"/>
                <w:sz w:val="24"/>
              </w:rPr>
              <w:t>kW的柴油发电机组作为应急电源。</w:t>
            </w:r>
          </w:p>
          <w:p>
            <w:pPr>
              <w:spacing w:line="360" w:lineRule="auto"/>
              <w:ind w:firstLine="482" w:firstLineChars="200"/>
              <w:rPr>
                <w:rFonts w:hint="eastAsia" w:hAnsi="宋体"/>
                <w:b/>
                <w:sz w:val="24"/>
              </w:rPr>
            </w:pPr>
            <w:r>
              <w:rPr>
                <w:rFonts w:hint="eastAsia" w:hAnsi="宋体"/>
                <w:b/>
                <w:sz w:val="24"/>
              </w:rPr>
              <w:t>3、消防工程</w:t>
            </w:r>
          </w:p>
          <w:p>
            <w:pPr>
              <w:spacing w:line="360" w:lineRule="auto"/>
              <w:ind w:firstLine="480" w:firstLineChars="200"/>
              <w:rPr>
                <w:rFonts w:hint="eastAsia"/>
                <w:sz w:val="24"/>
              </w:rPr>
            </w:pPr>
            <w:r>
              <w:rPr>
                <w:rFonts w:hint="eastAsia"/>
                <w:sz w:val="24"/>
              </w:rPr>
              <w:t>（1）消防水源：</w:t>
            </w:r>
          </w:p>
          <w:p>
            <w:pPr>
              <w:spacing w:line="360" w:lineRule="auto"/>
              <w:ind w:firstLine="480" w:firstLineChars="200"/>
              <w:rPr>
                <w:rFonts w:hint="eastAsia"/>
                <w:sz w:val="24"/>
              </w:rPr>
            </w:pPr>
            <w:r>
              <w:rPr>
                <w:rFonts w:hint="eastAsia"/>
                <w:sz w:val="24"/>
              </w:rPr>
              <w:t>本工程消防系统采用临时高压消防系统，市场十分钟消防用水采用自来水，十分钟后消防用水采用消防储水，由消防泵加压后供消防用水点，这种形式既合理利用了资源，节省了一次性投资，又能迅速有效地扑灭火灾。</w:t>
            </w:r>
          </w:p>
          <w:p>
            <w:pPr>
              <w:spacing w:line="360" w:lineRule="auto"/>
              <w:ind w:firstLine="480" w:firstLineChars="200"/>
              <w:rPr>
                <w:rFonts w:hint="eastAsia"/>
                <w:sz w:val="24"/>
              </w:rPr>
            </w:pPr>
            <w:r>
              <w:rPr>
                <w:rFonts w:hint="eastAsia"/>
                <w:sz w:val="24"/>
              </w:rPr>
              <w:t>（2）室外消防：</w:t>
            </w:r>
          </w:p>
          <w:p>
            <w:pPr>
              <w:spacing w:line="360" w:lineRule="auto"/>
              <w:ind w:firstLine="480" w:firstLineChars="200"/>
              <w:rPr>
                <w:rFonts w:hint="eastAsia"/>
                <w:sz w:val="24"/>
              </w:rPr>
            </w:pPr>
            <w:r>
              <w:rPr>
                <w:rFonts w:hint="eastAsia"/>
                <w:sz w:val="24"/>
              </w:rPr>
              <w:t>室外消火栓给水系统采用临时高压给水系统。消防水池、水泵房设置在各地块地下室内，在消防水泵房内设置的消防水池（其中农贸市场消防水池容积不小于684m</w:t>
            </w:r>
            <w:r>
              <w:rPr>
                <w:rFonts w:hint="eastAsia"/>
                <w:sz w:val="24"/>
                <w:vertAlign w:val="superscript"/>
              </w:rPr>
              <w:t>3</w:t>
            </w:r>
            <w:r>
              <w:rPr>
                <w:rFonts w:hint="eastAsia"/>
                <w:sz w:val="24"/>
              </w:rPr>
              <w:t>，回迁安置用房消防水池容积不小于468m</w:t>
            </w:r>
            <w:r>
              <w:rPr>
                <w:rFonts w:hint="eastAsia"/>
                <w:sz w:val="24"/>
                <w:vertAlign w:val="superscript"/>
              </w:rPr>
              <w:t>3</w:t>
            </w:r>
            <w:r>
              <w:rPr>
                <w:rFonts w:hint="eastAsia"/>
                <w:sz w:val="24"/>
              </w:rPr>
              <w:t>）和室外消火栓加压泵组，来保证本地块各建筑的室外消火栓用水量及水压。从消防水泵房引出2根DN200的消防给水管在各场地内环状布置，在环状给水管网上设置室外地上式消火栓，室外消火栓间距不大于120m。</w:t>
            </w:r>
          </w:p>
          <w:p>
            <w:pPr>
              <w:spacing w:line="360" w:lineRule="auto"/>
              <w:ind w:firstLine="480" w:firstLineChars="200"/>
              <w:rPr>
                <w:rFonts w:hint="eastAsia"/>
                <w:sz w:val="24"/>
              </w:rPr>
            </w:pPr>
            <w:r>
              <w:rPr>
                <w:rFonts w:hint="eastAsia"/>
                <w:sz w:val="24"/>
              </w:rPr>
              <w:t>（3）室内消防：</w:t>
            </w:r>
          </w:p>
          <w:p>
            <w:pPr>
              <w:spacing w:line="360" w:lineRule="auto"/>
              <w:ind w:firstLine="480" w:firstLineChars="200"/>
              <w:rPr>
                <w:sz w:val="24"/>
              </w:rPr>
            </w:pPr>
            <w:r>
              <w:rPr>
                <w:rFonts w:hint="eastAsia"/>
                <w:sz w:val="24"/>
              </w:rPr>
              <w:t>室内消火栓给水系统采用临时高压给水系统。保证本地块各建筑的室内消火栓用水量及水压，分别在各区最高建筑的屋顶上设置高位消防水箱（其中农贸市场消防水箱容积不小于42m</w:t>
            </w:r>
            <w:r>
              <w:rPr>
                <w:rFonts w:hint="eastAsia"/>
                <w:sz w:val="24"/>
                <w:vertAlign w:val="superscript"/>
              </w:rPr>
              <w:t>3</w:t>
            </w:r>
            <w:r>
              <w:rPr>
                <w:rFonts w:hint="eastAsia"/>
                <w:sz w:val="24"/>
              </w:rPr>
              <w:t>，回迁安置用房消防水箱容积不小于33m</w:t>
            </w:r>
            <w:r>
              <w:rPr>
                <w:rFonts w:hint="eastAsia"/>
                <w:sz w:val="24"/>
                <w:vertAlign w:val="superscript"/>
              </w:rPr>
              <w:t>3</w:t>
            </w:r>
            <w:r>
              <w:rPr>
                <w:rFonts w:hint="eastAsia"/>
                <w:sz w:val="24"/>
              </w:rPr>
              <w:t>）和增压稳压设备一套，保证室内消防系统在火灾初期的消防用水量和水压。</w:t>
            </w:r>
          </w:p>
          <w:p>
            <w:pPr>
              <w:spacing w:line="360" w:lineRule="auto"/>
              <w:ind w:firstLine="482" w:firstLineChars="200"/>
              <w:rPr>
                <w:rFonts w:hint="eastAsia" w:hAnsi="宋体"/>
                <w:b/>
                <w:sz w:val="24"/>
              </w:rPr>
            </w:pPr>
            <w:r>
              <w:rPr>
                <w:rFonts w:hint="eastAsia" w:hAnsi="宋体"/>
                <w:b/>
                <w:sz w:val="24"/>
              </w:rPr>
              <w:t>九、建筑材料</w:t>
            </w:r>
          </w:p>
          <w:p>
            <w:pPr>
              <w:adjustRightInd w:val="0"/>
              <w:snapToGrid w:val="0"/>
              <w:spacing w:line="360" w:lineRule="auto"/>
              <w:ind w:firstLine="480" w:firstLineChars="200"/>
              <w:rPr>
                <w:rFonts w:hAnsi="宋体"/>
                <w:sz w:val="24"/>
              </w:rPr>
            </w:pPr>
            <w:r>
              <w:rPr>
                <w:rFonts w:hAnsi="宋体"/>
                <w:sz w:val="24"/>
              </w:rPr>
              <w:t>施工用水泥</w:t>
            </w:r>
            <w:r>
              <w:rPr>
                <w:rFonts w:hint="eastAsia" w:hAnsi="宋体"/>
                <w:sz w:val="24"/>
              </w:rPr>
              <w:t>、</w:t>
            </w:r>
            <w:r>
              <w:rPr>
                <w:rFonts w:hAnsi="宋体"/>
                <w:sz w:val="24"/>
              </w:rPr>
              <w:t>石料</w:t>
            </w:r>
            <w:r>
              <w:rPr>
                <w:rFonts w:hint="eastAsia" w:hAnsi="宋体"/>
                <w:sz w:val="24"/>
              </w:rPr>
              <w:t>、</w:t>
            </w:r>
            <w:r>
              <w:rPr>
                <w:rFonts w:hAnsi="宋体"/>
                <w:sz w:val="24"/>
              </w:rPr>
              <w:t>砂料从水泥厂</w:t>
            </w:r>
            <w:r>
              <w:rPr>
                <w:rFonts w:hint="eastAsia" w:hAnsi="宋体"/>
                <w:sz w:val="24"/>
              </w:rPr>
              <w:t>、</w:t>
            </w:r>
            <w:r>
              <w:rPr>
                <w:rFonts w:hAnsi="宋体"/>
                <w:sz w:val="24"/>
              </w:rPr>
              <w:t>附近</w:t>
            </w:r>
            <w:r>
              <w:rPr>
                <w:rFonts w:hint="eastAsia" w:hAnsi="宋体"/>
                <w:sz w:val="24"/>
              </w:rPr>
              <w:t>石</w:t>
            </w:r>
            <w:r>
              <w:rPr>
                <w:rFonts w:hAnsi="宋体"/>
                <w:sz w:val="24"/>
              </w:rPr>
              <w:t>料</w:t>
            </w:r>
            <w:r>
              <w:rPr>
                <w:rFonts w:hint="eastAsia" w:hAnsi="宋体"/>
                <w:sz w:val="24"/>
              </w:rPr>
              <w:t>、</w:t>
            </w:r>
            <w:r>
              <w:rPr>
                <w:rFonts w:hAnsi="宋体"/>
                <w:sz w:val="24"/>
              </w:rPr>
              <w:t>砂料场购买，</w:t>
            </w:r>
            <w:r>
              <w:rPr>
                <w:rFonts w:hint="eastAsia" w:hAnsi="宋体"/>
                <w:sz w:val="24"/>
              </w:rPr>
              <w:t>目前县城建材市场上相关物资货源充足，完全可以</w:t>
            </w:r>
            <w:r>
              <w:rPr>
                <w:rFonts w:hAnsi="宋体"/>
                <w:sz w:val="24"/>
              </w:rPr>
              <w:t>保证</w:t>
            </w:r>
            <w:r>
              <w:rPr>
                <w:rFonts w:hint="eastAsia" w:hAnsi="宋体"/>
                <w:sz w:val="24"/>
              </w:rPr>
              <w:t>工程需要</w:t>
            </w:r>
            <w:r>
              <w:rPr>
                <w:rFonts w:hAnsi="宋体"/>
                <w:sz w:val="24"/>
              </w:rPr>
              <w:t>供应。</w:t>
            </w:r>
          </w:p>
          <w:p>
            <w:pPr>
              <w:spacing w:line="360" w:lineRule="auto"/>
              <w:ind w:firstLine="482" w:firstLineChars="200"/>
              <w:rPr>
                <w:rFonts w:hint="eastAsia" w:hAnsi="宋体"/>
                <w:b/>
                <w:sz w:val="24"/>
              </w:rPr>
            </w:pPr>
            <w:r>
              <w:rPr>
                <w:rFonts w:hint="eastAsia" w:hAnsi="宋体"/>
                <w:b/>
                <w:sz w:val="24"/>
              </w:rPr>
              <w:t>十、施工条件</w:t>
            </w:r>
          </w:p>
          <w:p>
            <w:pPr>
              <w:adjustRightInd w:val="0"/>
              <w:snapToGrid w:val="0"/>
              <w:spacing w:line="360" w:lineRule="auto"/>
              <w:ind w:firstLine="480" w:firstLineChars="200"/>
              <w:rPr>
                <w:rFonts w:hAnsi="宋体"/>
                <w:sz w:val="24"/>
              </w:rPr>
            </w:pPr>
            <w:r>
              <w:rPr>
                <w:rFonts w:hint="eastAsia" w:hAnsi="宋体"/>
                <w:sz w:val="24"/>
              </w:rPr>
              <w:t>1、道路方面：从现场现状上来看，本项目位于维西县</w:t>
            </w:r>
            <w:r>
              <w:rPr>
                <w:rFonts w:hAnsi="宋体"/>
                <w:sz w:val="24"/>
              </w:rPr>
              <w:t>老城区</w:t>
            </w:r>
            <w:r>
              <w:rPr>
                <w:rFonts w:hint="eastAsia" w:hAnsi="宋体"/>
                <w:sz w:val="24"/>
              </w:rPr>
              <w:t>，项目用地四周</w:t>
            </w:r>
            <w:r>
              <w:rPr>
                <w:rFonts w:hAnsi="宋体"/>
                <w:sz w:val="24"/>
              </w:rPr>
              <w:t>都有建成道路</w:t>
            </w:r>
            <w:r>
              <w:rPr>
                <w:rFonts w:hint="eastAsia" w:hAnsi="宋体"/>
                <w:sz w:val="24"/>
              </w:rPr>
              <w:t>，地理优势显著，交通十分便利。道路条件满足施工要求。</w:t>
            </w:r>
          </w:p>
          <w:p>
            <w:pPr>
              <w:adjustRightInd w:val="0"/>
              <w:snapToGrid w:val="0"/>
              <w:spacing w:line="360" w:lineRule="auto"/>
              <w:ind w:firstLine="480" w:firstLineChars="200"/>
              <w:rPr>
                <w:rFonts w:hAnsi="宋体"/>
                <w:sz w:val="24"/>
              </w:rPr>
            </w:pPr>
            <w:r>
              <w:rPr>
                <w:rFonts w:hint="eastAsia" w:hAnsi="宋体"/>
                <w:sz w:val="24"/>
              </w:rPr>
              <w:t>2、施工用电方面：从现场来看，依托市政电力电网，现场满足施工用电的要求。</w:t>
            </w:r>
          </w:p>
          <w:p>
            <w:pPr>
              <w:adjustRightInd w:val="0"/>
              <w:snapToGrid w:val="0"/>
              <w:spacing w:line="360" w:lineRule="auto"/>
              <w:ind w:firstLine="480" w:firstLineChars="200"/>
              <w:rPr>
                <w:rFonts w:hAnsi="宋体"/>
                <w:sz w:val="24"/>
              </w:rPr>
            </w:pPr>
            <w:r>
              <w:rPr>
                <w:rFonts w:hint="eastAsia" w:hAnsi="宋体"/>
                <w:sz w:val="24"/>
              </w:rPr>
              <w:t>3、施工用水方面：从现场来看，市政用水已覆盖了该范围，加上可利用河流水资源，现场满足施工用水的要求。</w:t>
            </w:r>
          </w:p>
          <w:p>
            <w:pPr>
              <w:adjustRightInd w:val="0"/>
              <w:snapToGrid w:val="0"/>
              <w:spacing w:line="360" w:lineRule="auto"/>
              <w:ind w:firstLine="480" w:firstLineChars="200"/>
              <w:rPr>
                <w:rFonts w:hAnsi="宋体"/>
                <w:sz w:val="24"/>
              </w:rPr>
            </w:pPr>
            <w:r>
              <w:rPr>
                <w:rFonts w:hint="eastAsia" w:hAnsi="宋体"/>
                <w:sz w:val="24"/>
              </w:rPr>
              <w:t>4、场地平整方面：该项目场地为平地，建设项目场地自然土方填方量比较小，场地平整条件较好。</w:t>
            </w:r>
          </w:p>
          <w:p>
            <w:pPr>
              <w:spacing w:line="360" w:lineRule="auto"/>
              <w:ind w:firstLine="482" w:firstLineChars="200"/>
              <w:rPr>
                <w:rFonts w:hint="eastAsia" w:hAnsi="宋体"/>
                <w:b/>
                <w:sz w:val="24"/>
              </w:rPr>
            </w:pPr>
            <w:r>
              <w:rPr>
                <w:rFonts w:hint="eastAsia" w:hAnsi="宋体"/>
                <w:b/>
                <w:sz w:val="24"/>
              </w:rPr>
              <w:t>十一、项目实施计划</w:t>
            </w:r>
          </w:p>
          <w:p>
            <w:pPr>
              <w:spacing w:line="360" w:lineRule="auto"/>
              <w:ind w:firstLine="480" w:firstLineChars="200"/>
              <w:rPr>
                <w:rFonts w:hint="eastAsia" w:hAnsi="宋体"/>
                <w:sz w:val="24"/>
              </w:rPr>
            </w:pPr>
            <w:r>
              <w:rPr>
                <w:rFonts w:hint="eastAsia"/>
                <w:sz w:val="24"/>
              </w:rPr>
              <w:t>本项目建设总工期3年（36个月），项目前期三通一平、方案设计、勘察</w:t>
            </w:r>
            <w:r>
              <w:rPr>
                <w:sz w:val="24"/>
              </w:rPr>
              <w:t>设计招投标</w:t>
            </w:r>
            <w:r>
              <w:rPr>
                <w:rFonts w:hint="eastAsia"/>
                <w:sz w:val="24"/>
              </w:rPr>
              <w:t>、初步设计、施工图设计</w:t>
            </w:r>
            <w:r>
              <w:rPr>
                <w:sz w:val="24"/>
              </w:rPr>
              <w:t>6</w:t>
            </w:r>
            <w:r>
              <w:rPr>
                <w:rFonts w:hint="eastAsia"/>
                <w:sz w:val="24"/>
              </w:rPr>
              <w:t>个月，施工招投标1个月，工程施工及竣工验收工作</w:t>
            </w:r>
            <w:r>
              <w:rPr>
                <w:sz w:val="24"/>
              </w:rPr>
              <w:t>29</w:t>
            </w:r>
            <w:r>
              <w:rPr>
                <w:rFonts w:hint="eastAsia"/>
                <w:sz w:val="24"/>
              </w:rPr>
              <w:t>个月，施工开始时间以行政主管部门审批的时间节点为准，项目总工期预计2020年</w:t>
            </w:r>
            <w:r>
              <w:rPr>
                <w:sz w:val="24"/>
              </w:rPr>
              <w:t>7</w:t>
            </w:r>
            <w:r>
              <w:rPr>
                <w:rFonts w:hint="eastAsia"/>
                <w:sz w:val="24"/>
              </w:rPr>
              <w:t>月~2023年</w:t>
            </w:r>
            <w:r>
              <w:rPr>
                <w:sz w:val="24"/>
              </w:rPr>
              <w:t>7</w:t>
            </w:r>
            <w:r>
              <w:rPr>
                <w:rFonts w:hint="eastAsia"/>
                <w:sz w:val="24"/>
              </w:rPr>
              <w:t>月。</w:t>
            </w:r>
          </w:p>
          <w:p>
            <w:pPr>
              <w:spacing w:line="360" w:lineRule="auto"/>
              <w:ind w:firstLine="482" w:firstLineChars="200"/>
              <w:rPr>
                <w:rFonts w:hint="eastAsia" w:hAnsi="宋体"/>
                <w:b/>
                <w:sz w:val="24"/>
              </w:rPr>
            </w:pPr>
            <w:r>
              <w:rPr>
                <w:rFonts w:hint="eastAsia" w:hAnsi="宋体"/>
                <w:b/>
                <w:sz w:val="24"/>
              </w:rPr>
              <w:t>十二、总投资及环保投资</w:t>
            </w:r>
          </w:p>
          <w:p>
            <w:pPr>
              <w:spacing w:line="360" w:lineRule="auto"/>
              <w:ind w:firstLine="480"/>
              <w:rPr>
                <w:rFonts w:hint="eastAsia"/>
                <w:sz w:val="24"/>
              </w:rPr>
            </w:pPr>
            <w:r>
              <w:rPr>
                <w:rFonts w:hint="eastAsia"/>
                <w:sz w:val="24"/>
              </w:rPr>
              <w:t>1、总投资</w:t>
            </w:r>
          </w:p>
          <w:p>
            <w:pPr>
              <w:spacing w:line="360" w:lineRule="auto"/>
              <w:ind w:firstLine="480"/>
              <w:rPr>
                <w:rFonts w:hint="eastAsia"/>
                <w:sz w:val="24"/>
              </w:rPr>
            </w:pPr>
            <w:r>
              <w:rPr>
                <w:rFonts w:hint="eastAsia"/>
                <w:sz w:val="24"/>
              </w:rPr>
              <w:t>本项目总投资为</w:t>
            </w:r>
            <w:r>
              <w:rPr>
                <w:sz w:val="24"/>
              </w:rPr>
              <w:t>38975</w:t>
            </w:r>
            <w:r>
              <w:rPr>
                <w:rFonts w:hint="eastAsia"/>
                <w:sz w:val="24"/>
              </w:rPr>
              <w:t>万元，全部为企业自筹。</w:t>
            </w:r>
          </w:p>
          <w:p>
            <w:pPr>
              <w:spacing w:line="360" w:lineRule="auto"/>
              <w:ind w:firstLine="480"/>
              <w:rPr>
                <w:rFonts w:hint="eastAsia"/>
                <w:sz w:val="24"/>
              </w:rPr>
            </w:pPr>
            <w:r>
              <w:rPr>
                <w:rFonts w:hint="eastAsia"/>
                <w:sz w:val="24"/>
              </w:rPr>
              <w:t>2、环保投资</w:t>
            </w:r>
          </w:p>
          <w:p>
            <w:pPr>
              <w:spacing w:line="360" w:lineRule="auto"/>
              <w:ind w:firstLine="480" w:firstLineChars="200"/>
              <w:rPr>
                <w:rFonts w:hint="eastAsia" w:hAnsi="宋体"/>
                <w:kern w:val="0"/>
                <w:sz w:val="24"/>
              </w:rPr>
            </w:pPr>
            <w:r>
              <w:rPr>
                <w:rFonts w:hAnsi="宋体"/>
                <w:kern w:val="0"/>
                <w:sz w:val="24"/>
              </w:rPr>
              <w:t>项目环保投资共计</w:t>
            </w:r>
            <w:r>
              <w:rPr>
                <w:sz w:val="24"/>
              </w:rPr>
              <w:t>225</w:t>
            </w:r>
            <w:r>
              <w:rPr>
                <w:rFonts w:hAnsi="宋体"/>
                <w:kern w:val="0"/>
                <w:sz w:val="24"/>
              </w:rPr>
              <w:t>万元，占项目总投资</w:t>
            </w:r>
            <w:r>
              <w:rPr>
                <w:sz w:val="24"/>
              </w:rPr>
              <w:t>0.58%</w:t>
            </w:r>
            <w:r>
              <w:rPr>
                <w:rFonts w:hAnsi="宋体"/>
                <w:kern w:val="0"/>
                <w:sz w:val="24"/>
              </w:rPr>
              <w:t>，详见表</w:t>
            </w:r>
            <w:r>
              <w:rPr>
                <w:rFonts w:hint="eastAsia"/>
                <w:kern w:val="0"/>
                <w:sz w:val="24"/>
              </w:rPr>
              <w:t>1-3</w:t>
            </w:r>
            <w:r>
              <w:rPr>
                <w:rFonts w:hAnsi="宋体"/>
                <w:kern w:val="0"/>
                <w:sz w:val="24"/>
              </w:rPr>
              <w:t>。</w:t>
            </w:r>
          </w:p>
          <w:p>
            <w:pPr>
              <w:spacing w:line="360" w:lineRule="auto"/>
              <w:jc w:val="center"/>
              <w:rPr>
                <w:rFonts w:hAnsi="宋体"/>
                <w:b/>
                <w:sz w:val="24"/>
              </w:rPr>
            </w:pPr>
            <w:r>
              <w:rPr>
                <w:rFonts w:hint="eastAsia" w:hAnsi="宋体"/>
                <w:b/>
                <w:sz w:val="24"/>
              </w:rPr>
              <w:t>表1-3 环保投资估算一览表 （单位：万元）</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3088"/>
              <w:gridCol w:w="1566"/>
              <w:gridCol w:w="993"/>
              <w:gridCol w:w="1114"/>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rPr>
              <w:tc>
                <w:tcPr>
                  <w:tcW w:w="730" w:type="dxa"/>
                  <w:noWrap w:val="0"/>
                  <w:vAlign w:val="center"/>
                </w:tcPr>
                <w:p>
                  <w:pPr>
                    <w:spacing w:line="360" w:lineRule="auto"/>
                    <w:jc w:val="center"/>
                    <w:rPr>
                      <w:szCs w:val="21"/>
                    </w:rPr>
                  </w:pPr>
                  <w:r>
                    <w:rPr>
                      <w:rFonts w:hint="eastAsia"/>
                      <w:szCs w:val="21"/>
                    </w:rPr>
                    <w:t>序号</w:t>
                  </w:r>
                </w:p>
              </w:tc>
              <w:tc>
                <w:tcPr>
                  <w:tcW w:w="3088" w:type="dxa"/>
                  <w:noWrap w:val="0"/>
                  <w:vAlign w:val="center"/>
                </w:tcPr>
                <w:p>
                  <w:pPr>
                    <w:spacing w:line="360" w:lineRule="auto"/>
                    <w:jc w:val="center"/>
                    <w:rPr>
                      <w:szCs w:val="21"/>
                    </w:rPr>
                  </w:pPr>
                  <w:r>
                    <w:rPr>
                      <w:rFonts w:hint="eastAsia"/>
                      <w:szCs w:val="21"/>
                    </w:rPr>
                    <w:t>环保项目</w:t>
                  </w:r>
                </w:p>
              </w:tc>
              <w:tc>
                <w:tcPr>
                  <w:tcW w:w="1566" w:type="dxa"/>
                  <w:noWrap w:val="0"/>
                  <w:vAlign w:val="center"/>
                </w:tcPr>
                <w:p>
                  <w:pPr>
                    <w:spacing w:line="360" w:lineRule="auto"/>
                    <w:jc w:val="center"/>
                    <w:rPr>
                      <w:szCs w:val="21"/>
                    </w:rPr>
                  </w:pPr>
                  <w:r>
                    <w:rPr>
                      <w:rFonts w:hint="eastAsia"/>
                      <w:szCs w:val="21"/>
                    </w:rPr>
                    <w:t>规模、数量</w:t>
                  </w:r>
                </w:p>
              </w:tc>
              <w:tc>
                <w:tcPr>
                  <w:tcW w:w="993" w:type="dxa"/>
                  <w:noWrap w:val="0"/>
                  <w:vAlign w:val="center"/>
                </w:tcPr>
                <w:p>
                  <w:pPr>
                    <w:spacing w:line="360" w:lineRule="auto"/>
                    <w:ind w:firstLine="105" w:firstLineChars="50"/>
                    <w:jc w:val="center"/>
                    <w:rPr>
                      <w:szCs w:val="21"/>
                    </w:rPr>
                  </w:pPr>
                  <w:r>
                    <w:rPr>
                      <w:rFonts w:hint="eastAsia"/>
                      <w:szCs w:val="21"/>
                    </w:rPr>
                    <w:t>单价</w:t>
                  </w:r>
                </w:p>
              </w:tc>
              <w:tc>
                <w:tcPr>
                  <w:tcW w:w="1114" w:type="dxa"/>
                  <w:noWrap w:val="0"/>
                  <w:vAlign w:val="center"/>
                </w:tcPr>
                <w:p>
                  <w:pPr>
                    <w:spacing w:line="360" w:lineRule="auto"/>
                    <w:jc w:val="center"/>
                    <w:rPr>
                      <w:szCs w:val="21"/>
                    </w:rPr>
                  </w:pPr>
                  <w:r>
                    <w:rPr>
                      <w:rFonts w:hint="eastAsia"/>
                      <w:szCs w:val="21"/>
                    </w:rPr>
                    <w:t>金额</w:t>
                  </w:r>
                </w:p>
              </w:tc>
              <w:tc>
                <w:tcPr>
                  <w:tcW w:w="1569" w:type="dxa"/>
                  <w:noWrap w:val="0"/>
                  <w:vAlign w:val="center"/>
                </w:tcPr>
                <w:p>
                  <w:pPr>
                    <w:spacing w:line="360" w:lineRule="auto"/>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rPr>
              <w:tc>
                <w:tcPr>
                  <w:tcW w:w="730" w:type="dxa"/>
                  <w:noWrap w:val="0"/>
                  <w:vAlign w:val="center"/>
                </w:tcPr>
                <w:p>
                  <w:pPr>
                    <w:spacing w:line="360" w:lineRule="auto"/>
                    <w:jc w:val="center"/>
                    <w:rPr>
                      <w:szCs w:val="21"/>
                    </w:rPr>
                  </w:pPr>
                  <w:r>
                    <w:rPr>
                      <w:rFonts w:hint="eastAsia"/>
                      <w:szCs w:val="21"/>
                    </w:rPr>
                    <w:t>1</w:t>
                  </w:r>
                </w:p>
              </w:tc>
              <w:tc>
                <w:tcPr>
                  <w:tcW w:w="3088" w:type="dxa"/>
                  <w:noWrap w:val="0"/>
                  <w:vAlign w:val="center"/>
                </w:tcPr>
                <w:p>
                  <w:pPr>
                    <w:spacing w:line="360" w:lineRule="auto"/>
                    <w:jc w:val="center"/>
                    <w:rPr>
                      <w:szCs w:val="21"/>
                    </w:rPr>
                  </w:pPr>
                  <w:r>
                    <w:rPr>
                      <w:rFonts w:hint="eastAsia"/>
                      <w:szCs w:val="21"/>
                    </w:rPr>
                    <w:t>施工期施工废水沉淀池</w:t>
                  </w:r>
                </w:p>
              </w:tc>
              <w:tc>
                <w:tcPr>
                  <w:tcW w:w="1566" w:type="dxa"/>
                  <w:noWrap w:val="0"/>
                  <w:vAlign w:val="center"/>
                </w:tcPr>
                <w:p>
                  <w:pPr>
                    <w:spacing w:line="360" w:lineRule="auto"/>
                    <w:jc w:val="center"/>
                    <w:rPr>
                      <w:szCs w:val="21"/>
                    </w:rPr>
                  </w:pPr>
                  <w:r>
                    <w:rPr>
                      <w:rFonts w:hint="eastAsia"/>
                      <w:szCs w:val="21"/>
                    </w:rPr>
                    <w:t>20m</w:t>
                  </w:r>
                  <w:r>
                    <w:rPr>
                      <w:rFonts w:hint="eastAsia"/>
                      <w:szCs w:val="21"/>
                      <w:vertAlign w:val="superscript"/>
                    </w:rPr>
                    <w:t>3</w:t>
                  </w:r>
                  <w:r>
                    <w:rPr>
                      <w:rFonts w:hint="eastAsia" w:ascii="宋体" w:hAnsi="宋体"/>
                      <w:szCs w:val="21"/>
                    </w:rPr>
                    <w:t>×</w:t>
                  </w:r>
                  <w:r>
                    <w:rPr>
                      <w:szCs w:val="21"/>
                    </w:rPr>
                    <w:t>4</w:t>
                  </w:r>
                  <w:r>
                    <w:rPr>
                      <w:rFonts w:hint="eastAsia"/>
                      <w:szCs w:val="21"/>
                    </w:rPr>
                    <w:t>个</w:t>
                  </w:r>
                </w:p>
              </w:tc>
              <w:tc>
                <w:tcPr>
                  <w:tcW w:w="993" w:type="dxa"/>
                  <w:noWrap w:val="0"/>
                  <w:vAlign w:val="center"/>
                </w:tcPr>
                <w:p>
                  <w:pPr>
                    <w:spacing w:line="360" w:lineRule="auto"/>
                    <w:jc w:val="center"/>
                    <w:rPr>
                      <w:szCs w:val="21"/>
                    </w:rPr>
                  </w:pPr>
                  <w:r>
                    <w:rPr>
                      <w:rFonts w:hint="eastAsia"/>
                      <w:szCs w:val="21"/>
                    </w:rPr>
                    <w:t>1.0</w:t>
                  </w:r>
                </w:p>
              </w:tc>
              <w:tc>
                <w:tcPr>
                  <w:tcW w:w="1114" w:type="dxa"/>
                  <w:noWrap w:val="0"/>
                  <w:vAlign w:val="center"/>
                </w:tcPr>
                <w:p>
                  <w:pPr>
                    <w:spacing w:line="360" w:lineRule="auto"/>
                    <w:jc w:val="center"/>
                    <w:rPr>
                      <w:szCs w:val="21"/>
                    </w:rPr>
                  </w:pPr>
                  <w:r>
                    <w:rPr>
                      <w:szCs w:val="21"/>
                    </w:rPr>
                    <w:t>4</w:t>
                  </w:r>
                  <w:r>
                    <w:rPr>
                      <w:rFonts w:hint="eastAsia"/>
                      <w:szCs w:val="21"/>
                    </w:rPr>
                    <w:t>.0</w:t>
                  </w:r>
                </w:p>
              </w:tc>
              <w:tc>
                <w:tcPr>
                  <w:tcW w:w="1569" w:type="dxa"/>
                  <w:noWrap w:val="0"/>
                  <w:vAlign w:val="center"/>
                </w:tcPr>
                <w:p>
                  <w:pPr>
                    <w:spacing w:line="360" w:lineRule="auto"/>
                    <w:jc w:val="center"/>
                    <w:rPr>
                      <w:szCs w:val="21"/>
                    </w:rPr>
                  </w:pPr>
                  <w:r>
                    <w:rPr>
                      <w:rFonts w:hint="eastAsia"/>
                      <w:szCs w:val="21"/>
                    </w:rPr>
                    <w:t>环评新增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rPr>
              <w:tc>
                <w:tcPr>
                  <w:tcW w:w="730" w:type="dxa"/>
                  <w:noWrap w:val="0"/>
                  <w:vAlign w:val="center"/>
                </w:tcPr>
                <w:p>
                  <w:pPr>
                    <w:spacing w:line="360" w:lineRule="auto"/>
                    <w:jc w:val="center"/>
                    <w:rPr>
                      <w:szCs w:val="21"/>
                    </w:rPr>
                  </w:pPr>
                  <w:r>
                    <w:rPr>
                      <w:rFonts w:hint="eastAsia"/>
                      <w:szCs w:val="21"/>
                    </w:rPr>
                    <w:t>2</w:t>
                  </w:r>
                </w:p>
              </w:tc>
              <w:tc>
                <w:tcPr>
                  <w:tcW w:w="3088" w:type="dxa"/>
                  <w:noWrap w:val="0"/>
                  <w:vAlign w:val="center"/>
                </w:tcPr>
                <w:p>
                  <w:pPr>
                    <w:spacing w:line="360" w:lineRule="auto"/>
                    <w:jc w:val="center"/>
                    <w:rPr>
                      <w:szCs w:val="21"/>
                    </w:rPr>
                  </w:pPr>
                  <w:r>
                    <w:rPr>
                      <w:rFonts w:hint="eastAsia"/>
                      <w:szCs w:val="21"/>
                    </w:rPr>
                    <w:t>基坑涌水沉砂池</w:t>
                  </w:r>
                </w:p>
              </w:tc>
              <w:tc>
                <w:tcPr>
                  <w:tcW w:w="1566" w:type="dxa"/>
                  <w:noWrap w:val="0"/>
                  <w:vAlign w:val="center"/>
                </w:tcPr>
                <w:p>
                  <w:pPr>
                    <w:jc w:val="center"/>
                    <w:rPr>
                      <w:szCs w:val="21"/>
                    </w:rPr>
                  </w:pPr>
                  <w:r>
                    <w:rPr>
                      <w:rFonts w:hint="eastAsia"/>
                      <w:szCs w:val="21"/>
                    </w:rPr>
                    <w:t>20m</w:t>
                  </w:r>
                  <w:r>
                    <w:rPr>
                      <w:rFonts w:hint="eastAsia"/>
                      <w:szCs w:val="21"/>
                      <w:vertAlign w:val="superscript"/>
                    </w:rPr>
                    <w:t>3</w:t>
                  </w:r>
                  <w:r>
                    <w:rPr>
                      <w:rFonts w:hint="eastAsia" w:ascii="宋体" w:hAnsi="宋体"/>
                      <w:szCs w:val="21"/>
                    </w:rPr>
                    <w:t>×</w:t>
                  </w:r>
                  <w:r>
                    <w:rPr>
                      <w:szCs w:val="21"/>
                    </w:rPr>
                    <w:t>4</w:t>
                  </w:r>
                  <w:r>
                    <w:rPr>
                      <w:rFonts w:hint="eastAsia"/>
                      <w:szCs w:val="21"/>
                    </w:rPr>
                    <w:t>个</w:t>
                  </w:r>
                </w:p>
              </w:tc>
              <w:tc>
                <w:tcPr>
                  <w:tcW w:w="993" w:type="dxa"/>
                  <w:noWrap w:val="0"/>
                  <w:vAlign w:val="center"/>
                </w:tcPr>
                <w:p>
                  <w:pPr>
                    <w:jc w:val="center"/>
                    <w:rPr>
                      <w:szCs w:val="21"/>
                    </w:rPr>
                  </w:pPr>
                  <w:r>
                    <w:rPr>
                      <w:rFonts w:hint="eastAsia"/>
                      <w:szCs w:val="21"/>
                    </w:rPr>
                    <w:t>3.0</w:t>
                  </w:r>
                </w:p>
              </w:tc>
              <w:tc>
                <w:tcPr>
                  <w:tcW w:w="1114" w:type="dxa"/>
                  <w:noWrap w:val="0"/>
                  <w:vAlign w:val="center"/>
                </w:tcPr>
                <w:p>
                  <w:pPr>
                    <w:jc w:val="center"/>
                    <w:rPr>
                      <w:szCs w:val="21"/>
                    </w:rPr>
                  </w:pPr>
                  <w:r>
                    <w:rPr>
                      <w:szCs w:val="21"/>
                    </w:rPr>
                    <w:t>12</w:t>
                  </w:r>
                  <w:r>
                    <w:rPr>
                      <w:rFonts w:hint="eastAsia"/>
                      <w:szCs w:val="21"/>
                    </w:rPr>
                    <w:t>.0</w:t>
                  </w:r>
                </w:p>
              </w:tc>
              <w:tc>
                <w:tcPr>
                  <w:tcW w:w="1569" w:type="dxa"/>
                  <w:noWrap w:val="0"/>
                  <w:vAlign w:val="center"/>
                </w:tcPr>
                <w:p>
                  <w:pPr>
                    <w:jc w:val="center"/>
                    <w:rPr>
                      <w:szCs w:val="21"/>
                    </w:rPr>
                  </w:pPr>
                  <w:r>
                    <w:rPr>
                      <w:rFonts w:hint="eastAsia"/>
                      <w:szCs w:val="21"/>
                    </w:rPr>
                    <w:t>环评新增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0" w:hRule="exact"/>
              </w:trPr>
              <w:tc>
                <w:tcPr>
                  <w:tcW w:w="730" w:type="dxa"/>
                  <w:noWrap w:val="0"/>
                  <w:vAlign w:val="center"/>
                </w:tcPr>
                <w:p>
                  <w:pPr>
                    <w:spacing w:line="360" w:lineRule="auto"/>
                    <w:jc w:val="center"/>
                    <w:rPr>
                      <w:szCs w:val="21"/>
                    </w:rPr>
                  </w:pPr>
                  <w:r>
                    <w:rPr>
                      <w:rFonts w:hint="eastAsia"/>
                      <w:szCs w:val="21"/>
                    </w:rPr>
                    <w:t>3</w:t>
                  </w:r>
                </w:p>
              </w:tc>
              <w:tc>
                <w:tcPr>
                  <w:tcW w:w="3088" w:type="dxa"/>
                  <w:noWrap w:val="0"/>
                  <w:vAlign w:val="center"/>
                </w:tcPr>
                <w:p>
                  <w:pPr>
                    <w:jc w:val="center"/>
                    <w:rPr>
                      <w:szCs w:val="21"/>
                    </w:rPr>
                  </w:pPr>
                  <w:r>
                    <w:rPr>
                      <w:rFonts w:hint="eastAsia"/>
                      <w:szCs w:val="21"/>
                    </w:rPr>
                    <w:t>施工扬尘防治措施：洒水降尘、设置护牌和挡板等</w:t>
                  </w:r>
                </w:p>
              </w:tc>
              <w:tc>
                <w:tcPr>
                  <w:tcW w:w="1566" w:type="dxa"/>
                  <w:noWrap w:val="0"/>
                  <w:vAlign w:val="center"/>
                </w:tcPr>
                <w:p>
                  <w:pPr>
                    <w:spacing w:line="360" w:lineRule="auto"/>
                    <w:jc w:val="center"/>
                    <w:rPr>
                      <w:szCs w:val="21"/>
                    </w:rPr>
                  </w:pPr>
                </w:p>
              </w:tc>
              <w:tc>
                <w:tcPr>
                  <w:tcW w:w="993" w:type="dxa"/>
                  <w:noWrap w:val="0"/>
                  <w:vAlign w:val="center"/>
                </w:tcPr>
                <w:p>
                  <w:pPr>
                    <w:spacing w:line="360" w:lineRule="auto"/>
                    <w:jc w:val="center"/>
                    <w:rPr>
                      <w:szCs w:val="21"/>
                    </w:rPr>
                  </w:pPr>
                </w:p>
              </w:tc>
              <w:tc>
                <w:tcPr>
                  <w:tcW w:w="1114" w:type="dxa"/>
                  <w:noWrap w:val="0"/>
                  <w:vAlign w:val="center"/>
                </w:tcPr>
                <w:p>
                  <w:pPr>
                    <w:spacing w:line="360" w:lineRule="auto"/>
                    <w:jc w:val="center"/>
                    <w:rPr>
                      <w:szCs w:val="21"/>
                    </w:rPr>
                  </w:pPr>
                  <w:r>
                    <w:rPr>
                      <w:szCs w:val="21"/>
                    </w:rPr>
                    <w:t>10</w:t>
                  </w:r>
                  <w:r>
                    <w:rPr>
                      <w:rFonts w:hint="eastAsia"/>
                      <w:szCs w:val="21"/>
                    </w:rPr>
                    <w:t>.0</w:t>
                  </w:r>
                </w:p>
              </w:tc>
              <w:tc>
                <w:tcPr>
                  <w:tcW w:w="1569" w:type="dxa"/>
                  <w:noWrap w:val="0"/>
                  <w:vAlign w:val="center"/>
                </w:tcPr>
                <w:p>
                  <w:pPr>
                    <w:spacing w:line="360" w:lineRule="auto"/>
                    <w:jc w:val="center"/>
                    <w:rPr>
                      <w:szCs w:val="21"/>
                    </w:rPr>
                  </w:pPr>
                  <w:r>
                    <w:rPr>
                      <w:rFonts w:hint="eastAsia"/>
                      <w:szCs w:val="21"/>
                    </w:rPr>
                    <w:t>环评新增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rPr>
              <w:tc>
                <w:tcPr>
                  <w:tcW w:w="730" w:type="dxa"/>
                  <w:noWrap w:val="0"/>
                  <w:vAlign w:val="center"/>
                </w:tcPr>
                <w:p>
                  <w:pPr>
                    <w:spacing w:line="360" w:lineRule="auto"/>
                    <w:jc w:val="center"/>
                    <w:rPr>
                      <w:szCs w:val="21"/>
                    </w:rPr>
                  </w:pPr>
                  <w:r>
                    <w:rPr>
                      <w:rFonts w:hint="eastAsia"/>
                      <w:szCs w:val="21"/>
                    </w:rPr>
                    <w:t>4</w:t>
                  </w:r>
                </w:p>
              </w:tc>
              <w:tc>
                <w:tcPr>
                  <w:tcW w:w="3088" w:type="dxa"/>
                  <w:noWrap w:val="0"/>
                  <w:vAlign w:val="center"/>
                </w:tcPr>
                <w:p>
                  <w:pPr>
                    <w:spacing w:line="360" w:lineRule="auto"/>
                    <w:jc w:val="center"/>
                    <w:rPr>
                      <w:szCs w:val="21"/>
                    </w:rPr>
                  </w:pPr>
                  <w:r>
                    <w:rPr>
                      <w:rFonts w:hint="eastAsia"/>
                      <w:szCs w:val="21"/>
                    </w:rPr>
                    <w:t>施工建筑垃圾、生活垃圾清运费</w:t>
                  </w:r>
                </w:p>
              </w:tc>
              <w:tc>
                <w:tcPr>
                  <w:tcW w:w="1566" w:type="dxa"/>
                  <w:noWrap w:val="0"/>
                  <w:vAlign w:val="center"/>
                </w:tcPr>
                <w:p>
                  <w:pPr>
                    <w:spacing w:line="360" w:lineRule="auto"/>
                    <w:jc w:val="center"/>
                    <w:rPr>
                      <w:szCs w:val="21"/>
                    </w:rPr>
                  </w:pPr>
                </w:p>
              </w:tc>
              <w:tc>
                <w:tcPr>
                  <w:tcW w:w="993" w:type="dxa"/>
                  <w:noWrap w:val="0"/>
                  <w:vAlign w:val="center"/>
                </w:tcPr>
                <w:p>
                  <w:pPr>
                    <w:spacing w:line="360" w:lineRule="auto"/>
                    <w:jc w:val="center"/>
                    <w:rPr>
                      <w:szCs w:val="21"/>
                    </w:rPr>
                  </w:pPr>
                </w:p>
              </w:tc>
              <w:tc>
                <w:tcPr>
                  <w:tcW w:w="1114" w:type="dxa"/>
                  <w:noWrap w:val="0"/>
                  <w:vAlign w:val="center"/>
                </w:tcPr>
                <w:p>
                  <w:pPr>
                    <w:spacing w:line="360" w:lineRule="auto"/>
                    <w:jc w:val="center"/>
                    <w:rPr>
                      <w:szCs w:val="21"/>
                    </w:rPr>
                  </w:pPr>
                  <w:r>
                    <w:rPr>
                      <w:szCs w:val="21"/>
                    </w:rPr>
                    <w:t>50.</w:t>
                  </w:r>
                  <w:r>
                    <w:rPr>
                      <w:rFonts w:hint="eastAsia"/>
                      <w:szCs w:val="21"/>
                    </w:rPr>
                    <w:t>0</w:t>
                  </w:r>
                </w:p>
              </w:tc>
              <w:tc>
                <w:tcPr>
                  <w:tcW w:w="1569" w:type="dxa"/>
                  <w:noWrap w:val="0"/>
                  <w:vAlign w:val="center"/>
                </w:tcPr>
                <w:p>
                  <w:pPr>
                    <w:spacing w:line="360" w:lineRule="auto"/>
                    <w:jc w:val="center"/>
                    <w:rPr>
                      <w:szCs w:val="21"/>
                    </w:rPr>
                  </w:pPr>
                  <w:r>
                    <w:rPr>
                      <w:rFonts w:hint="eastAsia"/>
                      <w:szCs w:val="21"/>
                    </w:rPr>
                    <w:t>环评新增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75" w:hRule="exact"/>
              </w:trPr>
              <w:tc>
                <w:tcPr>
                  <w:tcW w:w="730" w:type="dxa"/>
                  <w:noWrap w:val="0"/>
                  <w:vAlign w:val="center"/>
                </w:tcPr>
                <w:p>
                  <w:pPr>
                    <w:spacing w:line="360" w:lineRule="auto"/>
                    <w:jc w:val="center"/>
                    <w:rPr>
                      <w:szCs w:val="21"/>
                    </w:rPr>
                  </w:pPr>
                  <w:r>
                    <w:rPr>
                      <w:rFonts w:hint="eastAsia"/>
                      <w:szCs w:val="21"/>
                    </w:rPr>
                    <w:t>5</w:t>
                  </w:r>
                </w:p>
              </w:tc>
              <w:tc>
                <w:tcPr>
                  <w:tcW w:w="3088" w:type="dxa"/>
                  <w:noWrap w:val="0"/>
                  <w:vAlign w:val="center"/>
                </w:tcPr>
                <w:p>
                  <w:pPr>
                    <w:spacing w:line="360" w:lineRule="auto"/>
                    <w:jc w:val="center"/>
                    <w:rPr>
                      <w:szCs w:val="21"/>
                    </w:rPr>
                  </w:pPr>
                  <w:r>
                    <w:rPr>
                      <w:rFonts w:hint="eastAsia"/>
                      <w:szCs w:val="21"/>
                    </w:rPr>
                    <w:t>化粪池</w:t>
                  </w:r>
                </w:p>
              </w:tc>
              <w:tc>
                <w:tcPr>
                  <w:tcW w:w="1566" w:type="dxa"/>
                  <w:noWrap w:val="0"/>
                  <w:vAlign w:val="center"/>
                </w:tcPr>
                <w:p>
                  <w:pPr>
                    <w:jc w:val="center"/>
                    <w:rPr>
                      <w:szCs w:val="21"/>
                    </w:rPr>
                  </w:pPr>
                  <w:r>
                    <w:rPr>
                      <w:szCs w:val="21"/>
                    </w:rPr>
                    <w:t>18</w:t>
                  </w:r>
                  <w:r>
                    <w:rPr>
                      <w:rFonts w:hint="eastAsia"/>
                      <w:szCs w:val="21"/>
                    </w:rPr>
                    <w:t>0m</w:t>
                  </w:r>
                  <w:r>
                    <w:rPr>
                      <w:rFonts w:hint="eastAsia"/>
                      <w:szCs w:val="21"/>
                      <w:vertAlign w:val="superscript"/>
                    </w:rPr>
                    <w:t>3</w:t>
                  </w:r>
                  <w:r>
                    <w:rPr>
                      <w:rFonts w:hint="eastAsia" w:ascii="宋体" w:hAnsi="宋体"/>
                      <w:szCs w:val="21"/>
                    </w:rPr>
                    <w:t>1</w:t>
                  </w:r>
                  <w:r>
                    <w:rPr>
                      <w:rFonts w:hint="eastAsia"/>
                      <w:szCs w:val="21"/>
                    </w:rPr>
                    <w:t>座，</w:t>
                  </w:r>
                  <w:r>
                    <w:rPr>
                      <w:szCs w:val="21"/>
                    </w:rPr>
                    <w:t>9</w:t>
                  </w:r>
                  <w:r>
                    <w:rPr>
                      <w:rFonts w:hint="eastAsia"/>
                      <w:szCs w:val="21"/>
                    </w:rPr>
                    <w:t>0</w:t>
                  </w:r>
                  <w:r>
                    <w:rPr>
                      <w:szCs w:val="21"/>
                    </w:rPr>
                    <w:t>m</w:t>
                  </w:r>
                  <w:r>
                    <w:rPr>
                      <w:szCs w:val="21"/>
                      <w:vertAlign w:val="superscript"/>
                    </w:rPr>
                    <w:t>3</w:t>
                  </w:r>
                  <w:r>
                    <w:rPr>
                      <w:rFonts w:hint="eastAsia"/>
                      <w:szCs w:val="21"/>
                    </w:rPr>
                    <w:t>座</w:t>
                  </w:r>
                </w:p>
              </w:tc>
              <w:tc>
                <w:tcPr>
                  <w:tcW w:w="993" w:type="dxa"/>
                  <w:noWrap w:val="0"/>
                  <w:vAlign w:val="center"/>
                </w:tcPr>
                <w:p>
                  <w:pPr>
                    <w:spacing w:line="360" w:lineRule="auto"/>
                    <w:jc w:val="center"/>
                    <w:rPr>
                      <w:szCs w:val="21"/>
                    </w:rPr>
                  </w:pPr>
                  <w:r>
                    <w:rPr>
                      <w:rFonts w:hint="eastAsia"/>
                      <w:szCs w:val="21"/>
                    </w:rPr>
                    <w:t>5.0</w:t>
                  </w:r>
                </w:p>
              </w:tc>
              <w:tc>
                <w:tcPr>
                  <w:tcW w:w="1114" w:type="dxa"/>
                  <w:noWrap w:val="0"/>
                  <w:vAlign w:val="center"/>
                </w:tcPr>
                <w:p>
                  <w:pPr>
                    <w:spacing w:line="360" w:lineRule="auto"/>
                    <w:jc w:val="center"/>
                    <w:rPr>
                      <w:szCs w:val="21"/>
                    </w:rPr>
                  </w:pPr>
                  <w:r>
                    <w:rPr>
                      <w:szCs w:val="21"/>
                    </w:rPr>
                    <w:t>10</w:t>
                  </w:r>
                  <w:r>
                    <w:rPr>
                      <w:rFonts w:hint="eastAsia"/>
                      <w:szCs w:val="21"/>
                    </w:rPr>
                    <w:t>.0</w:t>
                  </w:r>
                </w:p>
              </w:tc>
              <w:tc>
                <w:tcPr>
                  <w:tcW w:w="1569" w:type="dxa"/>
                  <w:noWrap w:val="0"/>
                  <w:vAlign w:val="center"/>
                </w:tcPr>
                <w:p>
                  <w:pPr>
                    <w:spacing w:line="360" w:lineRule="auto"/>
                    <w:jc w:val="center"/>
                    <w:rPr>
                      <w:szCs w:val="21"/>
                    </w:rPr>
                  </w:pPr>
                  <w:r>
                    <w:rPr>
                      <w:rFonts w:hint="eastAsia"/>
                      <w:szCs w:val="21"/>
                    </w:rPr>
                    <w:t>规划已有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70" w:hRule="exact"/>
              </w:trPr>
              <w:tc>
                <w:tcPr>
                  <w:tcW w:w="730" w:type="dxa"/>
                  <w:noWrap w:val="0"/>
                  <w:vAlign w:val="center"/>
                </w:tcPr>
                <w:p>
                  <w:pPr>
                    <w:spacing w:line="360" w:lineRule="auto"/>
                    <w:jc w:val="center"/>
                    <w:rPr>
                      <w:rFonts w:hint="eastAsia"/>
                      <w:szCs w:val="21"/>
                    </w:rPr>
                  </w:pPr>
                  <w:r>
                    <w:rPr>
                      <w:rFonts w:hint="eastAsia"/>
                      <w:szCs w:val="21"/>
                    </w:rPr>
                    <w:t>6</w:t>
                  </w:r>
                </w:p>
              </w:tc>
              <w:tc>
                <w:tcPr>
                  <w:tcW w:w="3088" w:type="dxa"/>
                  <w:noWrap w:val="0"/>
                  <w:vAlign w:val="center"/>
                </w:tcPr>
                <w:p>
                  <w:pPr>
                    <w:spacing w:line="360" w:lineRule="auto"/>
                    <w:jc w:val="center"/>
                    <w:rPr>
                      <w:rFonts w:hint="eastAsia"/>
                      <w:szCs w:val="21"/>
                    </w:rPr>
                  </w:pPr>
                  <w:r>
                    <w:rPr>
                      <w:rFonts w:hint="eastAsia"/>
                      <w:szCs w:val="21"/>
                    </w:rPr>
                    <w:t>中水</w:t>
                  </w:r>
                  <w:r>
                    <w:rPr>
                      <w:szCs w:val="21"/>
                    </w:rPr>
                    <w:t>回用</w:t>
                  </w:r>
                </w:p>
              </w:tc>
              <w:tc>
                <w:tcPr>
                  <w:tcW w:w="1566" w:type="dxa"/>
                  <w:noWrap w:val="0"/>
                  <w:vAlign w:val="center"/>
                </w:tcPr>
                <w:p>
                  <w:pPr>
                    <w:jc w:val="center"/>
                    <w:rPr>
                      <w:rFonts w:hint="eastAsia"/>
                      <w:szCs w:val="21"/>
                    </w:rPr>
                  </w:pPr>
                  <w:r>
                    <w:rPr>
                      <w:rFonts w:hint="eastAsia"/>
                      <w:szCs w:val="21"/>
                    </w:rPr>
                    <w:t>120 m</w:t>
                  </w:r>
                  <w:r>
                    <w:rPr>
                      <w:rFonts w:hint="eastAsia"/>
                      <w:szCs w:val="21"/>
                      <w:vertAlign w:val="superscript"/>
                    </w:rPr>
                    <w:t>3</w:t>
                  </w:r>
                  <w:r>
                    <w:rPr>
                      <w:rFonts w:hint="eastAsia" w:ascii="宋体" w:hAnsi="宋体"/>
                      <w:szCs w:val="21"/>
                    </w:rPr>
                    <w:t>1</w:t>
                  </w:r>
                  <w:r>
                    <w:rPr>
                      <w:rFonts w:hint="eastAsia"/>
                      <w:szCs w:val="21"/>
                    </w:rPr>
                    <w:t>座</w:t>
                  </w:r>
                </w:p>
              </w:tc>
              <w:tc>
                <w:tcPr>
                  <w:tcW w:w="993" w:type="dxa"/>
                  <w:noWrap w:val="0"/>
                  <w:vAlign w:val="center"/>
                </w:tcPr>
                <w:p>
                  <w:pPr>
                    <w:spacing w:line="360" w:lineRule="auto"/>
                    <w:jc w:val="center"/>
                    <w:rPr>
                      <w:rFonts w:hint="eastAsia"/>
                      <w:szCs w:val="21"/>
                    </w:rPr>
                  </w:pPr>
                  <w:r>
                    <w:rPr>
                      <w:szCs w:val="21"/>
                    </w:rPr>
                    <w:t>40</w:t>
                  </w:r>
                </w:p>
              </w:tc>
              <w:tc>
                <w:tcPr>
                  <w:tcW w:w="1114" w:type="dxa"/>
                  <w:noWrap w:val="0"/>
                  <w:vAlign w:val="center"/>
                </w:tcPr>
                <w:p>
                  <w:pPr>
                    <w:spacing w:line="360" w:lineRule="auto"/>
                    <w:jc w:val="center"/>
                    <w:rPr>
                      <w:szCs w:val="21"/>
                    </w:rPr>
                  </w:pPr>
                  <w:r>
                    <w:rPr>
                      <w:szCs w:val="21"/>
                    </w:rPr>
                    <w:t>40</w:t>
                  </w:r>
                  <w:r>
                    <w:rPr>
                      <w:rFonts w:hint="eastAsia"/>
                      <w:szCs w:val="21"/>
                    </w:rPr>
                    <w:t>.0</w:t>
                  </w:r>
                </w:p>
              </w:tc>
              <w:tc>
                <w:tcPr>
                  <w:tcW w:w="1569" w:type="dxa"/>
                  <w:noWrap w:val="0"/>
                  <w:vAlign w:val="center"/>
                </w:tcPr>
                <w:p>
                  <w:pPr>
                    <w:spacing w:line="360" w:lineRule="auto"/>
                    <w:jc w:val="center"/>
                    <w:rPr>
                      <w:rFonts w:hint="eastAsia"/>
                      <w:szCs w:val="21"/>
                    </w:rPr>
                  </w:pPr>
                  <w:r>
                    <w:rPr>
                      <w:rFonts w:hint="eastAsia"/>
                      <w:szCs w:val="21"/>
                    </w:rPr>
                    <w:t>规划已有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rPr>
              <w:tc>
                <w:tcPr>
                  <w:tcW w:w="730" w:type="dxa"/>
                  <w:noWrap w:val="0"/>
                  <w:vAlign w:val="center"/>
                </w:tcPr>
                <w:p>
                  <w:pPr>
                    <w:spacing w:line="360" w:lineRule="auto"/>
                    <w:jc w:val="center"/>
                    <w:rPr>
                      <w:szCs w:val="21"/>
                    </w:rPr>
                  </w:pPr>
                  <w:r>
                    <w:rPr>
                      <w:szCs w:val="21"/>
                    </w:rPr>
                    <w:t>7</w:t>
                  </w:r>
                </w:p>
              </w:tc>
              <w:tc>
                <w:tcPr>
                  <w:tcW w:w="3088" w:type="dxa"/>
                  <w:noWrap w:val="0"/>
                  <w:vAlign w:val="center"/>
                </w:tcPr>
                <w:p>
                  <w:pPr>
                    <w:spacing w:line="360" w:lineRule="auto"/>
                    <w:jc w:val="center"/>
                    <w:rPr>
                      <w:szCs w:val="21"/>
                    </w:rPr>
                  </w:pPr>
                  <w:r>
                    <w:rPr>
                      <w:rFonts w:hint="eastAsia"/>
                      <w:szCs w:val="21"/>
                    </w:rPr>
                    <w:t>雨污分流管网</w:t>
                  </w:r>
                </w:p>
              </w:tc>
              <w:tc>
                <w:tcPr>
                  <w:tcW w:w="1566" w:type="dxa"/>
                  <w:noWrap w:val="0"/>
                  <w:vAlign w:val="center"/>
                </w:tcPr>
                <w:p>
                  <w:pPr>
                    <w:jc w:val="center"/>
                    <w:rPr>
                      <w:szCs w:val="21"/>
                    </w:rPr>
                  </w:pPr>
                  <w:r>
                    <w:rPr>
                      <w:szCs w:val="21"/>
                    </w:rPr>
                    <w:t>2</w:t>
                  </w:r>
                  <w:r>
                    <w:rPr>
                      <w:rFonts w:hAnsi="宋体"/>
                      <w:szCs w:val="21"/>
                    </w:rPr>
                    <w:t>套</w:t>
                  </w:r>
                </w:p>
              </w:tc>
              <w:tc>
                <w:tcPr>
                  <w:tcW w:w="993" w:type="dxa"/>
                  <w:noWrap w:val="0"/>
                  <w:vAlign w:val="center"/>
                </w:tcPr>
                <w:p>
                  <w:pPr>
                    <w:jc w:val="center"/>
                    <w:rPr>
                      <w:szCs w:val="21"/>
                    </w:rPr>
                  </w:pPr>
                  <w:r>
                    <w:rPr>
                      <w:rFonts w:hint="eastAsia"/>
                      <w:szCs w:val="21"/>
                    </w:rPr>
                    <w:t>10.0</w:t>
                  </w:r>
                </w:p>
              </w:tc>
              <w:tc>
                <w:tcPr>
                  <w:tcW w:w="1114" w:type="dxa"/>
                  <w:noWrap w:val="0"/>
                  <w:vAlign w:val="center"/>
                </w:tcPr>
                <w:p>
                  <w:pPr>
                    <w:jc w:val="center"/>
                    <w:rPr>
                      <w:szCs w:val="21"/>
                    </w:rPr>
                  </w:pPr>
                  <w:r>
                    <w:rPr>
                      <w:rFonts w:hint="eastAsia"/>
                      <w:szCs w:val="21"/>
                    </w:rPr>
                    <w:t>10.0</w:t>
                  </w:r>
                </w:p>
              </w:tc>
              <w:tc>
                <w:tcPr>
                  <w:tcW w:w="1569" w:type="dxa"/>
                  <w:noWrap w:val="0"/>
                  <w:vAlign w:val="center"/>
                </w:tcPr>
                <w:p>
                  <w:pPr>
                    <w:spacing w:line="360" w:lineRule="auto"/>
                    <w:jc w:val="center"/>
                    <w:rPr>
                      <w:szCs w:val="21"/>
                    </w:rPr>
                  </w:pPr>
                  <w:r>
                    <w:rPr>
                      <w:rFonts w:hint="eastAsia"/>
                      <w:szCs w:val="21"/>
                    </w:rPr>
                    <w:t>规划已有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rPr>
              <w:tc>
                <w:tcPr>
                  <w:tcW w:w="730" w:type="dxa"/>
                  <w:noWrap w:val="0"/>
                  <w:vAlign w:val="center"/>
                </w:tcPr>
                <w:p>
                  <w:pPr>
                    <w:spacing w:line="360" w:lineRule="auto"/>
                    <w:jc w:val="center"/>
                    <w:rPr>
                      <w:szCs w:val="21"/>
                    </w:rPr>
                  </w:pPr>
                  <w:r>
                    <w:rPr>
                      <w:rFonts w:hint="eastAsia"/>
                      <w:szCs w:val="21"/>
                    </w:rPr>
                    <w:t>8</w:t>
                  </w:r>
                </w:p>
              </w:tc>
              <w:tc>
                <w:tcPr>
                  <w:tcW w:w="3088" w:type="dxa"/>
                  <w:noWrap w:val="0"/>
                  <w:vAlign w:val="center"/>
                </w:tcPr>
                <w:p>
                  <w:pPr>
                    <w:spacing w:line="360" w:lineRule="auto"/>
                    <w:jc w:val="center"/>
                    <w:rPr>
                      <w:szCs w:val="21"/>
                    </w:rPr>
                  </w:pPr>
                  <w:r>
                    <w:rPr>
                      <w:rFonts w:hint="eastAsia"/>
                      <w:szCs w:val="21"/>
                    </w:rPr>
                    <w:t>垃圾收集系统</w:t>
                  </w:r>
                </w:p>
              </w:tc>
              <w:tc>
                <w:tcPr>
                  <w:tcW w:w="1566" w:type="dxa"/>
                  <w:noWrap w:val="0"/>
                  <w:vAlign w:val="center"/>
                </w:tcPr>
                <w:p>
                  <w:pPr>
                    <w:spacing w:line="360" w:lineRule="auto"/>
                    <w:jc w:val="center"/>
                    <w:rPr>
                      <w:szCs w:val="21"/>
                    </w:rPr>
                  </w:pPr>
                </w:p>
              </w:tc>
              <w:tc>
                <w:tcPr>
                  <w:tcW w:w="993" w:type="dxa"/>
                  <w:noWrap w:val="0"/>
                  <w:vAlign w:val="center"/>
                </w:tcPr>
                <w:p>
                  <w:pPr>
                    <w:spacing w:line="360" w:lineRule="auto"/>
                    <w:jc w:val="center"/>
                    <w:rPr>
                      <w:szCs w:val="21"/>
                    </w:rPr>
                  </w:pPr>
                </w:p>
              </w:tc>
              <w:tc>
                <w:tcPr>
                  <w:tcW w:w="1114" w:type="dxa"/>
                  <w:noWrap w:val="0"/>
                  <w:vAlign w:val="center"/>
                </w:tcPr>
                <w:p>
                  <w:pPr>
                    <w:spacing w:line="360" w:lineRule="auto"/>
                    <w:jc w:val="center"/>
                    <w:rPr>
                      <w:szCs w:val="21"/>
                    </w:rPr>
                  </w:pPr>
                  <w:r>
                    <w:rPr>
                      <w:rFonts w:hint="eastAsia"/>
                      <w:szCs w:val="21"/>
                    </w:rPr>
                    <w:t>6.0</w:t>
                  </w:r>
                </w:p>
              </w:tc>
              <w:tc>
                <w:tcPr>
                  <w:tcW w:w="1569" w:type="dxa"/>
                  <w:noWrap w:val="0"/>
                  <w:vAlign w:val="center"/>
                </w:tcPr>
                <w:p>
                  <w:pPr>
                    <w:spacing w:line="360" w:lineRule="auto"/>
                    <w:jc w:val="center"/>
                    <w:rPr>
                      <w:szCs w:val="21"/>
                    </w:rPr>
                  </w:pPr>
                  <w:r>
                    <w:rPr>
                      <w:rFonts w:hint="eastAsia"/>
                      <w:szCs w:val="21"/>
                    </w:rPr>
                    <w:t>规划已有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rPr>
              <w:tc>
                <w:tcPr>
                  <w:tcW w:w="730" w:type="dxa"/>
                  <w:noWrap w:val="0"/>
                  <w:vAlign w:val="center"/>
                </w:tcPr>
                <w:p>
                  <w:pPr>
                    <w:spacing w:line="360" w:lineRule="auto"/>
                    <w:jc w:val="center"/>
                    <w:rPr>
                      <w:szCs w:val="21"/>
                    </w:rPr>
                  </w:pPr>
                  <w:r>
                    <w:rPr>
                      <w:rFonts w:hint="eastAsia"/>
                      <w:szCs w:val="21"/>
                    </w:rPr>
                    <w:t>9</w:t>
                  </w:r>
                </w:p>
              </w:tc>
              <w:tc>
                <w:tcPr>
                  <w:tcW w:w="3088" w:type="dxa"/>
                  <w:noWrap w:val="0"/>
                  <w:vAlign w:val="center"/>
                </w:tcPr>
                <w:p>
                  <w:pPr>
                    <w:spacing w:line="360" w:lineRule="auto"/>
                    <w:jc w:val="center"/>
                    <w:rPr>
                      <w:szCs w:val="21"/>
                    </w:rPr>
                  </w:pPr>
                  <w:r>
                    <w:rPr>
                      <w:rFonts w:hint="eastAsia"/>
                      <w:szCs w:val="21"/>
                    </w:rPr>
                    <w:t>绿化</w:t>
                  </w:r>
                </w:p>
              </w:tc>
              <w:tc>
                <w:tcPr>
                  <w:tcW w:w="1566" w:type="dxa"/>
                  <w:noWrap w:val="0"/>
                  <w:vAlign w:val="center"/>
                </w:tcPr>
                <w:p>
                  <w:pPr>
                    <w:spacing w:line="360" w:lineRule="auto"/>
                    <w:jc w:val="center"/>
                    <w:rPr>
                      <w:szCs w:val="21"/>
                    </w:rPr>
                  </w:pPr>
                </w:p>
              </w:tc>
              <w:tc>
                <w:tcPr>
                  <w:tcW w:w="993" w:type="dxa"/>
                  <w:noWrap w:val="0"/>
                  <w:vAlign w:val="center"/>
                </w:tcPr>
                <w:p>
                  <w:pPr>
                    <w:spacing w:line="360" w:lineRule="auto"/>
                    <w:jc w:val="center"/>
                    <w:rPr>
                      <w:szCs w:val="21"/>
                    </w:rPr>
                  </w:pPr>
                </w:p>
              </w:tc>
              <w:tc>
                <w:tcPr>
                  <w:tcW w:w="1114" w:type="dxa"/>
                  <w:noWrap w:val="0"/>
                  <w:vAlign w:val="center"/>
                </w:tcPr>
                <w:p>
                  <w:pPr>
                    <w:spacing w:line="360" w:lineRule="auto"/>
                    <w:jc w:val="center"/>
                    <w:rPr>
                      <w:szCs w:val="21"/>
                    </w:rPr>
                  </w:pPr>
                  <w:r>
                    <w:rPr>
                      <w:szCs w:val="21"/>
                    </w:rPr>
                    <w:t>78</w:t>
                  </w:r>
                  <w:r>
                    <w:rPr>
                      <w:rFonts w:hint="eastAsia"/>
                      <w:szCs w:val="21"/>
                    </w:rPr>
                    <w:t>.0</w:t>
                  </w:r>
                </w:p>
              </w:tc>
              <w:tc>
                <w:tcPr>
                  <w:tcW w:w="1569" w:type="dxa"/>
                  <w:noWrap w:val="0"/>
                  <w:vAlign w:val="center"/>
                </w:tcPr>
                <w:p>
                  <w:pPr>
                    <w:spacing w:line="360" w:lineRule="auto"/>
                    <w:jc w:val="center"/>
                    <w:rPr>
                      <w:szCs w:val="21"/>
                    </w:rPr>
                  </w:pPr>
                  <w:r>
                    <w:rPr>
                      <w:rFonts w:hint="eastAsia"/>
                      <w:szCs w:val="21"/>
                    </w:rPr>
                    <w:t>规划已有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rPr>
              <w:tc>
                <w:tcPr>
                  <w:tcW w:w="730" w:type="dxa"/>
                  <w:noWrap w:val="0"/>
                  <w:vAlign w:val="center"/>
                </w:tcPr>
                <w:p>
                  <w:pPr>
                    <w:spacing w:line="360" w:lineRule="auto"/>
                    <w:jc w:val="center"/>
                    <w:rPr>
                      <w:szCs w:val="21"/>
                    </w:rPr>
                  </w:pPr>
                  <w:r>
                    <w:rPr>
                      <w:rFonts w:hint="eastAsia"/>
                      <w:szCs w:val="21"/>
                    </w:rPr>
                    <w:t>10</w:t>
                  </w:r>
                </w:p>
              </w:tc>
              <w:tc>
                <w:tcPr>
                  <w:tcW w:w="3088" w:type="dxa"/>
                  <w:noWrap w:val="0"/>
                  <w:vAlign w:val="center"/>
                </w:tcPr>
                <w:p>
                  <w:pPr>
                    <w:spacing w:line="360" w:lineRule="auto"/>
                    <w:jc w:val="center"/>
                    <w:rPr>
                      <w:szCs w:val="21"/>
                    </w:rPr>
                  </w:pPr>
                  <w:r>
                    <w:rPr>
                      <w:rFonts w:hint="eastAsia"/>
                      <w:szCs w:val="21"/>
                    </w:rPr>
                    <w:t>项目竣工环境保护验收费</w:t>
                  </w:r>
                </w:p>
              </w:tc>
              <w:tc>
                <w:tcPr>
                  <w:tcW w:w="1566" w:type="dxa"/>
                  <w:noWrap w:val="0"/>
                  <w:vAlign w:val="center"/>
                </w:tcPr>
                <w:p>
                  <w:pPr>
                    <w:spacing w:line="360" w:lineRule="auto"/>
                    <w:jc w:val="center"/>
                    <w:rPr>
                      <w:szCs w:val="21"/>
                    </w:rPr>
                  </w:pPr>
                </w:p>
              </w:tc>
              <w:tc>
                <w:tcPr>
                  <w:tcW w:w="993" w:type="dxa"/>
                  <w:noWrap w:val="0"/>
                  <w:vAlign w:val="center"/>
                </w:tcPr>
                <w:p>
                  <w:pPr>
                    <w:spacing w:line="360" w:lineRule="auto"/>
                    <w:jc w:val="center"/>
                    <w:rPr>
                      <w:szCs w:val="21"/>
                    </w:rPr>
                  </w:pPr>
                </w:p>
              </w:tc>
              <w:tc>
                <w:tcPr>
                  <w:tcW w:w="1114" w:type="dxa"/>
                  <w:noWrap w:val="0"/>
                  <w:vAlign w:val="center"/>
                </w:tcPr>
                <w:p>
                  <w:pPr>
                    <w:spacing w:line="360" w:lineRule="auto"/>
                    <w:jc w:val="center"/>
                    <w:rPr>
                      <w:szCs w:val="21"/>
                    </w:rPr>
                  </w:pPr>
                  <w:r>
                    <w:rPr>
                      <w:rFonts w:hint="eastAsia"/>
                      <w:szCs w:val="21"/>
                    </w:rPr>
                    <w:t>5.0</w:t>
                  </w:r>
                </w:p>
              </w:tc>
              <w:tc>
                <w:tcPr>
                  <w:tcW w:w="1569" w:type="dxa"/>
                  <w:noWrap w:val="0"/>
                  <w:vAlign w:val="center"/>
                </w:tcPr>
                <w:p>
                  <w:pPr>
                    <w:spacing w:line="360" w:lineRule="auto"/>
                    <w:jc w:val="center"/>
                    <w:rPr>
                      <w:szCs w:val="21"/>
                    </w:rPr>
                  </w:pPr>
                  <w:r>
                    <w:rPr>
                      <w:rFonts w:hint="eastAsia"/>
                      <w:szCs w:val="21"/>
                    </w:rPr>
                    <w:t>环评新增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rPr>
              <w:tc>
                <w:tcPr>
                  <w:tcW w:w="3818" w:type="dxa"/>
                  <w:gridSpan w:val="2"/>
                  <w:noWrap w:val="0"/>
                  <w:vAlign w:val="center"/>
                </w:tcPr>
                <w:p>
                  <w:pPr>
                    <w:spacing w:line="360" w:lineRule="auto"/>
                    <w:jc w:val="center"/>
                    <w:rPr>
                      <w:szCs w:val="21"/>
                    </w:rPr>
                  </w:pPr>
                  <w:r>
                    <w:rPr>
                      <w:rFonts w:hint="eastAsia"/>
                      <w:szCs w:val="21"/>
                    </w:rPr>
                    <w:t>合计</w:t>
                  </w:r>
                </w:p>
              </w:tc>
              <w:tc>
                <w:tcPr>
                  <w:tcW w:w="1566" w:type="dxa"/>
                  <w:noWrap w:val="0"/>
                  <w:vAlign w:val="center"/>
                </w:tcPr>
                <w:p>
                  <w:pPr>
                    <w:spacing w:line="360" w:lineRule="auto"/>
                    <w:jc w:val="center"/>
                    <w:rPr>
                      <w:szCs w:val="21"/>
                    </w:rPr>
                  </w:pPr>
                </w:p>
              </w:tc>
              <w:tc>
                <w:tcPr>
                  <w:tcW w:w="993" w:type="dxa"/>
                  <w:noWrap w:val="0"/>
                  <w:vAlign w:val="center"/>
                </w:tcPr>
                <w:p>
                  <w:pPr>
                    <w:spacing w:line="360" w:lineRule="auto"/>
                    <w:jc w:val="center"/>
                    <w:rPr>
                      <w:szCs w:val="21"/>
                    </w:rPr>
                  </w:pPr>
                </w:p>
              </w:tc>
              <w:tc>
                <w:tcPr>
                  <w:tcW w:w="1114" w:type="dxa"/>
                  <w:noWrap w:val="0"/>
                  <w:vAlign w:val="center"/>
                </w:tcPr>
                <w:p>
                  <w:pPr>
                    <w:spacing w:line="360" w:lineRule="auto"/>
                    <w:jc w:val="center"/>
                    <w:rPr>
                      <w:szCs w:val="21"/>
                    </w:rPr>
                  </w:pPr>
                  <w:r>
                    <w:rPr>
                      <w:szCs w:val="21"/>
                    </w:rPr>
                    <w:t>225</w:t>
                  </w:r>
                </w:p>
              </w:tc>
              <w:tc>
                <w:tcPr>
                  <w:tcW w:w="1569" w:type="dxa"/>
                  <w:noWrap w:val="0"/>
                  <w:vAlign w:val="center"/>
                </w:tcPr>
                <w:p>
                  <w:pPr>
                    <w:spacing w:line="360" w:lineRule="auto"/>
                    <w:jc w:val="center"/>
                    <w:rPr>
                      <w:szCs w:val="21"/>
                    </w:rPr>
                  </w:pPr>
                </w:p>
              </w:tc>
            </w:tr>
          </w:tbl>
          <w:p>
            <w:pPr>
              <w:spacing w:line="360" w:lineRule="auto"/>
              <w:rPr>
                <w:color w:val="FF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9286" w:type="dxa"/>
            <w:gridSpan w:val="13"/>
            <w:noWrap w:val="0"/>
            <w:vAlign w:val="top"/>
          </w:tcPr>
          <w:p>
            <w:pPr>
              <w:spacing w:line="360" w:lineRule="auto"/>
              <w:rPr>
                <w:b/>
                <w:sz w:val="28"/>
                <w:szCs w:val="28"/>
              </w:rPr>
            </w:pPr>
            <w:r>
              <w:rPr>
                <w:rFonts w:hAnsi="宋体"/>
                <w:b/>
                <w:sz w:val="28"/>
                <w:szCs w:val="28"/>
              </w:rPr>
              <w:t>与本项目有关的原有污染情况及主要环境问题</w:t>
            </w:r>
          </w:p>
          <w:p>
            <w:pPr>
              <w:spacing w:line="360" w:lineRule="auto"/>
              <w:ind w:firstLine="352" w:firstLineChars="147"/>
              <w:rPr>
                <w:rFonts w:hAnsi="宋体"/>
                <w:sz w:val="24"/>
              </w:rPr>
            </w:pPr>
            <w:r>
              <w:rPr>
                <w:rFonts w:hAnsi="宋体"/>
                <w:sz w:val="24"/>
              </w:rPr>
              <w:t>本项目为新建</w:t>
            </w:r>
            <w:r>
              <w:rPr>
                <w:rFonts w:hint="eastAsia" w:hAnsi="宋体"/>
                <w:sz w:val="24"/>
              </w:rPr>
              <w:t>项目</w:t>
            </w:r>
            <w:r>
              <w:rPr>
                <w:rFonts w:hAnsi="宋体"/>
                <w:sz w:val="24"/>
              </w:rPr>
              <w:t>，不存在原有污染问题。</w:t>
            </w:r>
            <w:r>
              <w:rPr>
                <w:rFonts w:hint="eastAsia" w:hAnsi="宋体"/>
                <w:sz w:val="24"/>
              </w:rPr>
              <w:t>项目的用地上有</w:t>
            </w:r>
            <w:r>
              <w:rPr>
                <w:rFonts w:hAnsi="宋体"/>
                <w:sz w:val="24"/>
              </w:rPr>
              <w:t>部分建筑</w:t>
            </w:r>
            <w:r>
              <w:rPr>
                <w:rFonts w:hint="eastAsia" w:hAnsi="宋体"/>
                <w:sz w:val="24"/>
              </w:rPr>
              <w:t>，</w:t>
            </w:r>
            <w:r>
              <w:rPr>
                <w:rFonts w:hAnsi="宋体"/>
                <w:sz w:val="24"/>
              </w:rPr>
              <w:t>主要为农牧局原办公楼和</w:t>
            </w:r>
            <w:r>
              <w:rPr>
                <w:rFonts w:hint="eastAsia" w:hAnsi="宋体"/>
                <w:sz w:val="24"/>
              </w:rPr>
              <w:t>宅基地</w:t>
            </w:r>
            <w:r>
              <w:rPr>
                <w:rFonts w:hAnsi="宋体"/>
                <w:sz w:val="24"/>
              </w:rPr>
              <w:t>，拆除后即可</w:t>
            </w:r>
            <w:r>
              <w:rPr>
                <w:rFonts w:hint="eastAsia" w:hAnsi="宋体"/>
                <w:sz w:val="24"/>
              </w:rPr>
              <w:t>满足项目的建设条件。</w:t>
            </w:r>
          </w:p>
          <w:p>
            <w:pPr>
              <w:spacing w:line="360" w:lineRule="auto"/>
              <w:ind w:firstLine="480"/>
              <w:rPr>
                <w:rFonts w:hint="eastAsia"/>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tc>
      </w:tr>
    </w:tbl>
    <w:p>
      <w:pPr>
        <w:pStyle w:val="3"/>
        <w:keepNext w:val="0"/>
        <w:pageBreakBefore/>
        <w:widowControl/>
        <w:autoSpaceDE w:val="0"/>
        <w:autoSpaceDN w:val="0"/>
        <w:adjustRightInd w:val="0"/>
        <w:jc w:val="left"/>
        <w:rPr>
          <w:b/>
          <w:spacing w:val="20"/>
          <w:kern w:val="0"/>
          <w:sz w:val="32"/>
          <w:szCs w:val="30"/>
        </w:rPr>
      </w:pPr>
      <w:bookmarkStart w:id="12" w:name="_Toc57972426"/>
      <w:r>
        <w:rPr>
          <w:rFonts w:hint="eastAsia" w:hAnsi="宋体"/>
          <w:b/>
          <w:spacing w:val="20"/>
          <w:kern w:val="0"/>
          <w:sz w:val="32"/>
          <w:szCs w:val="30"/>
        </w:rPr>
        <w:t xml:space="preserve">表二 </w:t>
      </w:r>
      <w:r>
        <w:rPr>
          <w:rFonts w:hAnsi="宋体"/>
          <w:b/>
          <w:spacing w:val="20"/>
          <w:kern w:val="0"/>
          <w:sz w:val="32"/>
          <w:szCs w:val="30"/>
        </w:rPr>
        <w:t>建设项目所在地自然环境社会环境简况</w:t>
      </w:r>
      <w:bookmarkEnd w:id="12"/>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9286" w:type="dxa"/>
            <w:noWrap w:val="0"/>
            <w:vAlign w:val="top"/>
          </w:tcPr>
          <w:p>
            <w:pPr>
              <w:spacing w:line="360" w:lineRule="auto"/>
              <w:rPr>
                <w:b/>
                <w:spacing w:val="-6"/>
                <w:sz w:val="24"/>
              </w:rPr>
            </w:pPr>
            <w:r>
              <w:rPr>
                <w:rFonts w:hAnsi="宋体"/>
                <w:b/>
                <w:spacing w:val="-6"/>
                <w:sz w:val="24"/>
              </w:rPr>
              <w:t>自然环境简况</w:t>
            </w:r>
            <w:r>
              <w:rPr>
                <w:rFonts w:hint="eastAsia"/>
                <w:b/>
                <w:spacing w:val="-6"/>
                <w:sz w:val="24"/>
              </w:rPr>
              <w:t>（</w:t>
            </w:r>
            <w:r>
              <w:rPr>
                <w:rFonts w:hAnsi="宋体"/>
                <w:b/>
                <w:spacing w:val="-6"/>
                <w:sz w:val="24"/>
              </w:rPr>
              <w:t>地形、地貌、地质、气候、气象、水文、植被、生物多样性等</w:t>
            </w:r>
            <w:r>
              <w:rPr>
                <w:rFonts w:hint="eastAsia"/>
                <w:b/>
                <w:spacing w:val="-6"/>
                <w:sz w:val="24"/>
              </w:rPr>
              <w:t>）</w:t>
            </w:r>
            <w:r>
              <w:rPr>
                <w:rFonts w:hAnsi="宋体"/>
                <w:b/>
                <w:spacing w:val="-6"/>
                <w:sz w:val="24"/>
              </w:rPr>
              <w:t>：</w:t>
            </w:r>
          </w:p>
          <w:p>
            <w:pPr>
              <w:spacing w:before="156" w:beforeLines="50" w:line="360" w:lineRule="auto"/>
              <w:ind w:firstLine="482" w:firstLineChars="200"/>
              <w:rPr>
                <w:b/>
                <w:sz w:val="24"/>
              </w:rPr>
            </w:pPr>
            <w:r>
              <w:rPr>
                <w:rFonts w:hAnsi="宋体"/>
                <w:b/>
                <w:sz w:val="24"/>
              </w:rPr>
              <w:t>一、地理位置</w:t>
            </w:r>
          </w:p>
          <w:p>
            <w:pPr>
              <w:pStyle w:val="17"/>
              <w:spacing w:after="0" w:line="360" w:lineRule="auto"/>
              <w:ind w:right="-94" w:firstLine="480" w:firstLineChars="200"/>
              <w:rPr>
                <w:sz w:val="24"/>
              </w:rPr>
            </w:pPr>
            <w:r>
              <w:rPr>
                <w:sz w:val="24"/>
              </w:rPr>
              <w:t>维西是全国唯一的傈僳族自治县，位于云南省西北高原迪庆藏族自治州的西南部，地处青藏高原向云贵高原的过渡带，是世界顶级旅游品牌人间仙境、世外桃源“维西”的重要组成部分，隶属于迪庆藏族自治州，是云南省三个藏区之一。地理坐标东经98°54′～99°34′，北纬26°53′～28°02′，东北邻维西县，东南邻丽江市玉龙县，南接怒江州兰坪县，西与怒江州的贡山县、福贡县接壤。全县总面积4661km</w:t>
            </w:r>
            <w:r>
              <w:rPr>
                <w:sz w:val="24"/>
                <w:vertAlign w:val="superscript"/>
              </w:rPr>
              <w:t>2</w:t>
            </w:r>
            <w:r>
              <w:rPr>
                <w:sz w:val="24"/>
              </w:rPr>
              <w:t>，南北纵距122km，东西横距70km，县人民政府驻地保和镇海拔2320m，距省府昆明698km，距州府驻地维西219km。</w:t>
            </w:r>
          </w:p>
          <w:p>
            <w:pPr>
              <w:autoSpaceDE w:val="0"/>
              <w:autoSpaceDN w:val="0"/>
              <w:adjustRightInd w:val="0"/>
              <w:spacing w:line="360" w:lineRule="auto"/>
              <w:ind w:firstLine="480" w:firstLineChars="200"/>
              <w:rPr>
                <w:sz w:val="24"/>
              </w:rPr>
            </w:pPr>
            <w:r>
              <w:rPr>
                <w:rFonts w:hint="eastAsia"/>
                <w:sz w:val="24"/>
              </w:rPr>
              <w:t>本项目建设地点为</w:t>
            </w:r>
            <w:r>
              <w:rPr>
                <w:sz w:val="24"/>
              </w:rPr>
              <w:t>保和镇</w:t>
            </w:r>
            <w:r>
              <w:rPr>
                <w:rFonts w:hint="eastAsia"/>
                <w:sz w:val="24"/>
              </w:rPr>
              <w:t>，保和镇</w:t>
            </w:r>
            <w:r>
              <w:rPr>
                <w:sz w:val="24"/>
              </w:rPr>
              <w:t>位于云南维西县，永春河东岸宝华山麓，东、南、北三面与永春乡接壤，西与维登、中路两乡毗连，面积约14平方公里。其地势自西向东倾斜，背靠雪龙山，面临永春河。建设项目具体地图位置见附图1。</w:t>
            </w:r>
          </w:p>
          <w:p>
            <w:pPr>
              <w:spacing w:before="156" w:beforeLines="50" w:line="360" w:lineRule="auto"/>
              <w:ind w:firstLine="482" w:firstLineChars="200"/>
              <w:rPr>
                <w:rFonts w:hAnsi="宋体"/>
                <w:b/>
                <w:sz w:val="24"/>
              </w:rPr>
            </w:pPr>
            <w:r>
              <w:rPr>
                <w:rFonts w:hAnsi="宋体"/>
                <w:b/>
                <w:sz w:val="24"/>
              </w:rPr>
              <w:t>二、地形、地貌、地质</w:t>
            </w:r>
          </w:p>
          <w:p>
            <w:pPr>
              <w:autoSpaceDE w:val="0"/>
              <w:autoSpaceDN w:val="0"/>
              <w:adjustRightInd w:val="0"/>
              <w:spacing w:line="360" w:lineRule="auto"/>
              <w:ind w:firstLine="480" w:firstLineChars="200"/>
              <w:rPr>
                <w:sz w:val="24"/>
              </w:rPr>
            </w:pPr>
            <w:r>
              <w:rPr>
                <w:sz w:val="24"/>
              </w:rPr>
              <w:t>维西境内最高海拔4880m，最低海拔1486m，海拔高差为3394m，山势以高山峡谷为主，呈北高南低状，地形险峻，山势陡峭，沟壑纵横地形地貌。项目所在地处于维西县保和镇，项目场地属于第四系冲洪积山间盆地地貌，地势平坦。平均海拔2192m。</w:t>
            </w:r>
          </w:p>
          <w:p>
            <w:pPr>
              <w:autoSpaceDE w:val="0"/>
              <w:autoSpaceDN w:val="0"/>
              <w:adjustRightInd w:val="0"/>
              <w:spacing w:line="360" w:lineRule="auto"/>
              <w:ind w:firstLine="480" w:firstLineChars="200"/>
              <w:rPr>
                <w:sz w:val="24"/>
              </w:rPr>
            </w:pPr>
            <w:r>
              <w:rPr>
                <w:sz w:val="24"/>
              </w:rPr>
              <w:t>由于受构造运动的强烈影响，评价区内岩石变质程度较高，多以片岩、片麻岩或千枚岩为主，岩石破碎、裂隙发育，抗风化能力弱，其强风化层厚度达5～20m。区内出露的主要地层由新至老。</w:t>
            </w:r>
          </w:p>
          <w:p>
            <w:pPr>
              <w:pStyle w:val="17"/>
              <w:spacing w:after="0" w:line="360" w:lineRule="auto"/>
              <w:ind w:right="-94" w:firstLine="480" w:firstLineChars="200"/>
              <w:rPr>
                <w:color w:val="FF0000"/>
                <w:sz w:val="24"/>
              </w:rPr>
            </w:pPr>
            <w:r>
              <w:rPr>
                <w:sz w:val="24"/>
              </w:rPr>
              <w:t>根据区域大地构造划分，维西县城大地构造位置位于云岭褶皱带，南北向德钦～玉龙山断裂带与金沙江～哀牢山断裂带之间，两条断层活动较弱，区域地质构造上北西向分布的紧密褶皱和压扭、张扭性断裂发育。工程区顺断裂带由南向北发育，沟道由西向东发育，场地构造运动处于渐歇性上升地区，先后沉积了第四系卵石，三叠系上统石钟山组（T</w:t>
            </w:r>
            <w:r>
              <w:rPr>
                <w:sz w:val="24"/>
                <w:vertAlign w:val="subscript"/>
              </w:rPr>
              <w:t>3</w:t>
            </w:r>
            <w:r>
              <w:rPr>
                <w:sz w:val="24"/>
              </w:rPr>
              <w:t>s</w:t>
            </w:r>
            <w:r>
              <w:rPr>
                <w:sz w:val="24"/>
                <w:vertAlign w:val="subscript"/>
              </w:rPr>
              <w:t>2</w:t>
            </w:r>
            <w:r>
              <w:rPr>
                <w:sz w:val="24"/>
              </w:rPr>
              <w:t>）灰岩、泥灰岩，第四系（Q）由于新构造运动下降时，在水流下游堆积了砂、卵石，地壳上升时，河水下降，两岸的地层被切割。</w:t>
            </w:r>
          </w:p>
          <w:p>
            <w:pPr>
              <w:spacing w:before="156" w:beforeLines="50" w:line="360" w:lineRule="auto"/>
              <w:ind w:firstLine="482" w:firstLineChars="200"/>
              <w:rPr>
                <w:rFonts w:hint="eastAsia" w:hAnsi="宋体"/>
                <w:b/>
                <w:sz w:val="24"/>
              </w:rPr>
            </w:pPr>
            <w:r>
              <w:rPr>
                <w:rFonts w:hint="eastAsia" w:hAnsi="宋体"/>
                <w:b/>
                <w:sz w:val="24"/>
              </w:rPr>
              <w:t>三、气候气象</w:t>
            </w:r>
          </w:p>
          <w:p>
            <w:pPr>
              <w:spacing w:line="360" w:lineRule="auto"/>
              <w:ind w:firstLine="480" w:firstLineChars="200"/>
              <w:rPr>
                <w:sz w:val="24"/>
              </w:rPr>
            </w:pPr>
            <w:r>
              <w:rPr>
                <w:sz w:val="24"/>
              </w:rPr>
              <w:t>维西县境气候属季风气候，年平均气温≥10</w:t>
            </w:r>
            <w:r>
              <w:rPr>
                <w:rFonts w:hint="eastAsia"/>
                <w:sz w:val="24"/>
              </w:rPr>
              <w:t>℃</w:t>
            </w:r>
            <w:r>
              <w:rPr>
                <w:sz w:val="24"/>
              </w:rPr>
              <w:t>，极端最高气温31.9</w:t>
            </w:r>
            <w:r>
              <w:rPr>
                <w:rFonts w:hint="eastAsia"/>
                <w:sz w:val="24"/>
              </w:rPr>
              <w:t>℃</w:t>
            </w:r>
            <w:r>
              <w:rPr>
                <w:sz w:val="24"/>
              </w:rPr>
              <w:t>，极端最低气温-8.9</w:t>
            </w:r>
            <w:r>
              <w:rPr>
                <w:rFonts w:hint="eastAsia"/>
                <w:sz w:val="24"/>
              </w:rPr>
              <w:t>℃</w:t>
            </w:r>
            <w:r>
              <w:rPr>
                <w:sz w:val="24"/>
              </w:rPr>
              <w:t>；年平均日照时数2103.2h。该地域降水介于怒江多雨区与金沙江干热河谷少雨区之间。年平均降水量966.0mm。</w:t>
            </w:r>
            <w:r>
              <w:rPr>
                <w:rFonts w:hint="eastAsia"/>
                <w:sz w:val="24"/>
              </w:rPr>
              <w:t>维西县全年盛行风向为南风，</w:t>
            </w:r>
            <w:r>
              <w:rPr>
                <w:sz w:val="24"/>
              </w:rPr>
              <w:t>最大风速为19m/s，平均风速1.5 m/s。平均霜期169天，最长霜期为197天，最短霜期为153天。历年初雪日平均在12月10日，终雪日平均在3月19日，年最大雪深38cm。积雪日数历年平均7天，最长17天。降雪日数历年平均在11天，最多降雪日数34天；最少降雪日数1天。海拔3700m为积雪限临界，以上者属积雪区。年际冻土期235～291天。</w:t>
            </w:r>
          </w:p>
          <w:p>
            <w:pPr>
              <w:spacing w:before="156" w:beforeLines="50" w:line="360" w:lineRule="auto"/>
              <w:ind w:firstLine="482" w:firstLineChars="200"/>
              <w:rPr>
                <w:rFonts w:hint="eastAsia" w:hAnsi="宋体"/>
                <w:b/>
                <w:sz w:val="24"/>
              </w:rPr>
            </w:pPr>
            <w:r>
              <w:rPr>
                <w:rFonts w:hint="eastAsia" w:hAnsi="宋体"/>
                <w:b/>
                <w:sz w:val="24"/>
              </w:rPr>
              <w:t>四、水文</w:t>
            </w:r>
          </w:p>
          <w:p>
            <w:pPr>
              <w:spacing w:line="360" w:lineRule="auto"/>
              <w:ind w:firstLine="480" w:firstLineChars="200"/>
              <w:rPr>
                <w:sz w:val="24"/>
              </w:rPr>
            </w:pPr>
            <w:r>
              <w:rPr>
                <w:sz w:val="24"/>
              </w:rPr>
              <w:t>项目周边水系为澜沧江流域，涉及的地表水为</w:t>
            </w:r>
            <w:r>
              <w:rPr>
                <w:rFonts w:hint="eastAsia"/>
                <w:sz w:val="24"/>
              </w:rPr>
              <w:t>：</w:t>
            </w:r>
            <w:r>
              <w:rPr>
                <w:rFonts w:hint="eastAsia" w:ascii="宋体" w:hAnsi="宋体" w:cs="宋体"/>
                <w:sz w:val="24"/>
              </w:rPr>
              <w:t>永春河及其支流头道河</w:t>
            </w:r>
            <w:r>
              <w:rPr>
                <w:sz w:val="24"/>
              </w:rPr>
              <w:t>。项目水系情况见附图4。</w:t>
            </w:r>
          </w:p>
          <w:p>
            <w:pPr>
              <w:adjustRightInd w:val="0"/>
              <w:spacing w:line="360" w:lineRule="auto"/>
              <w:ind w:firstLine="480" w:firstLineChars="200"/>
              <w:rPr>
                <w:sz w:val="24"/>
              </w:rPr>
            </w:pPr>
            <w:r>
              <w:rPr>
                <w:sz w:val="24"/>
              </w:rPr>
              <w:t>永春河：属澜沧江左岸一级支流，发源于维西县与丽江市玉龙县交界的栗地坪快活林，河源高程3156m，流域面积811km</w:t>
            </w:r>
            <w:r>
              <w:rPr>
                <w:sz w:val="24"/>
                <w:vertAlign w:val="superscript"/>
              </w:rPr>
              <w:t>2</w:t>
            </w:r>
            <w:r>
              <w:rPr>
                <w:sz w:val="24"/>
              </w:rPr>
              <w:t>，河长60km，落差1500m，河道平均比降25%。永春河流域多年平均降水量1132mm，多年平均径流量4.76亿m</w:t>
            </w:r>
            <w:r>
              <w:rPr>
                <w:sz w:val="24"/>
                <w:vertAlign w:val="superscript"/>
              </w:rPr>
              <w:t>3</w:t>
            </w:r>
            <w:r>
              <w:rPr>
                <w:sz w:val="24"/>
              </w:rPr>
              <w:t>。</w:t>
            </w:r>
            <w:bookmarkStart w:id="13" w:name="_Toc407058644"/>
          </w:p>
          <w:p>
            <w:pPr>
              <w:spacing w:before="156" w:beforeLines="50" w:line="360" w:lineRule="auto"/>
              <w:ind w:firstLine="482" w:firstLineChars="200"/>
              <w:rPr>
                <w:rFonts w:hAnsi="宋体"/>
                <w:b/>
                <w:sz w:val="24"/>
              </w:rPr>
            </w:pPr>
            <w:bookmarkStart w:id="14" w:name="_Toc464483732"/>
            <w:r>
              <w:rPr>
                <w:rFonts w:hint="eastAsia" w:hAnsi="宋体"/>
                <w:b/>
                <w:sz w:val="24"/>
              </w:rPr>
              <w:t>五、新构造运动及地震</w:t>
            </w:r>
            <w:bookmarkEnd w:id="14"/>
          </w:p>
          <w:p>
            <w:pPr>
              <w:spacing w:line="360" w:lineRule="auto"/>
              <w:ind w:firstLine="480" w:firstLineChars="200"/>
              <w:rPr>
                <w:sz w:val="24"/>
              </w:rPr>
            </w:pPr>
            <w:r>
              <w:rPr>
                <w:rFonts w:hint="eastAsia"/>
                <w:sz w:val="24"/>
              </w:rPr>
              <w:t>区域属青藏高原东南缘横断山区，为三江地槽褶皱系与扬子准地台的衔接部位，区域深大断裂发育</w:t>
            </w:r>
            <w:r>
              <w:rPr>
                <w:sz w:val="24"/>
              </w:rPr>
              <w:t>,</w:t>
            </w:r>
            <w:r>
              <w:rPr>
                <w:rFonts w:hint="eastAsia"/>
                <w:sz w:val="24"/>
              </w:rPr>
              <w:t>控制着地质构造单元的边界及地震带的分布，勘察区属于三江褶皱系的维西褶皱带，属兰坪</w:t>
            </w:r>
            <w:r>
              <w:rPr>
                <w:sz w:val="24"/>
              </w:rPr>
              <w:t>—</w:t>
            </w:r>
            <w:r>
              <w:rPr>
                <w:rFonts w:hint="eastAsia"/>
                <w:sz w:val="24"/>
              </w:rPr>
              <w:t>永平</w:t>
            </w:r>
            <w:r>
              <w:rPr>
                <w:sz w:val="24"/>
              </w:rPr>
              <w:t>—</w:t>
            </w:r>
            <w:r>
              <w:rPr>
                <w:rFonts w:hint="eastAsia"/>
                <w:sz w:val="24"/>
              </w:rPr>
              <w:t>保山地震带，新构造运动迹象表现明显，地震活动频繁，区域历史上发生过最大地震震级为</w:t>
            </w:r>
            <w:r>
              <w:rPr>
                <w:sz w:val="24"/>
              </w:rPr>
              <w:t>7</w:t>
            </w:r>
            <w:r>
              <w:rPr>
                <w:rFonts w:hint="eastAsia"/>
                <w:sz w:val="24"/>
              </w:rPr>
              <w:t>级，大于</w:t>
            </w:r>
            <w:r>
              <w:rPr>
                <w:sz w:val="24"/>
              </w:rPr>
              <w:t>6</w:t>
            </w:r>
            <w:r>
              <w:rPr>
                <w:rFonts w:hint="eastAsia"/>
                <w:sz w:val="24"/>
              </w:rPr>
              <w:t>级地震共发生过</w:t>
            </w:r>
            <w:r>
              <w:rPr>
                <w:sz w:val="24"/>
              </w:rPr>
              <w:t>32</w:t>
            </w:r>
            <w:r>
              <w:rPr>
                <w:rFonts w:hint="eastAsia"/>
                <w:sz w:val="24"/>
              </w:rPr>
              <w:t>次。</w:t>
            </w:r>
          </w:p>
          <w:p>
            <w:pPr>
              <w:spacing w:line="360" w:lineRule="auto"/>
              <w:ind w:firstLine="480" w:firstLineChars="200"/>
              <w:rPr>
                <w:rFonts w:hint="eastAsia"/>
                <w:sz w:val="24"/>
              </w:rPr>
            </w:pPr>
            <w:r>
              <w:rPr>
                <w:rFonts w:hint="eastAsia"/>
                <w:sz w:val="24"/>
              </w:rPr>
              <w:t>根据《建筑抗震设计规范》（</w:t>
            </w:r>
            <w:r>
              <w:rPr>
                <w:sz w:val="24"/>
              </w:rPr>
              <w:t>GB50011</w:t>
            </w:r>
            <w:r>
              <w:rPr>
                <w:rFonts w:hint="eastAsia"/>
                <w:sz w:val="24"/>
              </w:rPr>
              <w:t>－</w:t>
            </w:r>
            <w:r>
              <w:rPr>
                <w:sz w:val="24"/>
              </w:rPr>
              <w:t>2001</w:t>
            </w:r>
            <w:r>
              <w:rPr>
                <w:rFonts w:hint="eastAsia"/>
                <w:sz w:val="24"/>
              </w:rPr>
              <w:t>），区内抗震设防烈度为</w:t>
            </w:r>
            <w:r>
              <w:rPr>
                <w:sz w:val="24"/>
              </w:rPr>
              <w:t>7</w:t>
            </w:r>
            <w:r>
              <w:rPr>
                <w:rFonts w:hint="eastAsia"/>
                <w:sz w:val="24"/>
              </w:rPr>
              <w:t>度，设计地震基本加速度值为</w:t>
            </w:r>
            <w:r>
              <w:rPr>
                <w:sz w:val="24"/>
              </w:rPr>
              <w:t>0.10g</w:t>
            </w:r>
            <w:r>
              <w:rPr>
                <w:rFonts w:hint="eastAsia"/>
                <w:sz w:val="24"/>
              </w:rPr>
              <w:t>，第三组；地震动反映谱特征周期为</w:t>
            </w:r>
            <w:r>
              <w:rPr>
                <w:sz w:val="24"/>
              </w:rPr>
              <w:t>0.45s</w:t>
            </w:r>
            <w:r>
              <w:rPr>
                <w:rFonts w:hint="eastAsia"/>
                <w:sz w:val="24"/>
              </w:rPr>
              <w:t>。属区域地壳次稳定区。</w:t>
            </w:r>
          </w:p>
          <w:p>
            <w:pPr>
              <w:spacing w:before="156" w:beforeLines="50" w:line="360" w:lineRule="auto"/>
              <w:ind w:firstLine="482" w:firstLineChars="200"/>
              <w:rPr>
                <w:rFonts w:hAnsi="宋体"/>
                <w:b/>
                <w:sz w:val="24"/>
              </w:rPr>
            </w:pPr>
            <w:bookmarkStart w:id="15" w:name="_Toc464483734"/>
            <w:r>
              <w:rPr>
                <w:rFonts w:hint="eastAsia" w:hAnsi="宋体"/>
                <w:b/>
                <w:sz w:val="24"/>
              </w:rPr>
              <w:t>六、土壤</w:t>
            </w:r>
            <w:bookmarkEnd w:id="15"/>
          </w:p>
          <w:p>
            <w:pPr>
              <w:spacing w:line="360" w:lineRule="auto"/>
              <w:ind w:firstLine="480" w:firstLineChars="200"/>
              <w:rPr>
                <w:sz w:val="24"/>
              </w:rPr>
            </w:pPr>
            <w:r>
              <w:rPr>
                <w:rFonts w:hint="eastAsia"/>
                <w:sz w:val="24"/>
              </w:rPr>
              <w:t>维西县境内的澜沧江流域，垂直分布的土壤从低海拔至高海拔依次发育的有黄壤、黄棕壤、棕壤、暗棕壤、棕色暗针叶林土、高山草甸土等</w:t>
            </w:r>
            <w:r>
              <w:rPr>
                <w:sz w:val="24"/>
              </w:rPr>
              <w:t>6</w:t>
            </w:r>
            <w:r>
              <w:rPr>
                <w:rFonts w:hint="eastAsia"/>
                <w:sz w:val="24"/>
              </w:rPr>
              <w:t>中地带性土壤，此外，还有三种非地带性土类为水稻土、紫色土和石灰土。</w:t>
            </w:r>
          </w:p>
          <w:p>
            <w:pPr>
              <w:adjustRightInd w:val="0"/>
              <w:spacing w:line="360" w:lineRule="auto"/>
              <w:ind w:firstLine="480" w:firstLineChars="200"/>
              <w:rPr>
                <w:rFonts w:hint="eastAsia"/>
                <w:color w:val="FF0000"/>
                <w:sz w:val="24"/>
              </w:rPr>
            </w:pPr>
            <w:r>
              <w:rPr>
                <w:rFonts w:hint="eastAsia"/>
                <w:sz w:val="24"/>
              </w:rPr>
              <w:t>项目区及周边主要分布有黄棕壤。</w:t>
            </w:r>
          </w:p>
          <w:bookmarkEnd w:id="13"/>
          <w:p>
            <w:pPr>
              <w:spacing w:before="156" w:beforeLines="50" w:line="360" w:lineRule="auto"/>
              <w:ind w:firstLine="482" w:firstLineChars="200"/>
              <w:rPr>
                <w:rFonts w:hAnsi="宋体"/>
                <w:b/>
                <w:sz w:val="24"/>
              </w:rPr>
            </w:pPr>
            <w:r>
              <w:rPr>
                <w:rFonts w:hint="eastAsia" w:hAnsi="宋体"/>
                <w:b/>
                <w:sz w:val="24"/>
              </w:rPr>
              <w:t>七、</w:t>
            </w:r>
            <w:r>
              <w:rPr>
                <w:rFonts w:hAnsi="宋体"/>
                <w:b/>
                <w:sz w:val="24"/>
              </w:rPr>
              <w:t>植被、生物多样性</w:t>
            </w:r>
          </w:p>
          <w:p>
            <w:pPr>
              <w:widowControl/>
              <w:spacing w:line="360" w:lineRule="auto"/>
              <w:ind w:firstLine="480" w:firstLineChars="200"/>
              <w:rPr>
                <w:kern w:val="0"/>
                <w:sz w:val="24"/>
                <w:szCs w:val="20"/>
              </w:rPr>
            </w:pPr>
            <w:r>
              <w:rPr>
                <w:rFonts w:hint="eastAsia"/>
                <w:kern w:val="0"/>
                <w:sz w:val="24"/>
                <w:szCs w:val="20"/>
              </w:rPr>
              <w:t>维西县现有森林植被面积为</w:t>
            </w:r>
            <w:r>
              <w:rPr>
                <w:kern w:val="0"/>
                <w:sz w:val="24"/>
                <w:szCs w:val="20"/>
              </w:rPr>
              <w:t>3242km</w:t>
            </w:r>
            <w:r>
              <w:rPr>
                <w:kern w:val="0"/>
                <w:sz w:val="24"/>
                <w:szCs w:val="20"/>
                <w:vertAlign w:val="superscript"/>
              </w:rPr>
              <w:t>2</w:t>
            </w:r>
            <w:r>
              <w:rPr>
                <w:rFonts w:hint="eastAsia"/>
                <w:kern w:val="0"/>
                <w:sz w:val="24"/>
                <w:szCs w:val="20"/>
              </w:rPr>
              <w:t>，森林植被覆盖率76.2</w:t>
            </w:r>
            <w:r>
              <w:rPr>
                <w:kern w:val="0"/>
                <w:sz w:val="24"/>
                <w:szCs w:val="20"/>
              </w:rPr>
              <w:t>%</w:t>
            </w:r>
            <w:r>
              <w:rPr>
                <w:rFonts w:hint="eastAsia"/>
                <w:kern w:val="0"/>
                <w:sz w:val="24"/>
                <w:szCs w:val="20"/>
              </w:rPr>
              <w:t>。陆生植被呈现明显的垂直分布，海拔</w:t>
            </w:r>
            <w:r>
              <w:rPr>
                <w:kern w:val="0"/>
                <w:sz w:val="24"/>
                <w:szCs w:val="20"/>
              </w:rPr>
              <w:t>2600m</w:t>
            </w:r>
            <w:r>
              <w:rPr>
                <w:rFonts w:hint="eastAsia"/>
                <w:kern w:val="0"/>
                <w:sz w:val="24"/>
                <w:szCs w:val="20"/>
              </w:rPr>
              <w:t>以下为河谷半山暖热针叶、阔叶林；</w:t>
            </w:r>
            <w:r>
              <w:rPr>
                <w:kern w:val="0"/>
                <w:sz w:val="24"/>
                <w:szCs w:val="20"/>
              </w:rPr>
              <w:t>2600m</w:t>
            </w:r>
            <w:r>
              <w:rPr>
                <w:rFonts w:hint="eastAsia"/>
                <w:kern w:val="0"/>
                <w:sz w:val="24"/>
                <w:szCs w:val="20"/>
              </w:rPr>
              <w:t>～</w:t>
            </w:r>
            <w:r>
              <w:rPr>
                <w:kern w:val="0"/>
                <w:sz w:val="24"/>
                <w:szCs w:val="20"/>
              </w:rPr>
              <w:t>3000m</w:t>
            </w:r>
            <w:r>
              <w:rPr>
                <w:rFonts w:hint="eastAsia"/>
                <w:kern w:val="0"/>
                <w:sz w:val="24"/>
                <w:szCs w:val="20"/>
              </w:rPr>
              <w:t>为暖温性中山云南松阔叶混交林；</w:t>
            </w:r>
            <w:r>
              <w:rPr>
                <w:kern w:val="0"/>
                <w:sz w:val="24"/>
                <w:szCs w:val="20"/>
              </w:rPr>
              <w:t>3000m</w:t>
            </w:r>
            <w:r>
              <w:rPr>
                <w:rFonts w:hint="eastAsia"/>
                <w:kern w:val="0"/>
                <w:sz w:val="24"/>
                <w:szCs w:val="20"/>
              </w:rPr>
              <w:t>～</w:t>
            </w:r>
            <w:r>
              <w:rPr>
                <w:kern w:val="0"/>
                <w:sz w:val="24"/>
                <w:szCs w:val="20"/>
              </w:rPr>
              <w:t>4000m</w:t>
            </w:r>
            <w:r>
              <w:rPr>
                <w:rFonts w:hint="eastAsia"/>
                <w:kern w:val="0"/>
                <w:sz w:val="24"/>
                <w:szCs w:val="20"/>
              </w:rPr>
              <w:t>为寒温性带云、冷杉带；</w:t>
            </w:r>
            <w:r>
              <w:rPr>
                <w:kern w:val="0"/>
                <w:sz w:val="24"/>
                <w:szCs w:val="20"/>
              </w:rPr>
              <w:t>3800m</w:t>
            </w:r>
            <w:r>
              <w:rPr>
                <w:rFonts w:hint="eastAsia"/>
                <w:kern w:val="0"/>
                <w:sz w:val="24"/>
                <w:szCs w:val="20"/>
              </w:rPr>
              <w:t>～</w:t>
            </w:r>
            <w:r>
              <w:rPr>
                <w:kern w:val="0"/>
                <w:sz w:val="24"/>
                <w:szCs w:val="20"/>
              </w:rPr>
              <w:t>4100m</w:t>
            </w:r>
            <w:r>
              <w:rPr>
                <w:rFonts w:hint="eastAsia"/>
                <w:kern w:val="0"/>
                <w:sz w:val="24"/>
                <w:szCs w:val="20"/>
              </w:rPr>
              <w:t>为亚高山草甸植被带。</w:t>
            </w:r>
          </w:p>
          <w:p>
            <w:pPr>
              <w:adjustRightInd w:val="0"/>
              <w:spacing w:line="360" w:lineRule="auto"/>
              <w:ind w:firstLine="480" w:firstLineChars="200"/>
              <w:rPr>
                <w:rFonts w:hint="eastAsia"/>
                <w:color w:val="FF0000"/>
                <w:sz w:val="24"/>
              </w:rPr>
            </w:pPr>
            <w:r>
              <w:rPr>
                <w:rFonts w:hint="eastAsia"/>
                <w:kern w:val="0"/>
                <w:sz w:val="24"/>
              </w:rPr>
              <w:t>项目占地为城市规划区，</w:t>
            </w:r>
            <w:r>
              <w:rPr>
                <w:rFonts w:hint="eastAsia"/>
                <w:kern w:val="0"/>
                <w:sz w:val="24"/>
                <w:szCs w:val="20"/>
              </w:rPr>
              <w:t>植被为一些常见林木、荒草和矮小灌木。</w:t>
            </w:r>
          </w:p>
          <w:p>
            <w:pPr>
              <w:spacing w:line="360" w:lineRule="auto"/>
              <w:ind w:firstLine="480" w:firstLineChars="200"/>
              <w:rPr>
                <w:rFonts w:hint="eastAsia"/>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color w:val="FF0000"/>
                <w:sz w:val="24"/>
              </w:rPr>
            </w:pPr>
          </w:p>
          <w:p>
            <w:pPr>
              <w:spacing w:line="360" w:lineRule="auto"/>
              <w:ind w:firstLine="480" w:firstLineChars="200"/>
              <w:rPr>
                <w:rFonts w:hint="eastAsia"/>
                <w:color w:val="FF0000"/>
                <w:sz w:val="24"/>
              </w:rPr>
            </w:pPr>
          </w:p>
          <w:p>
            <w:pPr>
              <w:spacing w:line="360" w:lineRule="auto"/>
              <w:rPr>
                <w:rFonts w:hint="eastAsia"/>
                <w:color w:val="FF0000"/>
                <w:sz w:val="24"/>
              </w:rPr>
            </w:pPr>
          </w:p>
          <w:p>
            <w:pPr>
              <w:spacing w:line="360" w:lineRule="auto"/>
              <w:ind w:firstLine="480" w:firstLineChars="200"/>
              <w:rPr>
                <w:rFonts w:hint="eastAsia"/>
                <w:color w:val="FF0000"/>
                <w:sz w:val="24"/>
              </w:rPr>
            </w:pPr>
          </w:p>
          <w:p>
            <w:pPr>
              <w:spacing w:line="360" w:lineRule="auto"/>
              <w:ind w:firstLine="480" w:firstLineChars="200"/>
              <w:rPr>
                <w:rFonts w:hAnsi="宋体"/>
                <w:color w:val="FF0000"/>
                <w:sz w:val="24"/>
              </w:rPr>
            </w:pPr>
          </w:p>
        </w:tc>
      </w:tr>
    </w:tbl>
    <w:p>
      <w:pPr>
        <w:pStyle w:val="3"/>
        <w:keepNext w:val="0"/>
        <w:pageBreakBefore/>
        <w:widowControl/>
        <w:autoSpaceDE w:val="0"/>
        <w:autoSpaceDN w:val="0"/>
        <w:adjustRightInd w:val="0"/>
        <w:jc w:val="left"/>
        <w:rPr>
          <w:b/>
          <w:spacing w:val="20"/>
          <w:kern w:val="0"/>
          <w:sz w:val="32"/>
          <w:szCs w:val="30"/>
        </w:rPr>
      </w:pPr>
      <w:bookmarkStart w:id="16" w:name="_Toc57972427"/>
      <w:r>
        <w:rPr>
          <w:rFonts w:hint="eastAsia" w:hAnsi="宋体"/>
          <w:b/>
          <w:spacing w:val="20"/>
          <w:kern w:val="0"/>
          <w:sz w:val="32"/>
          <w:szCs w:val="30"/>
        </w:rPr>
        <w:t xml:space="preserve">表三 </w:t>
      </w:r>
      <w:r>
        <w:rPr>
          <w:rFonts w:hAnsi="宋体"/>
          <w:b/>
          <w:spacing w:val="20"/>
          <w:kern w:val="0"/>
          <w:sz w:val="32"/>
          <w:szCs w:val="30"/>
        </w:rPr>
        <w:t>环境质量状况</w:t>
      </w:r>
      <w:bookmarkEnd w:id="16"/>
    </w:p>
    <w:tbl>
      <w:tblPr>
        <w:tblStyle w:val="3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2864" w:hRule="atLeast"/>
          <w:jc w:val="center"/>
        </w:trPr>
        <w:tc>
          <w:tcPr>
            <w:tcW w:w="9416" w:type="dxa"/>
            <w:tcBorders>
              <w:top w:val="single" w:color="auto" w:sz="12" w:space="0"/>
              <w:left w:val="single" w:color="auto" w:sz="12" w:space="0"/>
              <w:right w:val="single" w:color="auto" w:sz="12" w:space="0"/>
            </w:tcBorders>
            <w:noWrap w:val="0"/>
            <w:vAlign w:val="top"/>
          </w:tcPr>
          <w:p>
            <w:pPr>
              <w:spacing w:line="360" w:lineRule="auto"/>
              <w:rPr>
                <w:b/>
                <w:sz w:val="28"/>
              </w:rPr>
            </w:pPr>
            <w:r>
              <w:rPr>
                <w:rFonts w:hAnsi="宋体"/>
                <w:b/>
                <w:sz w:val="28"/>
              </w:rPr>
              <w:t>建设项目所在地区域环境质量现状及主要环境问题</w:t>
            </w:r>
            <w:r>
              <w:rPr>
                <w:b/>
                <w:sz w:val="28"/>
              </w:rPr>
              <w:t>(</w:t>
            </w:r>
            <w:r>
              <w:rPr>
                <w:rFonts w:hAnsi="宋体"/>
                <w:b/>
                <w:sz w:val="28"/>
              </w:rPr>
              <w:t>环境空气、地面水、地下水、声环境、生态环境等</w:t>
            </w:r>
            <w:r>
              <w:rPr>
                <w:b/>
                <w:sz w:val="28"/>
              </w:rPr>
              <w:t>)</w:t>
            </w:r>
          </w:p>
          <w:p>
            <w:pPr>
              <w:spacing w:line="360" w:lineRule="auto"/>
              <w:ind w:firstLine="482" w:firstLineChars="200"/>
              <w:rPr>
                <w:b/>
                <w:sz w:val="24"/>
              </w:rPr>
            </w:pPr>
            <w:r>
              <w:rPr>
                <w:b/>
                <w:sz w:val="24"/>
              </w:rPr>
              <w:t>1</w:t>
            </w:r>
            <w:r>
              <w:rPr>
                <w:rFonts w:hAnsi="宋体"/>
                <w:b/>
                <w:sz w:val="24"/>
              </w:rPr>
              <w:t>、环境空气质量状况：</w:t>
            </w:r>
          </w:p>
          <w:p>
            <w:pPr>
              <w:spacing w:line="360" w:lineRule="auto"/>
              <w:ind w:firstLine="480" w:firstLineChars="200"/>
              <w:rPr>
                <w:sz w:val="24"/>
              </w:rPr>
            </w:pPr>
            <w:r>
              <w:rPr>
                <w:rFonts w:hAnsi="宋体"/>
                <w:sz w:val="24"/>
              </w:rPr>
              <w:t>项目位于</w:t>
            </w:r>
            <w:r>
              <w:rPr>
                <w:rFonts w:hint="eastAsia" w:hAnsi="宋体"/>
                <w:sz w:val="24"/>
              </w:rPr>
              <w:t>维西县保和镇，根据</w:t>
            </w:r>
            <w:r>
              <w:rPr>
                <w:rFonts w:hAnsi="宋体"/>
                <w:sz w:val="24"/>
              </w:rPr>
              <w:t>现场调查，评价区内无大型的工业污染源。</w:t>
            </w:r>
            <w:r>
              <w:rPr>
                <w:rFonts w:hint="eastAsia"/>
                <w:sz w:val="24"/>
              </w:rPr>
              <w:t>项目所在区域执行GB3095-2012</w:t>
            </w:r>
            <w:r>
              <w:rPr>
                <w:sz w:val="24"/>
              </w:rPr>
              <w:t>《环境空气质量标准》</w:t>
            </w:r>
            <w:r>
              <w:rPr>
                <w:rFonts w:hint="eastAsia"/>
                <w:sz w:val="24"/>
              </w:rPr>
              <w:t>中的</w:t>
            </w:r>
            <w:r>
              <w:rPr>
                <w:sz w:val="24"/>
              </w:rPr>
              <w:t>二级标准</w:t>
            </w:r>
            <w:r>
              <w:rPr>
                <w:rFonts w:hint="eastAsia"/>
                <w:sz w:val="24"/>
              </w:rPr>
              <w:t>。</w:t>
            </w:r>
            <w:r>
              <w:rPr>
                <w:rFonts w:hint="eastAsia" w:cs="Arial"/>
                <w:sz w:val="24"/>
              </w:rPr>
              <w:t>根据《2019年迪庆州环境状况公报》，维西县总采样天数为339天，优为274天，良为65天；优良率100%，达到或优于二级天数比例100%</w:t>
            </w:r>
            <w:r>
              <w:rPr>
                <w:rFonts w:hint="eastAsia"/>
                <w:sz w:val="24"/>
              </w:rPr>
              <w:t>。环评认为项目所在区域空气环境质量能满足GB3095-2012</w:t>
            </w:r>
            <w:r>
              <w:rPr>
                <w:sz w:val="24"/>
              </w:rPr>
              <w:t>《环境空气质量标准》</w:t>
            </w:r>
            <w:r>
              <w:rPr>
                <w:rFonts w:hint="eastAsia"/>
                <w:sz w:val="24"/>
              </w:rPr>
              <w:t>中的</w:t>
            </w:r>
            <w:r>
              <w:rPr>
                <w:sz w:val="24"/>
              </w:rPr>
              <w:t>二级标准，为达标区</w:t>
            </w:r>
            <w:r>
              <w:rPr>
                <w:rFonts w:hint="eastAsia"/>
                <w:sz w:val="24"/>
              </w:rPr>
              <w:t>。</w:t>
            </w:r>
          </w:p>
          <w:p>
            <w:pPr>
              <w:spacing w:line="360" w:lineRule="auto"/>
              <w:ind w:firstLine="480" w:firstLineChars="200"/>
              <w:rPr>
                <w:rFonts w:hint="eastAsia" w:hAnsi="宋体"/>
                <w:sz w:val="24"/>
              </w:rPr>
            </w:pPr>
            <w:r>
              <w:rPr>
                <w:rFonts w:hAnsi="宋体"/>
                <w:sz w:val="24"/>
              </w:rPr>
              <w:t>现状主要的环境空气污染为汽车尾气和扬尘</w:t>
            </w:r>
            <w:r>
              <w:rPr>
                <w:rFonts w:hint="eastAsia" w:hAnsi="宋体"/>
                <w:sz w:val="24"/>
              </w:rPr>
              <w:t>及附近</w:t>
            </w:r>
            <w:r>
              <w:rPr>
                <w:rFonts w:hAnsi="宋体"/>
                <w:sz w:val="24"/>
              </w:rPr>
              <w:t>居民生产生活产生的烟气。本项目引用</w:t>
            </w:r>
            <w:r>
              <w:rPr>
                <w:rFonts w:hint="eastAsia" w:hAnsi="宋体"/>
                <w:sz w:val="24"/>
              </w:rPr>
              <w:t>迪庆州环境监测站提供的常规</w:t>
            </w:r>
            <w:r>
              <w:rPr>
                <w:rFonts w:hAnsi="宋体"/>
                <w:sz w:val="24"/>
              </w:rPr>
              <w:t>环境空气质量现状监测数据（</w:t>
            </w:r>
            <w:r>
              <w:rPr>
                <w:rFonts w:hint="eastAsia" w:hAnsi="宋体"/>
                <w:sz w:val="24"/>
              </w:rPr>
              <w:t>监测点位为维西县环保局</w:t>
            </w:r>
            <w:r>
              <w:rPr>
                <w:rFonts w:hAnsi="宋体"/>
                <w:sz w:val="24"/>
              </w:rPr>
              <w:t>），监测数据能较好的反应项目片区的空气质量现状。</w:t>
            </w:r>
            <w:r>
              <w:rPr>
                <w:rFonts w:hint="eastAsia" w:hAnsi="宋体"/>
                <w:sz w:val="24"/>
              </w:rPr>
              <w:t>监测</w:t>
            </w:r>
            <w:r>
              <w:rPr>
                <w:rFonts w:hAnsi="宋体"/>
                <w:sz w:val="24"/>
              </w:rPr>
              <w:t>时间为</w:t>
            </w:r>
            <w:r>
              <w:rPr>
                <w:rFonts w:hint="eastAsia" w:hAnsi="宋体"/>
                <w:sz w:val="24"/>
              </w:rPr>
              <w:t>2018年07月1日～7日</w:t>
            </w:r>
            <w:r>
              <w:rPr>
                <w:rFonts w:hAnsi="宋体"/>
                <w:sz w:val="24"/>
              </w:rPr>
              <w:t>，</w:t>
            </w:r>
            <w:r>
              <w:rPr>
                <w:rFonts w:hint="eastAsia" w:hAnsi="宋体"/>
                <w:sz w:val="24"/>
              </w:rPr>
              <w:t>监测因子为</w:t>
            </w:r>
            <w:r>
              <w:rPr>
                <w:rFonts w:hAnsi="宋体"/>
                <w:sz w:val="24"/>
              </w:rPr>
              <w:t>SO</w:t>
            </w:r>
            <w:r>
              <w:rPr>
                <w:rFonts w:hAnsi="宋体"/>
                <w:sz w:val="24"/>
                <w:vertAlign w:val="subscript"/>
              </w:rPr>
              <w:t>2</w:t>
            </w:r>
            <w:r>
              <w:rPr>
                <w:rFonts w:hAnsi="宋体"/>
                <w:sz w:val="24"/>
              </w:rPr>
              <w:t>、NO</w:t>
            </w:r>
            <w:r>
              <w:rPr>
                <w:rFonts w:hAnsi="宋体"/>
                <w:sz w:val="24"/>
                <w:vertAlign w:val="subscript"/>
              </w:rPr>
              <w:t>2</w:t>
            </w:r>
            <w:r>
              <w:rPr>
                <w:rFonts w:hAnsi="宋体"/>
                <w:sz w:val="24"/>
              </w:rPr>
              <w:t>、</w:t>
            </w:r>
            <w:r>
              <w:rPr>
                <w:rFonts w:hint="eastAsia" w:hAnsi="宋体"/>
                <w:sz w:val="24"/>
              </w:rPr>
              <w:t xml:space="preserve">CO、 </w:t>
            </w:r>
            <w:r>
              <w:rPr>
                <w:rFonts w:hAnsi="宋体"/>
                <w:sz w:val="24"/>
              </w:rPr>
              <w:t>PM</w:t>
            </w:r>
            <w:r>
              <w:rPr>
                <w:rFonts w:hAnsi="宋体"/>
                <w:sz w:val="24"/>
                <w:vertAlign w:val="subscript"/>
              </w:rPr>
              <w:t>10</w:t>
            </w:r>
            <w:r>
              <w:rPr>
                <w:rFonts w:hint="eastAsia" w:hAnsi="宋体"/>
                <w:sz w:val="24"/>
              </w:rPr>
              <w:t>、</w:t>
            </w:r>
            <w:r>
              <w:rPr>
                <w:rFonts w:hAnsi="宋体"/>
                <w:sz w:val="24"/>
              </w:rPr>
              <w:t>PM</w:t>
            </w:r>
            <w:r>
              <w:rPr>
                <w:rFonts w:hint="eastAsia" w:hAnsi="宋体"/>
                <w:sz w:val="24"/>
                <w:vertAlign w:val="subscript"/>
              </w:rPr>
              <w:t>2.5</w:t>
            </w:r>
            <w:r>
              <w:rPr>
                <w:rFonts w:hint="eastAsia" w:hAnsi="宋体"/>
                <w:sz w:val="24"/>
              </w:rPr>
              <w:t>，</w:t>
            </w:r>
            <w:r>
              <w:rPr>
                <w:rFonts w:hAnsi="宋体"/>
                <w:sz w:val="24"/>
              </w:rPr>
              <w:t>现状监测及评价统计结果详见表</w:t>
            </w:r>
            <w:r>
              <w:rPr>
                <w:rFonts w:hint="eastAsia" w:hAnsi="宋体"/>
                <w:sz w:val="24"/>
              </w:rPr>
              <w:t>3-1</w:t>
            </w:r>
            <w:r>
              <w:rPr>
                <w:rFonts w:hAnsi="宋体"/>
                <w:sz w:val="24"/>
              </w:rPr>
              <w:t>。</w:t>
            </w:r>
          </w:p>
          <w:p>
            <w:pPr>
              <w:spacing w:line="360" w:lineRule="auto"/>
              <w:jc w:val="center"/>
              <w:rPr>
                <w:rFonts w:hint="eastAsia" w:hAnsi="宋体"/>
                <w:b/>
                <w:sz w:val="24"/>
              </w:rPr>
            </w:pPr>
            <w:r>
              <w:rPr>
                <w:rFonts w:hAnsi="宋体"/>
                <w:b/>
                <w:sz w:val="24"/>
              </w:rPr>
              <w:t xml:space="preserve">表3-1 环境空气现状监测及统计分析评价结果一览表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366"/>
              <w:gridCol w:w="1351"/>
              <w:gridCol w:w="1351"/>
              <w:gridCol w:w="1351"/>
              <w:gridCol w:w="1351"/>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trPr>
              <w:tc>
                <w:tcPr>
                  <w:tcW w:w="1071" w:type="dxa"/>
                  <w:noWrap w:val="0"/>
                  <w:vAlign w:val="center"/>
                </w:tcPr>
                <w:p>
                  <w:pPr>
                    <w:jc w:val="center"/>
                    <w:rPr>
                      <w:szCs w:val="21"/>
                    </w:rPr>
                  </w:pPr>
                  <w:r>
                    <w:rPr>
                      <w:szCs w:val="21"/>
                    </w:rPr>
                    <w:t>监</w:t>
                  </w:r>
                  <w:r>
                    <w:rPr>
                      <w:szCs w:val="21"/>
                    </w:rPr>
                    <w:cr/>
                  </w:r>
                  <w:r>
                    <w:rPr>
                      <w:szCs w:val="21"/>
                    </w:rPr>
                    <w:t>点</w:t>
                  </w:r>
                </w:p>
              </w:tc>
              <w:tc>
                <w:tcPr>
                  <w:tcW w:w="1366" w:type="dxa"/>
                  <w:noWrap w:val="0"/>
                  <w:vAlign w:val="center"/>
                </w:tcPr>
                <w:p>
                  <w:pPr>
                    <w:jc w:val="center"/>
                    <w:rPr>
                      <w:szCs w:val="21"/>
                    </w:rPr>
                  </w:pPr>
                  <w:r>
                    <w:rPr>
                      <w:szCs w:val="21"/>
                    </w:rPr>
                    <w:t>日期</w:t>
                  </w:r>
                </w:p>
              </w:tc>
              <w:tc>
                <w:tcPr>
                  <w:tcW w:w="1351" w:type="dxa"/>
                  <w:noWrap w:val="0"/>
                  <w:vAlign w:val="center"/>
                </w:tcPr>
                <w:p>
                  <w:pPr>
                    <w:jc w:val="center"/>
                    <w:rPr>
                      <w:szCs w:val="21"/>
                      <w:vertAlign w:val="subscript"/>
                    </w:rPr>
                  </w:pPr>
                  <w:r>
                    <w:rPr>
                      <w:szCs w:val="21"/>
                    </w:rPr>
                    <w:t>SO</w:t>
                  </w:r>
                  <w:r>
                    <w:rPr>
                      <w:szCs w:val="21"/>
                      <w:vertAlign w:val="subscript"/>
                    </w:rPr>
                    <w:t>2</w:t>
                  </w:r>
                </w:p>
                <w:p>
                  <w:pPr>
                    <w:jc w:val="center"/>
                    <w:rPr>
                      <w:b/>
                      <w:szCs w:val="21"/>
                    </w:rPr>
                  </w:pPr>
                  <w:r>
                    <w:rPr>
                      <w:szCs w:val="21"/>
                    </w:rPr>
                    <w:t>(µg/m</w:t>
                  </w:r>
                  <w:r>
                    <w:rPr>
                      <w:szCs w:val="21"/>
                      <w:vertAlign w:val="superscript"/>
                    </w:rPr>
                    <w:t>3</w:t>
                  </w:r>
                  <w:r>
                    <w:rPr>
                      <w:szCs w:val="21"/>
                    </w:rPr>
                    <w:t>)</w:t>
                  </w:r>
                </w:p>
              </w:tc>
              <w:tc>
                <w:tcPr>
                  <w:tcW w:w="1351" w:type="dxa"/>
                  <w:noWrap w:val="0"/>
                  <w:vAlign w:val="center"/>
                </w:tcPr>
                <w:p>
                  <w:pPr>
                    <w:jc w:val="center"/>
                    <w:rPr>
                      <w:szCs w:val="21"/>
                      <w:vertAlign w:val="subscript"/>
                    </w:rPr>
                  </w:pPr>
                  <w:r>
                    <w:rPr>
                      <w:szCs w:val="21"/>
                    </w:rPr>
                    <w:t>NO</w:t>
                  </w:r>
                  <w:r>
                    <w:rPr>
                      <w:szCs w:val="21"/>
                      <w:vertAlign w:val="subscript"/>
                    </w:rPr>
                    <w:t>2</w:t>
                  </w:r>
                </w:p>
                <w:p>
                  <w:pPr>
                    <w:jc w:val="center"/>
                    <w:rPr>
                      <w:b/>
                      <w:szCs w:val="21"/>
                    </w:rPr>
                  </w:pPr>
                  <w:r>
                    <w:rPr>
                      <w:szCs w:val="21"/>
                    </w:rPr>
                    <w:t>(µg/m</w:t>
                  </w:r>
                  <w:r>
                    <w:rPr>
                      <w:szCs w:val="21"/>
                      <w:vertAlign w:val="superscript"/>
                    </w:rPr>
                    <w:t>3</w:t>
                  </w:r>
                  <w:r>
                    <w:rPr>
                      <w:szCs w:val="21"/>
                    </w:rPr>
                    <w:t>)</w:t>
                  </w:r>
                </w:p>
              </w:tc>
              <w:tc>
                <w:tcPr>
                  <w:tcW w:w="1351" w:type="dxa"/>
                  <w:noWrap w:val="0"/>
                  <w:vAlign w:val="center"/>
                </w:tcPr>
                <w:p>
                  <w:pPr>
                    <w:jc w:val="center"/>
                    <w:rPr>
                      <w:szCs w:val="21"/>
                      <w:vertAlign w:val="subscript"/>
                    </w:rPr>
                  </w:pPr>
                  <w:r>
                    <w:rPr>
                      <w:szCs w:val="21"/>
                    </w:rPr>
                    <w:t>CO</w:t>
                  </w:r>
                </w:p>
                <w:p>
                  <w:pPr>
                    <w:jc w:val="center"/>
                    <w:rPr>
                      <w:b/>
                      <w:szCs w:val="21"/>
                    </w:rPr>
                  </w:pPr>
                  <w:r>
                    <w:rPr>
                      <w:szCs w:val="21"/>
                    </w:rPr>
                    <w:t>(mg/m</w:t>
                  </w:r>
                  <w:r>
                    <w:rPr>
                      <w:szCs w:val="21"/>
                      <w:vertAlign w:val="superscript"/>
                    </w:rPr>
                    <w:t>3</w:t>
                  </w:r>
                  <w:r>
                    <w:rPr>
                      <w:szCs w:val="21"/>
                    </w:rPr>
                    <w:t>)</w:t>
                  </w:r>
                </w:p>
              </w:tc>
              <w:tc>
                <w:tcPr>
                  <w:tcW w:w="1351" w:type="dxa"/>
                  <w:noWrap w:val="0"/>
                  <w:vAlign w:val="center"/>
                </w:tcPr>
                <w:p>
                  <w:pPr>
                    <w:jc w:val="center"/>
                    <w:rPr>
                      <w:szCs w:val="21"/>
                      <w:vertAlign w:val="subscript"/>
                    </w:rPr>
                  </w:pPr>
                  <w:r>
                    <w:rPr>
                      <w:szCs w:val="21"/>
                    </w:rPr>
                    <w:t>PM</w:t>
                  </w:r>
                  <w:r>
                    <w:rPr>
                      <w:szCs w:val="21"/>
                      <w:vertAlign w:val="subscript"/>
                    </w:rPr>
                    <w:t>10</w:t>
                  </w:r>
                </w:p>
                <w:p>
                  <w:pPr>
                    <w:jc w:val="center"/>
                    <w:rPr>
                      <w:szCs w:val="21"/>
                    </w:rPr>
                  </w:pPr>
                  <w:r>
                    <w:rPr>
                      <w:szCs w:val="21"/>
                    </w:rPr>
                    <w:t>(µg/m</w:t>
                  </w:r>
                  <w:r>
                    <w:rPr>
                      <w:szCs w:val="21"/>
                      <w:vertAlign w:val="superscript"/>
                    </w:rPr>
                    <w:t>3</w:t>
                  </w:r>
                  <w:r>
                    <w:rPr>
                      <w:szCs w:val="21"/>
                    </w:rPr>
                    <w:t>)</w:t>
                  </w:r>
                </w:p>
              </w:tc>
              <w:tc>
                <w:tcPr>
                  <w:tcW w:w="1349" w:type="dxa"/>
                  <w:noWrap w:val="0"/>
                  <w:vAlign w:val="center"/>
                </w:tcPr>
                <w:p>
                  <w:pPr>
                    <w:jc w:val="center"/>
                    <w:rPr>
                      <w:szCs w:val="21"/>
                      <w:vertAlign w:val="subscript"/>
                    </w:rPr>
                  </w:pPr>
                  <w:r>
                    <w:rPr>
                      <w:szCs w:val="21"/>
                    </w:rPr>
                    <w:t>PM</w:t>
                  </w:r>
                  <w:r>
                    <w:rPr>
                      <w:szCs w:val="21"/>
                      <w:vertAlign w:val="subscript"/>
                    </w:rPr>
                    <w:t>2.5</w:t>
                  </w:r>
                </w:p>
                <w:p>
                  <w:pPr>
                    <w:jc w:val="center"/>
                    <w:rPr>
                      <w:szCs w:val="21"/>
                    </w:rPr>
                  </w:pPr>
                  <w:r>
                    <w:rPr>
                      <w:szCs w:val="21"/>
                    </w:rPr>
                    <w:t>(µg/m</w:t>
                  </w:r>
                  <w:r>
                    <w:rPr>
                      <w:szCs w:val="21"/>
                      <w:vertAlign w:val="superscript"/>
                    </w:rPr>
                    <w:t>3</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trPr>
              <w:tc>
                <w:tcPr>
                  <w:tcW w:w="1071" w:type="dxa"/>
                  <w:vMerge w:val="restart"/>
                  <w:noWrap w:val="0"/>
                  <w:vAlign w:val="center"/>
                </w:tcPr>
                <w:p>
                  <w:pPr>
                    <w:jc w:val="center"/>
                    <w:rPr>
                      <w:szCs w:val="21"/>
                    </w:rPr>
                  </w:pPr>
                  <w:r>
                    <w:rPr>
                      <w:szCs w:val="21"/>
                    </w:rPr>
                    <w:t>维西县环保局</w:t>
                  </w:r>
                </w:p>
              </w:tc>
              <w:tc>
                <w:tcPr>
                  <w:tcW w:w="1366" w:type="dxa"/>
                  <w:noWrap w:val="0"/>
                  <w:vAlign w:val="center"/>
                </w:tcPr>
                <w:p>
                  <w:pPr>
                    <w:jc w:val="center"/>
                    <w:rPr>
                      <w:szCs w:val="21"/>
                    </w:rPr>
                  </w:pPr>
                  <w:r>
                    <w:rPr>
                      <w:szCs w:val="21"/>
                    </w:rPr>
                    <w:t>2018.07.01</w:t>
                  </w:r>
                </w:p>
              </w:tc>
              <w:tc>
                <w:tcPr>
                  <w:tcW w:w="1351" w:type="dxa"/>
                  <w:noWrap w:val="0"/>
                  <w:vAlign w:val="center"/>
                </w:tcPr>
                <w:p>
                  <w:pPr>
                    <w:jc w:val="center"/>
                    <w:rPr>
                      <w:szCs w:val="21"/>
                    </w:rPr>
                  </w:pPr>
                  <w:r>
                    <w:rPr>
                      <w:szCs w:val="21"/>
                    </w:rPr>
                    <w:t>6</w:t>
                  </w:r>
                </w:p>
              </w:tc>
              <w:tc>
                <w:tcPr>
                  <w:tcW w:w="1351" w:type="dxa"/>
                  <w:noWrap w:val="0"/>
                  <w:vAlign w:val="center"/>
                </w:tcPr>
                <w:p>
                  <w:pPr>
                    <w:jc w:val="center"/>
                    <w:rPr>
                      <w:szCs w:val="21"/>
                    </w:rPr>
                  </w:pPr>
                  <w:r>
                    <w:rPr>
                      <w:szCs w:val="21"/>
                    </w:rPr>
                    <w:t>4</w:t>
                  </w:r>
                </w:p>
              </w:tc>
              <w:tc>
                <w:tcPr>
                  <w:tcW w:w="1351" w:type="dxa"/>
                  <w:noWrap w:val="0"/>
                  <w:vAlign w:val="center"/>
                </w:tcPr>
                <w:p>
                  <w:pPr>
                    <w:jc w:val="center"/>
                    <w:rPr>
                      <w:szCs w:val="21"/>
                    </w:rPr>
                  </w:pPr>
                  <w:r>
                    <w:rPr>
                      <w:szCs w:val="21"/>
                    </w:rPr>
                    <w:t>0.9</w:t>
                  </w:r>
                </w:p>
              </w:tc>
              <w:tc>
                <w:tcPr>
                  <w:tcW w:w="1351" w:type="dxa"/>
                  <w:noWrap w:val="0"/>
                  <w:vAlign w:val="center"/>
                </w:tcPr>
                <w:p>
                  <w:pPr>
                    <w:jc w:val="center"/>
                    <w:rPr>
                      <w:szCs w:val="21"/>
                    </w:rPr>
                  </w:pPr>
                  <w:r>
                    <w:rPr>
                      <w:szCs w:val="21"/>
                    </w:rPr>
                    <w:t>13</w:t>
                  </w:r>
                </w:p>
              </w:tc>
              <w:tc>
                <w:tcPr>
                  <w:tcW w:w="1349" w:type="dxa"/>
                  <w:noWrap w:val="0"/>
                  <w:vAlign w:val="center"/>
                </w:tcPr>
                <w:p>
                  <w:pPr>
                    <w:jc w:val="center"/>
                    <w:rPr>
                      <w:szCs w:val="21"/>
                    </w:rPr>
                  </w:pPr>
                  <w:r>
                    <w:rPr>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trPr>
              <w:tc>
                <w:tcPr>
                  <w:tcW w:w="1071" w:type="dxa"/>
                  <w:vMerge w:val="continue"/>
                  <w:noWrap w:val="0"/>
                  <w:vAlign w:val="center"/>
                </w:tcPr>
                <w:p>
                  <w:pPr>
                    <w:jc w:val="center"/>
                    <w:rPr>
                      <w:szCs w:val="21"/>
                    </w:rPr>
                  </w:pPr>
                </w:p>
              </w:tc>
              <w:tc>
                <w:tcPr>
                  <w:tcW w:w="1366" w:type="dxa"/>
                  <w:noWrap w:val="0"/>
                  <w:vAlign w:val="center"/>
                </w:tcPr>
                <w:p>
                  <w:pPr>
                    <w:jc w:val="center"/>
                    <w:rPr>
                      <w:szCs w:val="21"/>
                    </w:rPr>
                  </w:pPr>
                  <w:r>
                    <w:rPr>
                      <w:szCs w:val="21"/>
                    </w:rPr>
                    <w:t>2018.07.02</w:t>
                  </w:r>
                </w:p>
              </w:tc>
              <w:tc>
                <w:tcPr>
                  <w:tcW w:w="1351" w:type="dxa"/>
                  <w:noWrap w:val="0"/>
                  <w:vAlign w:val="center"/>
                </w:tcPr>
                <w:p>
                  <w:pPr>
                    <w:jc w:val="center"/>
                    <w:rPr>
                      <w:szCs w:val="21"/>
                    </w:rPr>
                  </w:pPr>
                  <w:r>
                    <w:rPr>
                      <w:szCs w:val="21"/>
                    </w:rPr>
                    <w:t>8</w:t>
                  </w:r>
                </w:p>
              </w:tc>
              <w:tc>
                <w:tcPr>
                  <w:tcW w:w="1351" w:type="dxa"/>
                  <w:noWrap w:val="0"/>
                  <w:vAlign w:val="center"/>
                </w:tcPr>
                <w:p>
                  <w:pPr>
                    <w:jc w:val="center"/>
                    <w:rPr>
                      <w:szCs w:val="21"/>
                    </w:rPr>
                  </w:pPr>
                  <w:r>
                    <w:rPr>
                      <w:szCs w:val="21"/>
                    </w:rPr>
                    <w:t>5</w:t>
                  </w:r>
                </w:p>
              </w:tc>
              <w:tc>
                <w:tcPr>
                  <w:tcW w:w="1351" w:type="dxa"/>
                  <w:noWrap w:val="0"/>
                  <w:vAlign w:val="center"/>
                </w:tcPr>
                <w:p>
                  <w:pPr>
                    <w:jc w:val="center"/>
                    <w:rPr>
                      <w:szCs w:val="21"/>
                    </w:rPr>
                  </w:pPr>
                  <w:r>
                    <w:rPr>
                      <w:szCs w:val="21"/>
                    </w:rPr>
                    <w:t>0.8</w:t>
                  </w:r>
                </w:p>
              </w:tc>
              <w:tc>
                <w:tcPr>
                  <w:tcW w:w="1351" w:type="dxa"/>
                  <w:noWrap w:val="0"/>
                  <w:vAlign w:val="center"/>
                </w:tcPr>
                <w:p>
                  <w:pPr>
                    <w:jc w:val="center"/>
                    <w:rPr>
                      <w:szCs w:val="21"/>
                    </w:rPr>
                  </w:pPr>
                  <w:r>
                    <w:rPr>
                      <w:szCs w:val="21"/>
                    </w:rPr>
                    <w:t>16</w:t>
                  </w:r>
                </w:p>
              </w:tc>
              <w:tc>
                <w:tcPr>
                  <w:tcW w:w="1349" w:type="dxa"/>
                  <w:noWrap w:val="0"/>
                  <w:vAlign w:val="center"/>
                </w:tcPr>
                <w:p>
                  <w:pPr>
                    <w:jc w:val="center"/>
                    <w:rPr>
                      <w:szCs w:val="21"/>
                    </w:rPr>
                  </w:pPr>
                  <w:r>
                    <w:rPr>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trPr>
              <w:tc>
                <w:tcPr>
                  <w:tcW w:w="1071" w:type="dxa"/>
                  <w:vMerge w:val="continue"/>
                  <w:noWrap w:val="0"/>
                  <w:vAlign w:val="center"/>
                </w:tcPr>
                <w:p>
                  <w:pPr>
                    <w:jc w:val="center"/>
                    <w:rPr>
                      <w:szCs w:val="21"/>
                    </w:rPr>
                  </w:pPr>
                </w:p>
              </w:tc>
              <w:tc>
                <w:tcPr>
                  <w:tcW w:w="1366" w:type="dxa"/>
                  <w:noWrap w:val="0"/>
                  <w:vAlign w:val="center"/>
                </w:tcPr>
                <w:p>
                  <w:pPr>
                    <w:jc w:val="center"/>
                    <w:rPr>
                      <w:szCs w:val="21"/>
                    </w:rPr>
                  </w:pPr>
                  <w:r>
                    <w:rPr>
                      <w:szCs w:val="21"/>
                    </w:rPr>
                    <w:t>2018.07.03</w:t>
                  </w:r>
                </w:p>
              </w:tc>
              <w:tc>
                <w:tcPr>
                  <w:tcW w:w="1351" w:type="dxa"/>
                  <w:noWrap w:val="0"/>
                  <w:vAlign w:val="center"/>
                </w:tcPr>
                <w:p>
                  <w:pPr>
                    <w:jc w:val="center"/>
                    <w:rPr>
                      <w:szCs w:val="21"/>
                    </w:rPr>
                  </w:pPr>
                  <w:r>
                    <w:rPr>
                      <w:szCs w:val="21"/>
                    </w:rPr>
                    <w:t>10</w:t>
                  </w:r>
                </w:p>
              </w:tc>
              <w:tc>
                <w:tcPr>
                  <w:tcW w:w="1351" w:type="dxa"/>
                  <w:noWrap w:val="0"/>
                  <w:vAlign w:val="center"/>
                </w:tcPr>
                <w:p>
                  <w:pPr>
                    <w:jc w:val="center"/>
                    <w:rPr>
                      <w:szCs w:val="21"/>
                    </w:rPr>
                  </w:pPr>
                  <w:r>
                    <w:rPr>
                      <w:szCs w:val="21"/>
                    </w:rPr>
                    <w:t>7</w:t>
                  </w:r>
                </w:p>
              </w:tc>
              <w:tc>
                <w:tcPr>
                  <w:tcW w:w="1351" w:type="dxa"/>
                  <w:noWrap w:val="0"/>
                  <w:vAlign w:val="center"/>
                </w:tcPr>
                <w:p>
                  <w:pPr>
                    <w:jc w:val="center"/>
                    <w:rPr>
                      <w:szCs w:val="21"/>
                    </w:rPr>
                  </w:pPr>
                  <w:r>
                    <w:rPr>
                      <w:szCs w:val="21"/>
                    </w:rPr>
                    <w:t>1.0</w:t>
                  </w:r>
                </w:p>
              </w:tc>
              <w:tc>
                <w:tcPr>
                  <w:tcW w:w="1351" w:type="dxa"/>
                  <w:noWrap w:val="0"/>
                  <w:vAlign w:val="center"/>
                </w:tcPr>
                <w:p>
                  <w:pPr>
                    <w:jc w:val="center"/>
                    <w:rPr>
                      <w:szCs w:val="21"/>
                    </w:rPr>
                  </w:pPr>
                  <w:r>
                    <w:rPr>
                      <w:szCs w:val="21"/>
                    </w:rPr>
                    <w:t>15</w:t>
                  </w:r>
                </w:p>
              </w:tc>
              <w:tc>
                <w:tcPr>
                  <w:tcW w:w="1349" w:type="dxa"/>
                  <w:noWrap w:val="0"/>
                  <w:vAlign w:val="center"/>
                </w:tcPr>
                <w:p>
                  <w:pPr>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trPr>
              <w:tc>
                <w:tcPr>
                  <w:tcW w:w="1071" w:type="dxa"/>
                  <w:vMerge w:val="continue"/>
                  <w:noWrap w:val="0"/>
                  <w:vAlign w:val="center"/>
                </w:tcPr>
                <w:p>
                  <w:pPr>
                    <w:jc w:val="center"/>
                    <w:rPr>
                      <w:szCs w:val="21"/>
                    </w:rPr>
                  </w:pPr>
                </w:p>
              </w:tc>
              <w:tc>
                <w:tcPr>
                  <w:tcW w:w="1366" w:type="dxa"/>
                  <w:noWrap w:val="0"/>
                  <w:vAlign w:val="center"/>
                </w:tcPr>
                <w:p>
                  <w:pPr>
                    <w:jc w:val="center"/>
                    <w:rPr>
                      <w:szCs w:val="21"/>
                    </w:rPr>
                  </w:pPr>
                  <w:r>
                    <w:rPr>
                      <w:szCs w:val="21"/>
                    </w:rPr>
                    <w:t>2018.07.04</w:t>
                  </w:r>
                </w:p>
              </w:tc>
              <w:tc>
                <w:tcPr>
                  <w:tcW w:w="1351" w:type="dxa"/>
                  <w:noWrap w:val="0"/>
                  <w:vAlign w:val="center"/>
                </w:tcPr>
                <w:p>
                  <w:pPr>
                    <w:jc w:val="center"/>
                    <w:rPr>
                      <w:szCs w:val="21"/>
                    </w:rPr>
                  </w:pPr>
                  <w:r>
                    <w:rPr>
                      <w:szCs w:val="21"/>
                    </w:rPr>
                    <w:t>10</w:t>
                  </w:r>
                </w:p>
              </w:tc>
              <w:tc>
                <w:tcPr>
                  <w:tcW w:w="1351" w:type="dxa"/>
                  <w:noWrap w:val="0"/>
                  <w:vAlign w:val="center"/>
                </w:tcPr>
                <w:p>
                  <w:pPr>
                    <w:jc w:val="center"/>
                    <w:rPr>
                      <w:szCs w:val="21"/>
                    </w:rPr>
                  </w:pPr>
                  <w:r>
                    <w:rPr>
                      <w:szCs w:val="21"/>
                    </w:rPr>
                    <w:cr/>
                  </w:r>
                </w:p>
              </w:tc>
              <w:tc>
                <w:tcPr>
                  <w:tcW w:w="1351" w:type="dxa"/>
                  <w:noWrap w:val="0"/>
                  <w:vAlign w:val="center"/>
                </w:tcPr>
                <w:p>
                  <w:pPr>
                    <w:jc w:val="center"/>
                    <w:rPr>
                      <w:szCs w:val="21"/>
                    </w:rPr>
                  </w:pPr>
                  <w:r>
                    <w:rPr>
                      <w:szCs w:val="21"/>
                    </w:rPr>
                    <w:t>1.0</w:t>
                  </w:r>
                </w:p>
              </w:tc>
              <w:tc>
                <w:tcPr>
                  <w:tcW w:w="1351" w:type="dxa"/>
                  <w:noWrap w:val="0"/>
                  <w:vAlign w:val="center"/>
                </w:tcPr>
                <w:p>
                  <w:pPr>
                    <w:jc w:val="center"/>
                    <w:rPr>
                      <w:szCs w:val="21"/>
                    </w:rPr>
                  </w:pPr>
                  <w:r>
                    <w:rPr>
                      <w:szCs w:val="21"/>
                    </w:rPr>
                    <w:t>1</w:t>
                  </w:r>
                  <w:r>
                    <w:rPr>
                      <w:szCs w:val="21"/>
                    </w:rPr>
                    <w:cr/>
                  </w:r>
                </w:p>
              </w:tc>
              <w:tc>
                <w:tcPr>
                  <w:tcW w:w="1349" w:type="dxa"/>
                  <w:noWrap w:val="0"/>
                  <w:vAlign w:val="center"/>
                </w:tcPr>
                <w:p>
                  <w:pPr>
                    <w:jc w:val="center"/>
                    <w:rPr>
                      <w:szCs w:val="21"/>
                    </w:rPr>
                  </w:pPr>
                  <w:r>
                    <w:rPr>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trPr>
              <w:tc>
                <w:tcPr>
                  <w:tcW w:w="1071" w:type="dxa"/>
                  <w:vMerge w:val="continue"/>
                  <w:noWrap w:val="0"/>
                  <w:vAlign w:val="center"/>
                </w:tcPr>
                <w:p>
                  <w:pPr>
                    <w:jc w:val="center"/>
                    <w:rPr>
                      <w:szCs w:val="21"/>
                    </w:rPr>
                  </w:pPr>
                </w:p>
              </w:tc>
              <w:tc>
                <w:tcPr>
                  <w:tcW w:w="1366" w:type="dxa"/>
                  <w:noWrap w:val="0"/>
                  <w:vAlign w:val="center"/>
                </w:tcPr>
                <w:p>
                  <w:pPr>
                    <w:jc w:val="center"/>
                    <w:rPr>
                      <w:szCs w:val="21"/>
                    </w:rPr>
                  </w:pPr>
                  <w:r>
                    <w:rPr>
                      <w:szCs w:val="21"/>
                    </w:rPr>
                    <w:t>2018.07.05</w:t>
                  </w:r>
                </w:p>
              </w:tc>
              <w:tc>
                <w:tcPr>
                  <w:tcW w:w="1351" w:type="dxa"/>
                  <w:noWrap w:val="0"/>
                  <w:vAlign w:val="center"/>
                </w:tcPr>
                <w:p>
                  <w:pPr>
                    <w:jc w:val="center"/>
                    <w:rPr>
                      <w:szCs w:val="21"/>
                    </w:rPr>
                  </w:pPr>
                  <w:r>
                    <w:rPr>
                      <w:szCs w:val="21"/>
                    </w:rPr>
                    <w:cr/>
                  </w:r>
                  <w:r>
                    <w:rPr>
                      <w:szCs w:val="21"/>
                    </w:rPr>
                    <w:t>0</w:t>
                  </w:r>
                </w:p>
              </w:tc>
              <w:tc>
                <w:tcPr>
                  <w:tcW w:w="1351" w:type="dxa"/>
                  <w:noWrap w:val="0"/>
                  <w:vAlign w:val="center"/>
                </w:tcPr>
                <w:p>
                  <w:pPr>
                    <w:jc w:val="center"/>
                    <w:rPr>
                      <w:szCs w:val="21"/>
                    </w:rPr>
                  </w:pPr>
                  <w:r>
                    <w:rPr>
                      <w:szCs w:val="21"/>
                    </w:rPr>
                    <w:t>7</w:t>
                  </w:r>
                </w:p>
              </w:tc>
              <w:tc>
                <w:tcPr>
                  <w:tcW w:w="1351" w:type="dxa"/>
                  <w:noWrap w:val="0"/>
                  <w:vAlign w:val="center"/>
                </w:tcPr>
                <w:p>
                  <w:pPr>
                    <w:jc w:val="center"/>
                    <w:rPr>
                      <w:szCs w:val="21"/>
                    </w:rPr>
                  </w:pPr>
                  <w:r>
                    <w:rPr>
                      <w:szCs w:val="21"/>
                    </w:rPr>
                    <w:t>0.9</w:t>
                  </w:r>
                </w:p>
              </w:tc>
              <w:tc>
                <w:tcPr>
                  <w:tcW w:w="1351" w:type="dxa"/>
                  <w:noWrap w:val="0"/>
                  <w:vAlign w:val="center"/>
                </w:tcPr>
                <w:p>
                  <w:pPr>
                    <w:jc w:val="center"/>
                    <w:rPr>
                      <w:szCs w:val="21"/>
                    </w:rPr>
                  </w:pPr>
                  <w:r>
                    <w:rPr>
                      <w:szCs w:val="21"/>
                    </w:rPr>
                    <w:t>14</w:t>
                  </w:r>
                </w:p>
              </w:tc>
              <w:tc>
                <w:tcPr>
                  <w:tcW w:w="1349" w:type="dxa"/>
                  <w:noWrap w:val="0"/>
                  <w:vAlign w:val="center"/>
                </w:tcPr>
                <w:p>
                  <w:pPr>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trPr>
              <w:tc>
                <w:tcPr>
                  <w:tcW w:w="1071" w:type="dxa"/>
                  <w:vMerge w:val="continue"/>
                  <w:noWrap w:val="0"/>
                  <w:vAlign w:val="center"/>
                </w:tcPr>
                <w:p>
                  <w:pPr>
                    <w:jc w:val="center"/>
                    <w:rPr>
                      <w:szCs w:val="21"/>
                    </w:rPr>
                  </w:pPr>
                </w:p>
              </w:tc>
              <w:tc>
                <w:tcPr>
                  <w:tcW w:w="1366" w:type="dxa"/>
                  <w:noWrap w:val="0"/>
                  <w:vAlign w:val="center"/>
                </w:tcPr>
                <w:p>
                  <w:pPr>
                    <w:jc w:val="center"/>
                    <w:rPr>
                      <w:szCs w:val="21"/>
                    </w:rPr>
                  </w:pPr>
                  <w:r>
                    <w:rPr>
                      <w:szCs w:val="21"/>
                    </w:rPr>
                    <w:t>2018.07.06</w:t>
                  </w:r>
                </w:p>
              </w:tc>
              <w:tc>
                <w:tcPr>
                  <w:tcW w:w="1351" w:type="dxa"/>
                  <w:noWrap w:val="0"/>
                  <w:vAlign w:val="center"/>
                </w:tcPr>
                <w:p>
                  <w:pPr>
                    <w:jc w:val="center"/>
                    <w:rPr>
                      <w:szCs w:val="21"/>
                    </w:rPr>
                  </w:pPr>
                  <w:r>
                    <w:rPr>
                      <w:szCs w:val="21"/>
                    </w:rPr>
                    <w:t>7</w:t>
                  </w:r>
                </w:p>
              </w:tc>
              <w:tc>
                <w:tcPr>
                  <w:tcW w:w="1351" w:type="dxa"/>
                  <w:noWrap w:val="0"/>
                  <w:vAlign w:val="center"/>
                </w:tcPr>
                <w:p>
                  <w:pPr>
                    <w:jc w:val="center"/>
                    <w:rPr>
                      <w:szCs w:val="21"/>
                    </w:rPr>
                  </w:pPr>
                  <w:r>
                    <w:rPr>
                      <w:szCs w:val="21"/>
                    </w:rPr>
                    <w:t>7</w:t>
                  </w:r>
                </w:p>
              </w:tc>
              <w:tc>
                <w:tcPr>
                  <w:tcW w:w="1351" w:type="dxa"/>
                  <w:noWrap w:val="0"/>
                  <w:vAlign w:val="center"/>
                </w:tcPr>
                <w:p>
                  <w:pPr>
                    <w:jc w:val="center"/>
                    <w:rPr>
                      <w:szCs w:val="21"/>
                    </w:rPr>
                  </w:pPr>
                  <w:r>
                    <w:rPr>
                      <w:szCs w:val="21"/>
                    </w:rPr>
                    <w:t>0.9</w:t>
                  </w:r>
                </w:p>
              </w:tc>
              <w:tc>
                <w:tcPr>
                  <w:tcW w:w="1351" w:type="dxa"/>
                  <w:noWrap w:val="0"/>
                  <w:vAlign w:val="center"/>
                </w:tcPr>
                <w:p>
                  <w:pPr>
                    <w:jc w:val="center"/>
                    <w:rPr>
                      <w:szCs w:val="21"/>
                    </w:rPr>
                  </w:pPr>
                  <w:r>
                    <w:rPr>
                      <w:szCs w:val="21"/>
                    </w:rPr>
                    <w:t>13</w:t>
                  </w:r>
                </w:p>
              </w:tc>
              <w:tc>
                <w:tcPr>
                  <w:tcW w:w="1349" w:type="dxa"/>
                  <w:noWrap w:val="0"/>
                  <w:vAlign w:val="center"/>
                </w:tcPr>
                <w:p>
                  <w:pPr>
                    <w:jc w:val="center"/>
                    <w:rPr>
                      <w:szCs w:val="21"/>
                    </w:rPr>
                  </w:pPr>
                  <w:r>
                    <w:rPr>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trPr>
              <w:tc>
                <w:tcPr>
                  <w:tcW w:w="1071" w:type="dxa"/>
                  <w:vMerge w:val="continue"/>
                  <w:noWrap w:val="0"/>
                  <w:vAlign w:val="center"/>
                </w:tcPr>
                <w:p>
                  <w:pPr>
                    <w:jc w:val="center"/>
                    <w:rPr>
                      <w:szCs w:val="21"/>
                    </w:rPr>
                  </w:pPr>
                </w:p>
              </w:tc>
              <w:tc>
                <w:tcPr>
                  <w:tcW w:w="1366" w:type="dxa"/>
                  <w:noWrap w:val="0"/>
                  <w:vAlign w:val="center"/>
                </w:tcPr>
                <w:p>
                  <w:pPr>
                    <w:jc w:val="center"/>
                    <w:rPr>
                      <w:szCs w:val="21"/>
                    </w:rPr>
                  </w:pPr>
                  <w:r>
                    <w:rPr>
                      <w:szCs w:val="21"/>
                    </w:rPr>
                    <w:t>2018.07.07</w:t>
                  </w:r>
                </w:p>
              </w:tc>
              <w:tc>
                <w:tcPr>
                  <w:tcW w:w="1351" w:type="dxa"/>
                  <w:noWrap w:val="0"/>
                  <w:vAlign w:val="center"/>
                </w:tcPr>
                <w:p>
                  <w:pPr>
                    <w:jc w:val="center"/>
                    <w:rPr>
                      <w:szCs w:val="21"/>
                    </w:rPr>
                  </w:pPr>
                  <w:r>
                    <w:rPr>
                      <w:szCs w:val="21"/>
                    </w:rPr>
                    <w:t>4</w:t>
                  </w:r>
                </w:p>
              </w:tc>
              <w:tc>
                <w:tcPr>
                  <w:tcW w:w="1351" w:type="dxa"/>
                  <w:noWrap w:val="0"/>
                  <w:vAlign w:val="center"/>
                </w:tcPr>
                <w:p>
                  <w:pPr>
                    <w:jc w:val="center"/>
                    <w:rPr>
                      <w:szCs w:val="21"/>
                    </w:rPr>
                  </w:pPr>
                  <w:r>
                    <w:rPr>
                      <w:szCs w:val="21"/>
                    </w:rPr>
                    <w:t>4</w:t>
                  </w:r>
                </w:p>
              </w:tc>
              <w:tc>
                <w:tcPr>
                  <w:tcW w:w="1351" w:type="dxa"/>
                  <w:noWrap w:val="0"/>
                  <w:vAlign w:val="center"/>
                </w:tcPr>
                <w:p>
                  <w:pPr>
                    <w:jc w:val="center"/>
                    <w:rPr>
                      <w:szCs w:val="21"/>
                    </w:rPr>
                  </w:pPr>
                  <w:r>
                    <w:rPr>
                      <w:szCs w:val="21"/>
                    </w:rPr>
                    <w:t>0.8</w:t>
                  </w:r>
                </w:p>
              </w:tc>
              <w:tc>
                <w:tcPr>
                  <w:tcW w:w="1351" w:type="dxa"/>
                  <w:noWrap w:val="0"/>
                  <w:vAlign w:val="center"/>
                </w:tcPr>
                <w:p>
                  <w:pPr>
                    <w:jc w:val="center"/>
                    <w:rPr>
                      <w:szCs w:val="21"/>
                    </w:rPr>
                  </w:pPr>
                  <w:r>
                    <w:rPr>
                      <w:szCs w:val="21"/>
                    </w:rPr>
                    <w:t>1</w:t>
                  </w:r>
                  <w:r>
                    <w:rPr>
                      <w:szCs w:val="21"/>
                    </w:rPr>
                    <w:cr/>
                  </w:r>
                </w:p>
              </w:tc>
              <w:tc>
                <w:tcPr>
                  <w:tcW w:w="1349" w:type="dxa"/>
                  <w:noWrap w:val="0"/>
                  <w:vAlign w:val="center"/>
                </w:tcPr>
                <w:p>
                  <w:pPr>
                    <w:jc w:val="center"/>
                    <w:rPr>
                      <w:szCs w:val="21"/>
                    </w:rPr>
                  </w:pPr>
                  <w:r>
                    <w:rPr>
                      <w:szCs w:val="21"/>
                    </w:rPr>
                    <w:t>7</w:t>
                  </w:r>
                </w:p>
              </w:tc>
            </w:tr>
          </w:tbl>
          <w:p>
            <w:pPr>
              <w:spacing w:line="360" w:lineRule="auto"/>
              <w:ind w:firstLine="480" w:firstLineChars="200"/>
              <w:rPr>
                <w:rFonts w:hAnsi="宋体"/>
                <w:color w:val="FF0000"/>
                <w:sz w:val="24"/>
              </w:rPr>
            </w:pPr>
            <w:r>
              <w:rPr>
                <w:rFonts w:hAnsi="宋体"/>
                <w:sz w:val="24"/>
              </w:rPr>
              <w:t>监测结果表明：</w:t>
            </w:r>
            <w:r>
              <w:rPr>
                <w:rFonts w:hint="eastAsia" w:hAnsi="宋体"/>
                <w:sz w:val="24"/>
              </w:rPr>
              <w:t>维西县环保局</w:t>
            </w:r>
            <w:r>
              <w:rPr>
                <w:rFonts w:hAnsi="宋体"/>
                <w:sz w:val="24"/>
              </w:rPr>
              <w:t>监测点空气SO</w:t>
            </w:r>
            <w:r>
              <w:rPr>
                <w:rFonts w:hAnsi="宋体"/>
                <w:sz w:val="24"/>
                <w:vertAlign w:val="subscript"/>
              </w:rPr>
              <w:t>2</w:t>
            </w:r>
            <w:r>
              <w:rPr>
                <w:rFonts w:hAnsi="宋体"/>
                <w:sz w:val="24"/>
              </w:rPr>
              <w:t>、NO</w:t>
            </w:r>
            <w:r>
              <w:rPr>
                <w:rFonts w:hAnsi="宋体"/>
                <w:sz w:val="24"/>
                <w:vertAlign w:val="subscript"/>
              </w:rPr>
              <w:t>2</w:t>
            </w:r>
            <w:r>
              <w:rPr>
                <w:rFonts w:hAnsi="宋体"/>
                <w:sz w:val="24"/>
              </w:rPr>
              <w:t>、</w:t>
            </w:r>
            <w:r>
              <w:rPr>
                <w:rFonts w:hint="eastAsia" w:hAnsi="宋体"/>
                <w:sz w:val="24"/>
              </w:rPr>
              <w:t>CO、</w:t>
            </w:r>
            <w:r>
              <w:rPr>
                <w:rFonts w:hAnsi="宋体"/>
                <w:sz w:val="24"/>
              </w:rPr>
              <w:t xml:space="preserve"> PM</w:t>
            </w:r>
            <w:r>
              <w:rPr>
                <w:rFonts w:hAnsi="宋体"/>
                <w:sz w:val="24"/>
                <w:vertAlign w:val="subscript"/>
              </w:rPr>
              <w:t>10</w:t>
            </w:r>
            <w:r>
              <w:rPr>
                <w:rFonts w:hint="eastAsia" w:hAnsi="宋体"/>
                <w:sz w:val="24"/>
              </w:rPr>
              <w:t>、PM</w:t>
            </w:r>
            <w:r>
              <w:rPr>
                <w:rFonts w:hint="eastAsia" w:hAnsi="宋体"/>
                <w:sz w:val="24"/>
                <w:vertAlign w:val="subscript"/>
              </w:rPr>
              <w:t>2.5</w:t>
            </w:r>
            <w:r>
              <w:rPr>
                <w:rFonts w:hAnsi="宋体"/>
                <w:sz w:val="24"/>
              </w:rPr>
              <w:t>日均监测值均可达到《环境空气质量标准》（GB3095-2012）中的二级标准值。本环评认为工程区SO</w:t>
            </w:r>
            <w:r>
              <w:rPr>
                <w:rFonts w:hAnsi="宋体"/>
                <w:sz w:val="24"/>
                <w:vertAlign w:val="subscript"/>
              </w:rPr>
              <w:t>2</w:t>
            </w:r>
            <w:r>
              <w:rPr>
                <w:rFonts w:hAnsi="宋体"/>
                <w:sz w:val="24"/>
              </w:rPr>
              <w:t>、NO</w:t>
            </w:r>
            <w:r>
              <w:rPr>
                <w:rFonts w:hAnsi="宋体"/>
                <w:sz w:val="24"/>
                <w:vertAlign w:val="subscript"/>
              </w:rPr>
              <w:t>2</w:t>
            </w:r>
            <w:r>
              <w:rPr>
                <w:rFonts w:hAnsi="宋体"/>
                <w:sz w:val="24"/>
              </w:rPr>
              <w:t>、</w:t>
            </w:r>
            <w:r>
              <w:rPr>
                <w:rFonts w:hint="eastAsia" w:hAnsi="宋体"/>
                <w:sz w:val="24"/>
              </w:rPr>
              <w:t>CO、</w:t>
            </w:r>
            <w:r>
              <w:rPr>
                <w:rFonts w:hAnsi="宋体"/>
                <w:sz w:val="24"/>
              </w:rPr>
              <w:t xml:space="preserve"> PM</w:t>
            </w:r>
            <w:r>
              <w:rPr>
                <w:rFonts w:hAnsi="宋体"/>
                <w:sz w:val="24"/>
                <w:vertAlign w:val="subscript"/>
              </w:rPr>
              <w:t>10</w:t>
            </w:r>
            <w:r>
              <w:rPr>
                <w:rFonts w:hint="eastAsia" w:hAnsi="宋体"/>
                <w:sz w:val="24"/>
              </w:rPr>
              <w:t>、PM</w:t>
            </w:r>
            <w:r>
              <w:rPr>
                <w:rFonts w:hint="eastAsia" w:hAnsi="宋体"/>
                <w:sz w:val="24"/>
                <w:vertAlign w:val="subscript"/>
              </w:rPr>
              <w:t>2.5</w:t>
            </w:r>
            <w:r>
              <w:rPr>
                <w:rFonts w:hAnsi="宋体"/>
                <w:sz w:val="24"/>
              </w:rPr>
              <w:t>日均监测值也可满足《环境空气质量标准》中的二级标准值。</w:t>
            </w:r>
          </w:p>
          <w:p>
            <w:pPr>
              <w:spacing w:line="360" w:lineRule="auto"/>
              <w:ind w:firstLine="482" w:firstLineChars="200"/>
              <w:rPr>
                <w:b/>
                <w:sz w:val="24"/>
              </w:rPr>
            </w:pPr>
            <w:r>
              <w:rPr>
                <w:b/>
                <w:sz w:val="24"/>
              </w:rPr>
              <w:t>2</w:t>
            </w:r>
            <w:r>
              <w:rPr>
                <w:rFonts w:hAnsi="宋体"/>
                <w:b/>
                <w:sz w:val="24"/>
              </w:rPr>
              <w:t>、水环境质量状况：</w:t>
            </w:r>
          </w:p>
          <w:p>
            <w:pPr>
              <w:spacing w:line="360" w:lineRule="auto"/>
              <w:ind w:firstLine="482" w:firstLineChars="200"/>
              <w:rPr>
                <w:rFonts w:hint="eastAsia" w:hAnsi="宋体"/>
                <w:b/>
                <w:sz w:val="24"/>
              </w:rPr>
            </w:pPr>
            <w:r>
              <w:rPr>
                <w:rFonts w:hint="eastAsia" w:hAnsi="宋体"/>
                <w:b/>
                <w:sz w:val="24"/>
              </w:rPr>
              <w:t>（1）水文及规划功能调查</w:t>
            </w:r>
          </w:p>
          <w:p>
            <w:pPr>
              <w:spacing w:line="360" w:lineRule="auto"/>
              <w:ind w:firstLine="480" w:firstLineChars="200"/>
              <w:rPr>
                <w:rFonts w:hint="eastAsia" w:hAnsi="宋体"/>
                <w:sz w:val="24"/>
              </w:rPr>
            </w:pPr>
            <w:r>
              <w:rPr>
                <w:rFonts w:hAnsi="宋体"/>
                <w:sz w:val="24"/>
              </w:rPr>
              <w:fldChar w:fldCharType="begin"/>
            </w:r>
            <w:r>
              <w:rPr>
                <w:rFonts w:hAnsi="宋体"/>
                <w:sz w:val="24"/>
              </w:rPr>
              <w:instrText xml:space="preserve"> </w:instrText>
            </w:r>
            <w:r>
              <w:rPr>
                <w:rFonts w:hint="eastAsia" w:hAnsi="宋体"/>
                <w:sz w:val="24"/>
              </w:rPr>
              <w:instrText xml:space="preserve">= 1 \* GB3</w:instrText>
            </w:r>
            <w:r>
              <w:rPr>
                <w:rFonts w:hAnsi="宋体"/>
                <w:sz w:val="24"/>
              </w:rPr>
              <w:instrText xml:space="preserve"> </w:instrText>
            </w:r>
            <w:r>
              <w:rPr>
                <w:rFonts w:hAnsi="宋体"/>
                <w:sz w:val="24"/>
              </w:rPr>
              <w:fldChar w:fldCharType="separate"/>
            </w:r>
            <w:r>
              <w:rPr>
                <w:rFonts w:hint="eastAsia" w:hAnsi="宋体"/>
                <w:sz w:val="24"/>
              </w:rPr>
              <w:t>①</w:t>
            </w:r>
            <w:r>
              <w:rPr>
                <w:rFonts w:hAnsi="宋体"/>
                <w:sz w:val="24"/>
              </w:rPr>
              <w:fldChar w:fldCharType="end"/>
            </w:r>
            <w:r>
              <w:rPr>
                <w:rFonts w:hint="eastAsia" w:hAnsi="宋体"/>
                <w:sz w:val="24"/>
              </w:rPr>
              <w:t>、河流水系概况</w:t>
            </w:r>
          </w:p>
          <w:p>
            <w:pPr>
              <w:spacing w:line="360" w:lineRule="auto"/>
              <w:ind w:firstLine="480" w:firstLineChars="200"/>
              <w:rPr>
                <w:rFonts w:hint="eastAsia" w:hAnsi="宋体"/>
                <w:sz w:val="24"/>
              </w:rPr>
            </w:pPr>
            <w:r>
              <w:rPr>
                <w:rFonts w:hint="eastAsia" w:hAnsi="宋体"/>
                <w:sz w:val="24"/>
              </w:rPr>
              <w:t>根据现场调查，项目所涉及的地表水为永春河，及其支流头道河、二道河</w:t>
            </w:r>
            <w:r>
              <w:rPr>
                <w:rFonts w:hAnsi="宋体"/>
                <w:sz w:val="24"/>
              </w:rPr>
              <w:t>。</w:t>
            </w:r>
            <w:r>
              <w:rPr>
                <w:rFonts w:hint="eastAsia" w:hAnsi="宋体"/>
                <w:sz w:val="24"/>
              </w:rPr>
              <w:t>永春河由东南向西北流入澜沧江，为澜沧江一级支流，属于澜沧江水系。</w:t>
            </w:r>
          </w:p>
          <w:p>
            <w:pPr>
              <w:spacing w:line="360" w:lineRule="auto"/>
              <w:ind w:firstLine="480" w:firstLineChars="200"/>
              <w:rPr>
                <w:rFonts w:hAnsi="宋体"/>
                <w:sz w:val="24"/>
              </w:rPr>
            </w:pPr>
            <w:r>
              <w:rPr>
                <w:rFonts w:hint="eastAsia" w:hAnsi="宋体"/>
                <w:sz w:val="24"/>
              </w:rPr>
              <w:t>参考《云南省地表水水环境功能区划》（</w:t>
            </w:r>
            <w:r>
              <w:rPr>
                <w:rFonts w:hAnsi="宋体"/>
                <w:sz w:val="24"/>
              </w:rPr>
              <w:t>2010~2020</w:t>
            </w:r>
            <w:r>
              <w:rPr>
                <w:rFonts w:hint="eastAsia" w:hAnsi="宋体"/>
                <w:sz w:val="24"/>
              </w:rPr>
              <w:t>），头道河源头</w:t>
            </w:r>
            <w:r>
              <w:rPr>
                <w:rFonts w:hAnsi="宋体"/>
                <w:sz w:val="24"/>
              </w:rPr>
              <w:t>-</w:t>
            </w:r>
            <w:r>
              <w:rPr>
                <w:rFonts w:hint="eastAsia" w:hAnsi="宋体"/>
                <w:sz w:val="24"/>
              </w:rPr>
              <w:t>入永春河口，水环境功能为饮用一级、农业用水，执行《地表水环境质量标准》（</w:t>
            </w:r>
            <w:r>
              <w:rPr>
                <w:rFonts w:hAnsi="宋体"/>
                <w:sz w:val="24"/>
              </w:rPr>
              <w:t>GB3838-2002</w:t>
            </w:r>
            <w:r>
              <w:rPr>
                <w:rFonts w:hint="eastAsia" w:hAnsi="宋体"/>
                <w:sz w:val="24"/>
              </w:rPr>
              <w:t>）</w:t>
            </w:r>
            <w:r>
              <w:rPr>
                <w:rFonts w:hAnsi="宋体"/>
                <w:sz w:val="24"/>
              </w:rPr>
              <w:fldChar w:fldCharType="begin"/>
            </w:r>
            <w:r>
              <w:rPr>
                <w:rFonts w:hAnsi="宋体"/>
                <w:sz w:val="24"/>
              </w:rPr>
              <w:instrText xml:space="preserve"> </w:instrText>
            </w:r>
            <w:r>
              <w:rPr>
                <w:rFonts w:hint="eastAsia" w:hAnsi="宋体"/>
                <w:sz w:val="24"/>
              </w:rPr>
              <w:instrText xml:space="preserve">= 2 \* ROMAN</w:instrText>
            </w:r>
            <w:r>
              <w:rPr>
                <w:rFonts w:hAnsi="宋体"/>
                <w:sz w:val="24"/>
              </w:rPr>
              <w:instrText xml:space="preserve"> </w:instrText>
            </w:r>
            <w:r>
              <w:rPr>
                <w:rFonts w:hAnsi="宋体"/>
                <w:sz w:val="24"/>
              </w:rPr>
              <w:fldChar w:fldCharType="separate"/>
            </w:r>
            <w:r>
              <w:rPr>
                <w:rFonts w:hAnsi="宋体"/>
                <w:sz w:val="24"/>
              </w:rPr>
              <w:t>II</w:t>
            </w:r>
            <w:r>
              <w:rPr>
                <w:rFonts w:hAnsi="宋体"/>
                <w:sz w:val="24"/>
              </w:rPr>
              <w:fldChar w:fldCharType="end"/>
            </w:r>
            <w:r>
              <w:rPr>
                <w:rFonts w:hint="eastAsia" w:hAnsi="宋体"/>
                <w:sz w:val="24"/>
              </w:rPr>
              <w:t>类水质标准；二道河源头</w:t>
            </w:r>
            <w:r>
              <w:rPr>
                <w:rFonts w:hAnsi="宋体"/>
                <w:sz w:val="24"/>
              </w:rPr>
              <w:t>-</w:t>
            </w:r>
            <w:r>
              <w:rPr>
                <w:rFonts w:hint="eastAsia" w:hAnsi="宋体"/>
                <w:sz w:val="24"/>
              </w:rPr>
              <w:t>入永春河口，水功环境能为饮用一级，执行《地表水环境质量标准》（</w:t>
            </w:r>
            <w:r>
              <w:rPr>
                <w:rFonts w:hAnsi="宋体"/>
                <w:sz w:val="24"/>
              </w:rPr>
              <w:t>GB3838-2002</w:t>
            </w:r>
            <w:r>
              <w:rPr>
                <w:rFonts w:hint="eastAsia" w:hAnsi="宋体"/>
                <w:sz w:val="24"/>
              </w:rPr>
              <w:t>）</w:t>
            </w:r>
            <w:r>
              <w:rPr>
                <w:rFonts w:hAnsi="宋体"/>
                <w:sz w:val="24"/>
              </w:rPr>
              <w:fldChar w:fldCharType="begin"/>
            </w:r>
            <w:r>
              <w:rPr>
                <w:rFonts w:hAnsi="宋体"/>
                <w:sz w:val="24"/>
              </w:rPr>
              <w:instrText xml:space="preserve"> </w:instrText>
            </w:r>
            <w:r>
              <w:rPr>
                <w:rFonts w:hint="eastAsia" w:hAnsi="宋体"/>
                <w:sz w:val="24"/>
              </w:rPr>
              <w:instrText xml:space="preserve">= 2 \* ROMAN</w:instrText>
            </w:r>
            <w:r>
              <w:rPr>
                <w:rFonts w:hAnsi="宋体"/>
                <w:sz w:val="24"/>
              </w:rPr>
              <w:instrText xml:space="preserve"> </w:instrText>
            </w:r>
            <w:r>
              <w:rPr>
                <w:rFonts w:hAnsi="宋体"/>
                <w:sz w:val="24"/>
              </w:rPr>
              <w:fldChar w:fldCharType="separate"/>
            </w:r>
            <w:r>
              <w:rPr>
                <w:rFonts w:hAnsi="宋体"/>
                <w:sz w:val="24"/>
              </w:rPr>
              <w:t>II</w:t>
            </w:r>
            <w:r>
              <w:rPr>
                <w:rFonts w:hAnsi="宋体"/>
                <w:sz w:val="24"/>
              </w:rPr>
              <w:fldChar w:fldCharType="end"/>
            </w:r>
            <w:r>
              <w:rPr>
                <w:rFonts w:hint="eastAsia" w:hAnsi="宋体"/>
                <w:sz w:val="24"/>
              </w:rPr>
              <w:t>类水质标准；永春河源头</w:t>
            </w:r>
            <w:r>
              <w:rPr>
                <w:rFonts w:hAnsi="宋体"/>
                <w:sz w:val="24"/>
              </w:rPr>
              <w:t>-</w:t>
            </w:r>
            <w:r>
              <w:rPr>
                <w:rFonts w:hint="eastAsia" w:hAnsi="宋体"/>
                <w:sz w:val="24"/>
              </w:rPr>
              <w:t>入澜沧江口地表水功能为农业用水、工业用水，执行《地表水环境质量标准》（</w:t>
            </w:r>
            <w:r>
              <w:rPr>
                <w:rFonts w:hAnsi="宋体"/>
                <w:sz w:val="24"/>
              </w:rPr>
              <w:t>GB3838-2002</w:t>
            </w:r>
            <w:r>
              <w:rPr>
                <w:rFonts w:hint="eastAsia" w:hAnsi="宋体"/>
                <w:sz w:val="24"/>
              </w:rPr>
              <w:t>）Ⅳ类水质标准。</w:t>
            </w:r>
          </w:p>
          <w:p>
            <w:pPr>
              <w:spacing w:line="360" w:lineRule="auto"/>
              <w:ind w:firstLine="480" w:firstLineChars="200"/>
              <w:rPr>
                <w:rFonts w:hint="eastAsia" w:cs="Arial"/>
                <w:sz w:val="24"/>
              </w:rPr>
            </w:pPr>
            <w:r>
              <w:rPr>
                <w:rFonts w:hint="eastAsia" w:cs="Arial"/>
                <w:sz w:val="24"/>
              </w:rPr>
              <w:t>根据《2019年迪庆州环境状况公报》，2019年，全州境内地表水2个国控监测断面、7个省控断面水质优良比例为100%；劣五类水体断面比例为0%。各县市共6个饮用水源地例行监测结果表明，水质达标率为100%。经排查，城市建成区范围内没有黑臭水体；实现全州水环境质量总体保持稳定。本次评价认为永春河可达到</w:t>
            </w:r>
            <w:r>
              <w:rPr>
                <w:rFonts w:hint="eastAsia" w:hAnsi="宋体"/>
                <w:sz w:val="24"/>
              </w:rPr>
              <w:t>《地表水环境质量标准》（</w:t>
            </w:r>
            <w:r>
              <w:rPr>
                <w:rFonts w:hAnsi="宋体"/>
                <w:sz w:val="24"/>
              </w:rPr>
              <w:t>GB3838-2002</w:t>
            </w:r>
            <w:r>
              <w:rPr>
                <w:rFonts w:hint="eastAsia" w:hAnsi="宋体"/>
                <w:sz w:val="24"/>
              </w:rPr>
              <w:t>）Ⅳ类水质标准，为达标区。</w:t>
            </w:r>
          </w:p>
          <w:p>
            <w:pPr>
              <w:spacing w:line="360" w:lineRule="auto"/>
              <w:ind w:firstLine="480" w:firstLineChars="200"/>
              <w:rPr>
                <w:rFonts w:hAnsi="宋体"/>
                <w:sz w:val="24"/>
              </w:rPr>
            </w:pPr>
            <w:r>
              <w:rPr>
                <w:rFonts w:hAnsi="宋体"/>
                <w:sz w:val="24"/>
              </w:rPr>
              <w:t>②、饮用水源地情况调查</w:t>
            </w:r>
          </w:p>
          <w:p>
            <w:pPr>
              <w:spacing w:line="360" w:lineRule="auto"/>
              <w:ind w:firstLine="480" w:firstLineChars="200"/>
              <w:rPr>
                <w:rFonts w:hAnsi="宋体"/>
                <w:sz w:val="24"/>
              </w:rPr>
            </w:pPr>
            <w:r>
              <w:rPr>
                <w:rFonts w:hAnsi="宋体"/>
                <w:sz w:val="24"/>
              </w:rPr>
              <w:t>根据现场调查及查阅相关资料，评价区涉及的河流均无人饮用。</w:t>
            </w:r>
          </w:p>
          <w:p>
            <w:pPr>
              <w:spacing w:line="360" w:lineRule="auto"/>
              <w:ind w:firstLine="482" w:firstLineChars="200"/>
              <w:rPr>
                <w:b/>
                <w:sz w:val="24"/>
              </w:rPr>
            </w:pPr>
            <w:r>
              <w:rPr>
                <w:rFonts w:hint="eastAsia"/>
                <w:b/>
                <w:sz w:val="24"/>
                <w:szCs w:val="28"/>
              </w:rPr>
              <w:t>（2）</w:t>
            </w:r>
            <w:bookmarkStart w:id="17" w:name="_Toc5596"/>
            <w:bookmarkStart w:id="18" w:name="_Toc238553661"/>
            <w:r>
              <w:rPr>
                <w:rFonts w:hint="eastAsia"/>
                <w:b/>
                <w:sz w:val="24"/>
              </w:rPr>
              <w:t>地表水</w:t>
            </w:r>
            <w:r>
              <w:rPr>
                <w:b/>
                <w:sz w:val="24"/>
              </w:rPr>
              <w:t>现状监测</w:t>
            </w:r>
            <w:bookmarkEnd w:id="17"/>
          </w:p>
          <w:bookmarkEnd w:id="18"/>
          <w:p>
            <w:pPr>
              <w:spacing w:line="360" w:lineRule="auto"/>
              <w:ind w:firstLine="480" w:firstLineChars="200"/>
              <w:rPr>
                <w:sz w:val="24"/>
              </w:rPr>
            </w:pPr>
            <w:r>
              <w:rPr>
                <w:sz w:val="24"/>
              </w:rPr>
              <w:t>本次环评收集了</w:t>
            </w:r>
            <w:r>
              <w:rPr>
                <w:rFonts w:hint="eastAsia"/>
                <w:sz w:val="24"/>
              </w:rPr>
              <w:t>维西县环保局委托迪庆山水环保科技有限公司</w:t>
            </w:r>
            <w:r>
              <w:rPr>
                <w:sz w:val="24"/>
              </w:rPr>
              <w:t>对</w:t>
            </w:r>
            <w:r>
              <w:rPr>
                <w:rFonts w:hint="eastAsia"/>
                <w:sz w:val="24"/>
              </w:rPr>
              <w:t>永春</w:t>
            </w:r>
            <w:r>
              <w:rPr>
                <w:sz w:val="24"/>
              </w:rPr>
              <w:t>河的水质监测数据。</w:t>
            </w:r>
          </w:p>
          <w:p>
            <w:pPr>
              <w:spacing w:line="360" w:lineRule="auto"/>
              <w:ind w:firstLine="480" w:firstLineChars="200"/>
              <w:rPr>
                <w:sz w:val="24"/>
              </w:rPr>
            </w:pPr>
            <w:r>
              <w:rPr>
                <w:sz w:val="24"/>
              </w:rPr>
              <w:t>①监测断面</w:t>
            </w:r>
          </w:p>
          <w:p>
            <w:pPr>
              <w:spacing w:line="360" w:lineRule="auto"/>
              <w:ind w:firstLine="480" w:firstLineChars="200"/>
              <w:rPr>
                <w:sz w:val="24"/>
              </w:rPr>
            </w:pPr>
            <w:r>
              <w:rPr>
                <w:sz w:val="24"/>
              </w:rPr>
              <w:t>W</w:t>
            </w:r>
            <w:r>
              <w:rPr>
                <w:rFonts w:hint="eastAsia"/>
                <w:sz w:val="24"/>
              </w:rPr>
              <w:t>1</w:t>
            </w:r>
            <w:r>
              <w:rPr>
                <w:sz w:val="24"/>
              </w:rPr>
              <w:t>：</w:t>
            </w:r>
            <w:r>
              <w:rPr>
                <w:rFonts w:hint="eastAsia"/>
                <w:sz w:val="24"/>
              </w:rPr>
              <w:t>永春河（白水河桥，本项目区上游），</w:t>
            </w:r>
            <w:r>
              <w:rPr>
                <w:sz w:val="24"/>
              </w:rPr>
              <w:t>W</w:t>
            </w:r>
            <w:r>
              <w:rPr>
                <w:rFonts w:hint="eastAsia"/>
                <w:sz w:val="24"/>
              </w:rPr>
              <w:t>2</w:t>
            </w:r>
            <w:r>
              <w:rPr>
                <w:sz w:val="24"/>
              </w:rPr>
              <w:t>：</w:t>
            </w:r>
            <w:r>
              <w:rPr>
                <w:rFonts w:hint="eastAsia"/>
                <w:sz w:val="24"/>
              </w:rPr>
              <w:t>永春河（垃圾填埋场下游，本项目区下游）。</w:t>
            </w:r>
          </w:p>
          <w:p>
            <w:pPr>
              <w:spacing w:line="360" w:lineRule="auto"/>
              <w:ind w:firstLine="480" w:firstLineChars="200"/>
              <w:rPr>
                <w:sz w:val="24"/>
              </w:rPr>
            </w:pPr>
            <w:r>
              <w:rPr>
                <w:sz w:val="24"/>
              </w:rPr>
              <w:t>②监测项目</w:t>
            </w:r>
          </w:p>
          <w:p>
            <w:pPr>
              <w:spacing w:line="360" w:lineRule="auto"/>
              <w:ind w:firstLine="480" w:firstLineChars="200"/>
              <w:rPr>
                <w:rFonts w:hint="eastAsia"/>
                <w:sz w:val="24"/>
              </w:rPr>
            </w:pPr>
            <w:r>
              <w:rPr>
                <w:sz w:val="24"/>
              </w:rPr>
              <w:t>pH、COD、BOD</w:t>
            </w:r>
            <w:r>
              <w:rPr>
                <w:sz w:val="24"/>
                <w:vertAlign w:val="subscript"/>
              </w:rPr>
              <w:t>5</w:t>
            </w:r>
            <w:r>
              <w:rPr>
                <w:sz w:val="24"/>
              </w:rPr>
              <w:t>、氨氮、总磷、石油类共6项</w:t>
            </w:r>
            <w:r>
              <w:rPr>
                <w:bCs/>
                <w:sz w:val="24"/>
              </w:rPr>
              <w:t>，</w:t>
            </w:r>
            <w:r>
              <w:rPr>
                <w:sz w:val="24"/>
              </w:rPr>
              <w:t>同时监测流量和水温。</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lang/>
              </w:rPr>
              <w:t>③</w:t>
            </w:r>
            <w:r>
              <w:rPr>
                <w:sz w:val="24"/>
              </w:rPr>
              <w:fldChar w:fldCharType="end"/>
            </w:r>
            <w:r>
              <w:rPr>
                <w:sz w:val="24"/>
              </w:rPr>
              <w:t>监测结果</w:t>
            </w:r>
          </w:p>
          <w:p>
            <w:pPr>
              <w:spacing w:line="360" w:lineRule="auto"/>
              <w:ind w:firstLine="480" w:firstLineChars="200"/>
              <w:rPr>
                <w:sz w:val="24"/>
              </w:rPr>
            </w:pPr>
            <w:r>
              <w:rPr>
                <w:sz w:val="24"/>
              </w:rPr>
              <w:t>201</w:t>
            </w:r>
            <w:r>
              <w:rPr>
                <w:rFonts w:hint="eastAsia"/>
                <w:sz w:val="24"/>
              </w:rPr>
              <w:t>8</w:t>
            </w:r>
            <w:r>
              <w:rPr>
                <w:sz w:val="24"/>
              </w:rPr>
              <w:t>年</w:t>
            </w:r>
            <w:r>
              <w:rPr>
                <w:rFonts w:hint="eastAsia"/>
                <w:sz w:val="24"/>
              </w:rPr>
              <w:t>9</w:t>
            </w:r>
            <w:r>
              <w:rPr>
                <w:sz w:val="24"/>
              </w:rPr>
              <w:t>月</w:t>
            </w:r>
            <w:r>
              <w:rPr>
                <w:rFonts w:hint="eastAsia"/>
                <w:sz w:val="24"/>
              </w:rPr>
              <w:t>8</w:t>
            </w:r>
            <w:r>
              <w:rPr>
                <w:sz w:val="24"/>
              </w:rPr>
              <w:t>日，</w:t>
            </w:r>
            <w:r>
              <w:rPr>
                <w:rFonts w:hint="eastAsia"/>
                <w:sz w:val="24"/>
              </w:rPr>
              <w:t>迪庆山水环保科技有限公司</w:t>
            </w:r>
            <w:r>
              <w:rPr>
                <w:sz w:val="24"/>
              </w:rPr>
              <w:t>对上述断面水质进行了现状监测，监测结果详见表</w:t>
            </w:r>
            <w:r>
              <w:rPr>
                <w:rFonts w:hint="eastAsia"/>
                <w:sz w:val="24"/>
              </w:rPr>
              <w:t>3-2</w:t>
            </w:r>
            <w:r>
              <w:rPr>
                <w:sz w:val="24"/>
              </w:rPr>
              <w:t>。</w:t>
            </w:r>
          </w:p>
          <w:p>
            <w:pPr>
              <w:spacing w:line="360" w:lineRule="auto"/>
              <w:ind w:firstLine="482" w:firstLineChars="200"/>
              <w:jc w:val="center"/>
              <w:rPr>
                <w:b/>
                <w:sz w:val="24"/>
              </w:rPr>
            </w:pPr>
          </w:p>
          <w:p>
            <w:pPr>
              <w:spacing w:line="360" w:lineRule="auto"/>
              <w:ind w:firstLine="482" w:firstLineChars="200"/>
              <w:jc w:val="center"/>
              <w:rPr>
                <w:b/>
                <w:sz w:val="24"/>
              </w:rPr>
            </w:pPr>
          </w:p>
          <w:p>
            <w:pPr>
              <w:spacing w:line="360" w:lineRule="auto"/>
              <w:ind w:firstLine="482" w:firstLineChars="200"/>
              <w:jc w:val="center"/>
              <w:rPr>
                <w:b/>
                <w:sz w:val="24"/>
              </w:rPr>
            </w:pPr>
          </w:p>
          <w:p>
            <w:pPr>
              <w:spacing w:line="360" w:lineRule="auto"/>
              <w:ind w:firstLine="482" w:firstLineChars="200"/>
              <w:jc w:val="center"/>
              <w:rPr>
                <w:b/>
                <w:sz w:val="24"/>
              </w:rPr>
            </w:pPr>
          </w:p>
          <w:p>
            <w:pPr>
              <w:spacing w:line="360" w:lineRule="auto"/>
              <w:ind w:firstLine="482" w:firstLineChars="200"/>
              <w:jc w:val="center"/>
              <w:rPr>
                <w:b/>
                <w:sz w:val="24"/>
              </w:rPr>
            </w:pPr>
            <w:r>
              <w:rPr>
                <w:b/>
                <w:sz w:val="24"/>
              </w:rPr>
              <w:t xml:space="preserve">表3-2 </w:t>
            </w:r>
            <w:r>
              <w:rPr>
                <w:rFonts w:hint="eastAsia"/>
                <w:b/>
                <w:sz w:val="24"/>
              </w:rPr>
              <w:t xml:space="preserve">   永春河</w:t>
            </w:r>
            <w:r>
              <w:rPr>
                <w:b/>
                <w:sz w:val="24"/>
              </w:rPr>
              <w:t>水质监测结果一览表  单位：mg/L</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567"/>
              <w:gridCol w:w="1312"/>
              <w:gridCol w:w="1025"/>
              <w:gridCol w:w="851"/>
              <w:gridCol w:w="850"/>
              <w:gridCol w:w="851"/>
              <w:gridCol w:w="850"/>
              <w:gridCol w:w="993"/>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blHeader/>
                <w:jc w:val="center"/>
              </w:trPr>
              <w:tc>
                <w:tcPr>
                  <w:tcW w:w="1088" w:type="dxa"/>
                  <w:gridSpan w:val="2"/>
                  <w:noWrap w:val="0"/>
                  <w:vAlign w:val="center"/>
                </w:tcPr>
                <w:p>
                  <w:pPr>
                    <w:jc w:val="center"/>
                    <w:rPr>
                      <w:szCs w:val="21"/>
                    </w:rPr>
                  </w:pPr>
                  <w:r>
                    <w:rPr>
                      <w:szCs w:val="21"/>
                    </w:rPr>
                    <w:t>采样断面</w:t>
                  </w:r>
                </w:p>
              </w:tc>
              <w:tc>
                <w:tcPr>
                  <w:tcW w:w="1312" w:type="dxa"/>
                  <w:noWrap w:val="0"/>
                  <w:vAlign w:val="center"/>
                </w:tcPr>
                <w:p>
                  <w:pPr>
                    <w:jc w:val="center"/>
                    <w:rPr>
                      <w:szCs w:val="21"/>
                    </w:rPr>
                  </w:pPr>
                  <w:r>
                    <w:rPr>
                      <w:szCs w:val="21"/>
                    </w:rPr>
                    <w:t>采样日期</w:t>
                  </w:r>
                </w:p>
              </w:tc>
              <w:tc>
                <w:tcPr>
                  <w:tcW w:w="1025" w:type="dxa"/>
                  <w:noWrap w:val="0"/>
                  <w:vAlign w:val="center"/>
                </w:tcPr>
                <w:p>
                  <w:pPr>
                    <w:jc w:val="center"/>
                    <w:rPr>
                      <w:szCs w:val="21"/>
                    </w:rPr>
                  </w:pPr>
                  <w:r>
                    <w:rPr>
                      <w:szCs w:val="21"/>
                    </w:rPr>
                    <w:t>pH</w:t>
                  </w:r>
                </w:p>
              </w:tc>
              <w:tc>
                <w:tcPr>
                  <w:tcW w:w="851" w:type="dxa"/>
                  <w:noWrap w:val="0"/>
                  <w:vAlign w:val="center"/>
                </w:tcPr>
                <w:p>
                  <w:pPr>
                    <w:jc w:val="center"/>
                    <w:rPr>
                      <w:szCs w:val="21"/>
                    </w:rPr>
                  </w:pPr>
                  <w:r>
                    <w:rPr>
                      <w:szCs w:val="21"/>
                    </w:rPr>
                    <w:t>COD</w:t>
                  </w:r>
                </w:p>
              </w:tc>
              <w:tc>
                <w:tcPr>
                  <w:tcW w:w="850" w:type="dxa"/>
                  <w:noWrap w:val="0"/>
                  <w:vAlign w:val="center"/>
                </w:tcPr>
                <w:p>
                  <w:pPr>
                    <w:jc w:val="center"/>
                    <w:rPr>
                      <w:szCs w:val="21"/>
                    </w:rPr>
                  </w:pPr>
                  <w:r>
                    <w:rPr>
                      <w:szCs w:val="21"/>
                    </w:rPr>
                    <w:t>BOD</w:t>
                  </w:r>
                  <w:r>
                    <w:rPr>
                      <w:szCs w:val="21"/>
                      <w:vertAlign w:val="subscript"/>
                    </w:rPr>
                    <w:t>5</w:t>
                  </w:r>
                </w:p>
              </w:tc>
              <w:tc>
                <w:tcPr>
                  <w:tcW w:w="851" w:type="dxa"/>
                  <w:noWrap w:val="0"/>
                  <w:vAlign w:val="center"/>
                </w:tcPr>
                <w:p>
                  <w:pPr>
                    <w:jc w:val="center"/>
                    <w:rPr>
                      <w:szCs w:val="21"/>
                    </w:rPr>
                  </w:pPr>
                  <w:r>
                    <w:rPr>
                      <w:szCs w:val="21"/>
                    </w:rPr>
                    <w:t>总磷</w:t>
                  </w:r>
                </w:p>
              </w:tc>
              <w:tc>
                <w:tcPr>
                  <w:tcW w:w="850" w:type="dxa"/>
                  <w:noWrap w:val="0"/>
                  <w:vAlign w:val="center"/>
                </w:tcPr>
                <w:p>
                  <w:pPr>
                    <w:jc w:val="center"/>
                    <w:rPr>
                      <w:szCs w:val="21"/>
                    </w:rPr>
                  </w:pPr>
                  <w:r>
                    <w:rPr>
                      <w:szCs w:val="21"/>
                    </w:rPr>
                    <w:t>氨氮</w:t>
                  </w:r>
                </w:p>
              </w:tc>
              <w:tc>
                <w:tcPr>
                  <w:tcW w:w="993" w:type="dxa"/>
                  <w:noWrap w:val="0"/>
                  <w:vAlign w:val="center"/>
                </w:tcPr>
                <w:p>
                  <w:pPr>
                    <w:jc w:val="center"/>
                    <w:rPr>
                      <w:szCs w:val="21"/>
                    </w:rPr>
                  </w:pPr>
                  <w:r>
                    <w:rPr>
                      <w:szCs w:val="21"/>
                    </w:rPr>
                    <w:t>石油类</w:t>
                  </w:r>
                </w:p>
              </w:tc>
              <w:tc>
                <w:tcPr>
                  <w:tcW w:w="1295" w:type="dxa"/>
                  <w:noWrap w:val="0"/>
                  <w:vAlign w:val="center"/>
                </w:tcPr>
                <w:p>
                  <w:pPr>
                    <w:jc w:val="center"/>
                    <w:rPr>
                      <w:rFonts w:hint="eastAsia"/>
                      <w:szCs w:val="21"/>
                    </w:rPr>
                  </w:pPr>
                  <w:r>
                    <w:rPr>
                      <w:rFonts w:hint="eastAsia"/>
                      <w:szCs w:val="21"/>
                    </w:rPr>
                    <w:t>粪大肠菌群</w:t>
                  </w:r>
                </w:p>
                <w:p>
                  <w:pPr>
                    <w:jc w:val="center"/>
                    <w:rPr>
                      <w:szCs w:val="21"/>
                    </w:rPr>
                  </w:pPr>
                  <w:r>
                    <w:rPr>
                      <w:rFonts w:hint="eastAsia"/>
                      <w:szCs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521" w:type="dxa"/>
                  <w:vMerge w:val="restart"/>
                  <w:noWrap w:val="0"/>
                  <w:vAlign w:val="center"/>
                </w:tcPr>
                <w:p>
                  <w:pPr>
                    <w:widowControl/>
                    <w:jc w:val="left"/>
                    <w:rPr>
                      <w:szCs w:val="21"/>
                    </w:rPr>
                  </w:pPr>
                  <w:r>
                    <w:rPr>
                      <w:rFonts w:hint="eastAsia"/>
                      <w:szCs w:val="21"/>
                    </w:rPr>
                    <w:t>永春河</w:t>
                  </w:r>
                </w:p>
              </w:tc>
              <w:tc>
                <w:tcPr>
                  <w:tcW w:w="567" w:type="dxa"/>
                  <w:vMerge w:val="restart"/>
                  <w:noWrap w:val="0"/>
                  <w:vAlign w:val="center"/>
                </w:tcPr>
                <w:p>
                  <w:pPr>
                    <w:widowControl/>
                    <w:jc w:val="left"/>
                    <w:rPr>
                      <w:szCs w:val="21"/>
                    </w:rPr>
                  </w:pPr>
                  <w:r>
                    <w:rPr>
                      <w:rFonts w:hint="eastAsia"/>
                      <w:szCs w:val="21"/>
                    </w:rPr>
                    <w:t>W1</w:t>
                  </w:r>
                </w:p>
              </w:tc>
              <w:tc>
                <w:tcPr>
                  <w:tcW w:w="1312" w:type="dxa"/>
                  <w:noWrap w:val="0"/>
                  <w:vAlign w:val="center"/>
                </w:tcPr>
                <w:p>
                  <w:pPr>
                    <w:widowControl/>
                    <w:jc w:val="center"/>
                    <w:rPr>
                      <w:kern w:val="0"/>
                      <w:szCs w:val="21"/>
                    </w:rPr>
                  </w:pPr>
                  <w:r>
                    <w:rPr>
                      <w:rFonts w:hint="eastAsia"/>
                      <w:kern w:val="0"/>
                      <w:szCs w:val="21"/>
                    </w:rPr>
                    <w:t>2018.9.18</w:t>
                  </w:r>
                </w:p>
              </w:tc>
              <w:tc>
                <w:tcPr>
                  <w:tcW w:w="1025" w:type="dxa"/>
                  <w:noWrap w:val="0"/>
                  <w:vAlign w:val="center"/>
                </w:tcPr>
                <w:p>
                  <w:pPr>
                    <w:jc w:val="center"/>
                    <w:rPr>
                      <w:szCs w:val="21"/>
                    </w:rPr>
                  </w:pPr>
                  <w:r>
                    <w:rPr>
                      <w:rFonts w:hint="eastAsia"/>
                      <w:szCs w:val="21"/>
                    </w:rPr>
                    <w:t>7.34</w:t>
                  </w:r>
                </w:p>
              </w:tc>
              <w:tc>
                <w:tcPr>
                  <w:tcW w:w="851" w:type="dxa"/>
                  <w:noWrap w:val="0"/>
                  <w:vAlign w:val="center"/>
                </w:tcPr>
                <w:p>
                  <w:pPr>
                    <w:jc w:val="center"/>
                    <w:rPr>
                      <w:szCs w:val="21"/>
                    </w:rPr>
                  </w:pPr>
                  <w:r>
                    <w:rPr>
                      <w:rFonts w:hint="eastAsia" w:eastAsia="仿宋_GB2312"/>
                      <w:szCs w:val="21"/>
                    </w:rPr>
                    <w:t xml:space="preserve"> 25</w:t>
                  </w:r>
                </w:p>
              </w:tc>
              <w:tc>
                <w:tcPr>
                  <w:tcW w:w="850" w:type="dxa"/>
                  <w:noWrap w:val="0"/>
                  <w:vAlign w:val="center"/>
                </w:tcPr>
                <w:p>
                  <w:pPr>
                    <w:jc w:val="center"/>
                    <w:rPr>
                      <w:szCs w:val="21"/>
                    </w:rPr>
                  </w:pPr>
                  <w:r>
                    <w:rPr>
                      <w:rFonts w:hint="eastAsia" w:eastAsia="仿宋_GB2312"/>
                      <w:szCs w:val="21"/>
                    </w:rPr>
                    <w:t xml:space="preserve">4.1 </w:t>
                  </w:r>
                </w:p>
              </w:tc>
              <w:tc>
                <w:tcPr>
                  <w:tcW w:w="851" w:type="dxa"/>
                  <w:noWrap w:val="0"/>
                  <w:vAlign w:val="center"/>
                </w:tcPr>
                <w:p>
                  <w:pPr>
                    <w:jc w:val="center"/>
                    <w:rPr>
                      <w:szCs w:val="21"/>
                    </w:rPr>
                  </w:pPr>
                  <w:r>
                    <w:rPr>
                      <w:rFonts w:hint="eastAsia"/>
                      <w:szCs w:val="21"/>
                    </w:rPr>
                    <w:t>0.09</w:t>
                  </w:r>
                </w:p>
              </w:tc>
              <w:tc>
                <w:tcPr>
                  <w:tcW w:w="850" w:type="dxa"/>
                  <w:noWrap w:val="0"/>
                  <w:vAlign w:val="center"/>
                </w:tcPr>
                <w:p>
                  <w:pPr>
                    <w:jc w:val="center"/>
                    <w:rPr>
                      <w:szCs w:val="21"/>
                    </w:rPr>
                  </w:pPr>
                  <w:r>
                    <w:rPr>
                      <w:rFonts w:hint="eastAsia"/>
                      <w:szCs w:val="21"/>
                    </w:rPr>
                    <w:t>0.563</w:t>
                  </w:r>
                </w:p>
              </w:tc>
              <w:tc>
                <w:tcPr>
                  <w:tcW w:w="993" w:type="dxa"/>
                  <w:noWrap w:val="0"/>
                  <w:vAlign w:val="center"/>
                </w:tcPr>
                <w:p>
                  <w:pPr>
                    <w:jc w:val="center"/>
                    <w:rPr>
                      <w:szCs w:val="21"/>
                    </w:rPr>
                  </w:pPr>
                  <w:r>
                    <w:rPr>
                      <w:rFonts w:eastAsia="仿宋_GB2312"/>
                      <w:szCs w:val="21"/>
                    </w:rPr>
                    <w:t>≤</w:t>
                  </w:r>
                  <w:r>
                    <w:rPr>
                      <w:szCs w:val="21"/>
                    </w:rPr>
                    <w:t>0.0</w:t>
                  </w:r>
                  <w:r>
                    <w:rPr>
                      <w:rFonts w:hint="eastAsia"/>
                      <w:szCs w:val="21"/>
                    </w:rPr>
                    <w:t>4</w:t>
                  </w:r>
                  <w:r>
                    <w:rPr>
                      <w:rFonts w:hint="eastAsia" w:eastAsia="仿宋_GB2312"/>
                      <w:szCs w:val="21"/>
                    </w:rPr>
                    <w:t xml:space="preserve"> </w:t>
                  </w:r>
                </w:p>
              </w:tc>
              <w:tc>
                <w:tcPr>
                  <w:tcW w:w="1295" w:type="dxa"/>
                  <w:noWrap w:val="0"/>
                  <w:vAlign w:val="center"/>
                </w:tcPr>
                <w:p>
                  <w:pPr>
                    <w:jc w:val="center"/>
                    <w:rPr>
                      <w:szCs w:val="21"/>
                    </w:rPr>
                  </w:pPr>
                  <w:r>
                    <w:rPr>
                      <w:rFonts w:hint="eastAsia"/>
                      <w:szCs w:val="21"/>
                    </w:rPr>
                    <w:t>1.1×10</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521" w:type="dxa"/>
                  <w:vMerge w:val="continue"/>
                  <w:noWrap w:val="0"/>
                  <w:vAlign w:val="center"/>
                </w:tcPr>
                <w:p>
                  <w:pPr>
                    <w:widowControl/>
                    <w:jc w:val="left"/>
                    <w:rPr>
                      <w:szCs w:val="21"/>
                    </w:rPr>
                  </w:pPr>
                </w:p>
              </w:tc>
              <w:tc>
                <w:tcPr>
                  <w:tcW w:w="567" w:type="dxa"/>
                  <w:vMerge w:val="continue"/>
                  <w:noWrap w:val="0"/>
                  <w:vAlign w:val="center"/>
                </w:tcPr>
                <w:p>
                  <w:pPr>
                    <w:widowControl/>
                    <w:jc w:val="left"/>
                    <w:rPr>
                      <w:szCs w:val="21"/>
                    </w:rPr>
                  </w:pPr>
                </w:p>
              </w:tc>
              <w:tc>
                <w:tcPr>
                  <w:tcW w:w="1312" w:type="dxa"/>
                  <w:noWrap w:val="0"/>
                  <w:vAlign w:val="center"/>
                </w:tcPr>
                <w:p>
                  <w:pPr>
                    <w:jc w:val="center"/>
                    <w:rPr>
                      <w:szCs w:val="21"/>
                    </w:rPr>
                  </w:pPr>
                  <w:r>
                    <w:rPr>
                      <w:szCs w:val="21"/>
                    </w:rPr>
                    <w:t>标准值</w:t>
                  </w:r>
                </w:p>
              </w:tc>
              <w:tc>
                <w:tcPr>
                  <w:tcW w:w="1025" w:type="dxa"/>
                  <w:noWrap w:val="0"/>
                  <w:vAlign w:val="center"/>
                </w:tcPr>
                <w:p>
                  <w:pPr>
                    <w:jc w:val="center"/>
                    <w:rPr>
                      <w:szCs w:val="21"/>
                    </w:rPr>
                  </w:pPr>
                  <w:r>
                    <w:rPr>
                      <w:kern w:val="0"/>
                      <w:szCs w:val="21"/>
                    </w:rPr>
                    <w:t>6~9</w:t>
                  </w:r>
                </w:p>
              </w:tc>
              <w:tc>
                <w:tcPr>
                  <w:tcW w:w="851" w:type="dxa"/>
                  <w:noWrap w:val="0"/>
                  <w:vAlign w:val="center"/>
                </w:tcPr>
                <w:p>
                  <w:pPr>
                    <w:jc w:val="center"/>
                    <w:rPr>
                      <w:szCs w:val="21"/>
                    </w:rPr>
                  </w:pPr>
                  <w:r>
                    <w:rPr>
                      <w:rFonts w:hint="eastAsia"/>
                      <w:szCs w:val="21"/>
                    </w:rPr>
                    <w:t xml:space="preserve"> 30</w:t>
                  </w:r>
                </w:p>
              </w:tc>
              <w:tc>
                <w:tcPr>
                  <w:tcW w:w="850" w:type="dxa"/>
                  <w:noWrap w:val="0"/>
                  <w:vAlign w:val="center"/>
                </w:tcPr>
                <w:p>
                  <w:pPr>
                    <w:jc w:val="center"/>
                    <w:rPr>
                      <w:szCs w:val="21"/>
                    </w:rPr>
                  </w:pPr>
                  <w:r>
                    <w:rPr>
                      <w:rFonts w:hint="eastAsia"/>
                      <w:szCs w:val="21"/>
                    </w:rPr>
                    <w:t>6</w:t>
                  </w:r>
                </w:p>
              </w:tc>
              <w:tc>
                <w:tcPr>
                  <w:tcW w:w="851" w:type="dxa"/>
                  <w:noWrap w:val="0"/>
                  <w:vAlign w:val="center"/>
                </w:tcPr>
                <w:p>
                  <w:pPr>
                    <w:jc w:val="center"/>
                    <w:rPr>
                      <w:szCs w:val="21"/>
                    </w:rPr>
                  </w:pPr>
                  <w:r>
                    <w:rPr>
                      <w:rFonts w:hint="eastAsia"/>
                      <w:szCs w:val="21"/>
                    </w:rPr>
                    <w:t>0.3</w:t>
                  </w:r>
                </w:p>
              </w:tc>
              <w:tc>
                <w:tcPr>
                  <w:tcW w:w="850" w:type="dxa"/>
                  <w:noWrap w:val="0"/>
                  <w:vAlign w:val="center"/>
                </w:tcPr>
                <w:p>
                  <w:pPr>
                    <w:jc w:val="center"/>
                    <w:rPr>
                      <w:szCs w:val="21"/>
                    </w:rPr>
                  </w:pPr>
                  <w:r>
                    <w:rPr>
                      <w:rFonts w:hint="eastAsia"/>
                      <w:kern w:val="0"/>
                      <w:szCs w:val="21"/>
                    </w:rPr>
                    <w:t>1.5</w:t>
                  </w:r>
                </w:p>
              </w:tc>
              <w:tc>
                <w:tcPr>
                  <w:tcW w:w="993" w:type="dxa"/>
                  <w:noWrap w:val="0"/>
                  <w:vAlign w:val="center"/>
                </w:tcPr>
                <w:p>
                  <w:pPr>
                    <w:jc w:val="center"/>
                    <w:rPr>
                      <w:szCs w:val="21"/>
                    </w:rPr>
                  </w:pPr>
                  <w:r>
                    <w:rPr>
                      <w:rFonts w:hint="eastAsia"/>
                      <w:kern w:val="0"/>
                      <w:szCs w:val="21"/>
                    </w:rPr>
                    <w:t>0.5</w:t>
                  </w:r>
                </w:p>
              </w:tc>
              <w:tc>
                <w:tcPr>
                  <w:tcW w:w="1295" w:type="dxa"/>
                  <w:noWrap w:val="0"/>
                  <w:vAlign w:val="center"/>
                </w:tcPr>
                <w:p>
                  <w:pPr>
                    <w:jc w:val="center"/>
                    <w:rPr>
                      <w:szCs w:val="21"/>
                    </w:rPr>
                  </w:pPr>
                  <w:r>
                    <w:rPr>
                      <w:rFonts w:hint="eastAsia"/>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521" w:type="dxa"/>
                  <w:vMerge w:val="continue"/>
                  <w:noWrap w:val="0"/>
                  <w:vAlign w:val="center"/>
                </w:tcPr>
                <w:p>
                  <w:pPr>
                    <w:widowControl/>
                    <w:jc w:val="left"/>
                    <w:rPr>
                      <w:szCs w:val="21"/>
                    </w:rPr>
                  </w:pPr>
                </w:p>
              </w:tc>
              <w:tc>
                <w:tcPr>
                  <w:tcW w:w="567" w:type="dxa"/>
                  <w:vMerge w:val="continue"/>
                  <w:noWrap w:val="0"/>
                  <w:vAlign w:val="center"/>
                </w:tcPr>
                <w:p>
                  <w:pPr>
                    <w:widowControl/>
                    <w:jc w:val="left"/>
                    <w:rPr>
                      <w:szCs w:val="21"/>
                    </w:rPr>
                  </w:pPr>
                </w:p>
              </w:tc>
              <w:tc>
                <w:tcPr>
                  <w:tcW w:w="1312" w:type="dxa"/>
                  <w:noWrap w:val="0"/>
                  <w:vAlign w:val="center"/>
                </w:tcPr>
                <w:p>
                  <w:pPr>
                    <w:jc w:val="center"/>
                    <w:rPr>
                      <w:szCs w:val="21"/>
                    </w:rPr>
                  </w:pPr>
                  <w:r>
                    <w:rPr>
                      <w:szCs w:val="21"/>
                    </w:rPr>
                    <w:t>达标情况</w:t>
                  </w:r>
                </w:p>
              </w:tc>
              <w:tc>
                <w:tcPr>
                  <w:tcW w:w="1025" w:type="dxa"/>
                  <w:noWrap w:val="0"/>
                  <w:vAlign w:val="center"/>
                </w:tcPr>
                <w:p>
                  <w:pPr>
                    <w:jc w:val="center"/>
                    <w:rPr>
                      <w:szCs w:val="21"/>
                    </w:rPr>
                  </w:pPr>
                  <w:r>
                    <w:rPr>
                      <w:szCs w:val="21"/>
                    </w:rPr>
                    <w:t>达标</w:t>
                  </w:r>
                </w:p>
              </w:tc>
              <w:tc>
                <w:tcPr>
                  <w:tcW w:w="851" w:type="dxa"/>
                  <w:noWrap w:val="0"/>
                  <w:vAlign w:val="center"/>
                </w:tcPr>
                <w:p>
                  <w:pPr>
                    <w:jc w:val="center"/>
                    <w:rPr>
                      <w:szCs w:val="21"/>
                    </w:rPr>
                  </w:pPr>
                  <w:r>
                    <w:rPr>
                      <w:szCs w:val="21"/>
                    </w:rPr>
                    <w:t>达标</w:t>
                  </w:r>
                </w:p>
              </w:tc>
              <w:tc>
                <w:tcPr>
                  <w:tcW w:w="850" w:type="dxa"/>
                  <w:noWrap w:val="0"/>
                  <w:vAlign w:val="center"/>
                </w:tcPr>
                <w:p>
                  <w:pPr>
                    <w:jc w:val="center"/>
                    <w:rPr>
                      <w:szCs w:val="21"/>
                    </w:rPr>
                  </w:pPr>
                  <w:r>
                    <w:rPr>
                      <w:szCs w:val="21"/>
                    </w:rPr>
                    <w:t>达标</w:t>
                  </w:r>
                </w:p>
              </w:tc>
              <w:tc>
                <w:tcPr>
                  <w:tcW w:w="851" w:type="dxa"/>
                  <w:noWrap w:val="0"/>
                  <w:vAlign w:val="center"/>
                </w:tcPr>
                <w:p>
                  <w:pPr>
                    <w:jc w:val="center"/>
                    <w:rPr>
                      <w:szCs w:val="21"/>
                    </w:rPr>
                  </w:pPr>
                  <w:r>
                    <w:rPr>
                      <w:szCs w:val="21"/>
                    </w:rPr>
                    <w:t>达标</w:t>
                  </w:r>
                </w:p>
              </w:tc>
              <w:tc>
                <w:tcPr>
                  <w:tcW w:w="850" w:type="dxa"/>
                  <w:noWrap w:val="0"/>
                  <w:vAlign w:val="center"/>
                </w:tcPr>
                <w:p>
                  <w:pPr>
                    <w:jc w:val="center"/>
                    <w:rPr>
                      <w:szCs w:val="21"/>
                    </w:rPr>
                  </w:pPr>
                  <w:r>
                    <w:rPr>
                      <w:szCs w:val="21"/>
                    </w:rPr>
                    <w:t>达标</w:t>
                  </w:r>
                </w:p>
              </w:tc>
              <w:tc>
                <w:tcPr>
                  <w:tcW w:w="993" w:type="dxa"/>
                  <w:noWrap w:val="0"/>
                  <w:vAlign w:val="center"/>
                </w:tcPr>
                <w:p>
                  <w:pPr>
                    <w:jc w:val="center"/>
                    <w:rPr>
                      <w:szCs w:val="21"/>
                    </w:rPr>
                  </w:pPr>
                  <w:r>
                    <w:rPr>
                      <w:szCs w:val="21"/>
                    </w:rPr>
                    <w:t>达</w:t>
                  </w:r>
                  <w:r>
                    <w:rPr>
                      <w:szCs w:val="21"/>
                    </w:rPr>
                    <w:cr/>
                  </w:r>
                </w:p>
              </w:tc>
              <w:tc>
                <w:tcPr>
                  <w:tcW w:w="1295" w:type="dxa"/>
                  <w:noWrap w:val="0"/>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521" w:type="dxa"/>
                  <w:vMerge w:val="continue"/>
                  <w:noWrap w:val="0"/>
                  <w:vAlign w:val="center"/>
                </w:tcPr>
                <w:p>
                  <w:pPr>
                    <w:widowControl/>
                    <w:jc w:val="left"/>
                    <w:rPr>
                      <w:szCs w:val="21"/>
                    </w:rPr>
                  </w:pPr>
                </w:p>
              </w:tc>
              <w:tc>
                <w:tcPr>
                  <w:tcW w:w="567" w:type="dxa"/>
                  <w:vMerge w:val="restart"/>
                  <w:noWrap w:val="0"/>
                  <w:vAlign w:val="center"/>
                </w:tcPr>
                <w:p>
                  <w:pPr>
                    <w:widowControl/>
                    <w:jc w:val="left"/>
                    <w:rPr>
                      <w:szCs w:val="21"/>
                    </w:rPr>
                  </w:pPr>
                  <w:r>
                    <w:rPr>
                      <w:rFonts w:hint="eastAsia"/>
                      <w:szCs w:val="21"/>
                    </w:rPr>
                    <w:t>W2</w:t>
                  </w:r>
                </w:p>
              </w:tc>
              <w:tc>
                <w:tcPr>
                  <w:tcW w:w="1312" w:type="dxa"/>
                  <w:noWrap w:val="0"/>
                  <w:vAlign w:val="center"/>
                </w:tcPr>
                <w:p>
                  <w:pPr>
                    <w:widowControl/>
                    <w:jc w:val="center"/>
                    <w:rPr>
                      <w:kern w:val="0"/>
                      <w:szCs w:val="21"/>
                    </w:rPr>
                  </w:pPr>
                  <w:r>
                    <w:rPr>
                      <w:rFonts w:hint="eastAsia"/>
                      <w:kern w:val="0"/>
                      <w:szCs w:val="21"/>
                    </w:rPr>
                    <w:t>2018.9.18</w:t>
                  </w:r>
                </w:p>
              </w:tc>
              <w:tc>
                <w:tcPr>
                  <w:tcW w:w="1025" w:type="dxa"/>
                  <w:noWrap w:val="0"/>
                  <w:vAlign w:val="center"/>
                </w:tcPr>
                <w:p>
                  <w:pPr>
                    <w:jc w:val="center"/>
                    <w:rPr>
                      <w:szCs w:val="21"/>
                    </w:rPr>
                  </w:pPr>
                  <w:r>
                    <w:rPr>
                      <w:rFonts w:hint="eastAsia"/>
                      <w:szCs w:val="21"/>
                    </w:rPr>
                    <w:t>7.22</w:t>
                  </w:r>
                </w:p>
              </w:tc>
              <w:tc>
                <w:tcPr>
                  <w:tcW w:w="851" w:type="dxa"/>
                  <w:noWrap w:val="0"/>
                  <w:vAlign w:val="center"/>
                </w:tcPr>
                <w:p>
                  <w:pPr>
                    <w:jc w:val="center"/>
                    <w:rPr>
                      <w:szCs w:val="21"/>
                    </w:rPr>
                  </w:pPr>
                  <w:r>
                    <w:rPr>
                      <w:rFonts w:hint="eastAsia" w:eastAsia="仿宋_GB2312"/>
                      <w:szCs w:val="21"/>
                    </w:rPr>
                    <w:t xml:space="preserve">29 </w:t>
                  </w:r>
                </w:p>
              </w:tc>
              <w:tc>
                <w:tcPr>
                  <w:tcW w:w="850" w:type="dxa"/>
                  <w:noWrap w:val="0"/>
                  <w:vAlign w:val="center"/>
                </w:tcPr>
                <w:p>
                  <w:pPr>
                    <w:jc w:val="center"/>
                    <w:rPr>
                      <w:szCs w:val="21"/>
                    </w:rPr>
                  </w:pPr>
                  <w:r>
                    <w:rPr>
                      <w:rFonts w:hint="eastAsia"/>
                      <w:szCs w:val="21"/>
                    </w:rPr>
                    <w:t>2.3</w:t>
                  </w:r>
                </w:p>
              </w:tc>
              <w:tc>
                <w:tcPr>
                  <w:tcW w:w="851" w:type="dxa"/>
                  <w:noWrap w:val="0"/>
                  <w:vAlign w:val="center"/>
                </w:tcPr>
                <w:p>
                  <w:pPr>
                    <w:jc w:val="center"/>
                    <w:rPr>
                      <w:szCs w:val="21"/>
                    </w:rPr>
                  </w:pPr>
                  <w:r>
                    <w:rPr>
                      <w:rFonts w:hint="eastAsia"/>
                      <w:szCs w:val="21"/>
                    </w:rPr>
                    <w:t>0.23</w:t>
                  </w:r>
                </w:p>
              </w:tc>
              <w:tc>
                <w:tcPr>
                  <w:tcW w:w="850" w:type="dxa"/>
                  <w:noWrap w:val="0"/>
                  <w:vAlign w:val="center"/>
                </w:tcPr>
                <w:p>
                  <w:pPr>
                    <w:jc w:val="center"/>
                    <w:rPr>
                      <w:b/>
                      <w:szCs w:val="21"/>
                    </w:rPr>
                  </w:pPr>
                  <w:r>
                    <w:rPr>
                      <w:rFonts w:hint="eastAsia"/>
                      <w:b/>
                      <w:szCs w:val="21"/>
                    </w:rPr>
                    <w:t>0.795</w:t>
                  </w:r>
                </w:p>
              </w:tc>
              <w:tc>
                <w:tcPr>
                  <w:tcW w:w="993" w:type="dxa"/>
                  <w:noWrap w:val="0"/>
                  <w:vAlign w:val="center"/>
                </w:tcPr>
                <w:p>
                  <w:pPr>
                    <w:jc w:val="center"/>
                    <w:rPr>
                      <w:szCs w:val="21"/>
                    </w:rPr>
                  </w:pPr>
                  <w:r>
                    <w:rPr>
                      <w:rFonts w:eastAsia="仿宋_GB2312"/>
                      <w:szCs w:val="21"/>
                    </w:rPr>
                    <w:t>≤</w:t>
                  </w:r>
                  <w:r>
                    <w:rPr>
                      <w:szCs w:val="21"/>
                    </w:rPr>
                    <w:t>0.0</w:t>
                  </w:r>
                  <w:r>
                    <w:rPr>
                      <w:rFonts w:hint="eastAsia"/>
                      <w:szCs w:val="21"/>
                    </w:rPr>
                    <w:t>4</w:t>
                  </w:r>
                  <w:r>
                    <w:rPr>
                      <w:rFonts w:hint="eastAsia" w:eastAsia="仿宋_GB2312"/>
                      <w:szCs w:val="21"/>
                    </w:rPr>
                    <w:t xml:space="preserve"> </w:t>
                  </w:r>
                </w:p>
              </w:tc>
              <w:tc>
                <w:tcPr>
                  <w:tcW w:w="1295" w:type="dxa"/>
                  <w:noWrap w:val="0"/>
                  <w:vAlign w:val="center"/>
                </w:tcPr>
                <w:p>
                  <w:pPr>
                    <w:jc w:val="center"/>
                    <w:rPr>
                      <w:szCs w:val="21"/>
                    </w:rPr>
                  </w:pPr>
                  <w:r>
                    <w:rPr>
                      <w:rFonts w:hint="eastAsia"/>
                      <w:szCs w:val="21"/>
                    </w:rPr>
                    <w:t>2.4×10</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521" w:type="dxa"/>
                  <w:vMerge w:val="continue"/>
                  <w:noWrap w:val="0"/>
                  <w:vAlign w:val="center"/>
                </w:tcPr>
                <w:p>
                  <w:pPr>
                    <w:widowControl/>
                    <w:jc w:val="left"/>
                    <w:rPr>
                      <w:szCs w:val="21"/>
                    </w:rPr>
                  </w:pPr>
                </w:p>
              </w:tc>
              <w:tc>
                <w:tcPr>
                  <w:tcW w:w="567" w:type="dxa"/>
                  <w:vMerge w:val="continue"/>
                  <w:noWrap w:val="0"/>
                  <w:vAlign w:val="center"/>
                </w:tcPr>
                <w:p>
                  <w:pPr>
                    <w:widowControl/>
                    <w:jc w:val="left"/>
                    <w:rPr>
                      <w:szCs w:val="21"/>
                    </w:rPr>
                  </w:pPr>
                </w:p>
              </w:tc>
              <w:tc>
                <w:tcPr>
                  <w:tcW w:w="1312" w:type="dxa"/>
                  <w:noWrap w:val="0"/>
                  <w:vAlign w:val="center"/>
                </w:tcPr>
                <w:p>
                  <w:pPr>
                    <w:jc w:val="center"/>
                    <w:rPr>
                      <w:szCs w:val="21"/>
                    </w:rPr>
                  </w:pPr>
                  <w:r>
                    <w:rPr>
                      <w:szCs w:val="21"/>
                    </w:rPr>
                    <w:t>标准值</w:t>
                  </w:r>
                </w:p>
              </w:tc>
              <w:tc>
                <w:tcPr>
                  <w:tcW w:w="1025" w:type="dxa"/>
                  <w:noWrap w:val="0"/>
                  <w:vAlign w:val="center"/>
                </w:tcPr>
                <w:p>
                  <w:pPr>
                    <w:jc w:val="center"/>
                    <w:rPr>
                      <w:szCs w:val="21"/>
                    </w:rPr>
                  </w:pPr>
                  <w:r>
                    <w:rPr>
                      <w:kern w:val="0"/>
                      <w:szCs w:val="21"/>
                    </w:rPr>
                    <w:t>6~9</w:t>
                  </w:r>
                </w:p>
              </w:tc>
              <w:tc>
                <w:tcPr>
                  <w:tcW w:w="851" w:type="dxa"/>
                  <w:noWrap w:val="0"/>
                  <w:vAlign w:val="center"/>
                </w:tcPr>
                <w:p>
                  <w:pPr>
                    <w:jc w:val="center"/>
                    <w:rPr>
                      <w:szCs w:val="21"/>
                    </w:rPr>
                  </w:pPr>
                  <w:r>
                    <w:rPr>
                      <w:rFonts w:hint="eastAsia"/>
                      <w:szCs w:val="21"/>
                    </w:rPr>
                    <w:t xml:space="preserve"> 30</w:t>
                  </w:r>
                </w:p>
              </w:tc>
              <w:tc>
                <w:tcPr>
                  <w:tcW w:w="850" w:type="dxa"/>
                  <w:noWrap w:val="0"/>
                  <w:vAlign w:val="center"/>
                </w:tcPr>
                <w:p>
                  <w:pPr>
                    <w:jc w:val="center"/>
                    <w:rPr>
                      <w:szCs w:val="21"/>
                    </w:rPr>
                  </w:pPr>
                  <w:r>
                    <w:rPr>
                      <w:rFonts w:hint="eastAsia"/>
                      <w:szCs w:val="21"/>
                    </w:rPr>
                    <w:t>6</w:t>
                  </w:r>
                </w:p>
              </w:tc>
              <w:tc>
                <w:tcPr>
                  <w:tcW w:w="851" w:type="dxa"/>
                  <w:noWrap w:val="0"/>
                  <w:vAlign w:val="center"/>
                </w:tcPr>
                <w:p>
                  <w:pPr>
                    <w:jc w:val="center"/>
                    <w:rPr>
                      <w:szCs w:val="21"/>
                    </w:rPr>
                  </w:pPr>
                  <w:r>
                    <w:rPr>
                      <w:rFonts w:hint="eastAsia"/>
                      <w:szCs w:val="21"/>
                    </w:rPr>
                    <w:t>0.3</w:t>
                  </w:r>
                </w:p>
              </w:tc>
              <w:tc>
                <w:tcPr>
                  <w:tcW w:w="850" w:type="dxa"/>
                  <w:noWrap w:val="0"/>
                  <w:vAlign w:val="center"/>
                </w:tcPr>
                <w:p>
                  <w:pPr>
                    <w:jc w:val="center"/>
                    <w:rPr>
                      <w:szCs w:val="21"/>
                    </w:rPr>
                  </w:pPr>
                  <w:r>
                    <w:rPr>
                      <w:rFonts w:hint="eastAsia"/>
                      <w:kern w:val="0"/>
                      <w:szCs w:val="21"/>
                    </w:rPr>
                    <w:t>1.5</w:t>
                  </w:r>
                </w:p>
              </w:tc>
              <w:tc>
                <w:tcPr>
                  <w:tcW w:w="993" w:type="dxa"/>
                  <w:noWrap w:val="0"/>
                  <w:vAlign w:val="center"/>
                </w:tcPr>
                <w:p>
                  <w:pPr>
                    <w:jc w:val="center"/>
                    <w:rPr>
                      <w:szCs w:val="21"/>
                    </w:rPr>
                  </w:pPr>
                  <w:r>
                    <w:rPr>
                      <w:rFonts w:hint="eastAsia"/>
                      <w:kern w:val="0"/>
                      <w:szCs w:val="21"/>
                    </w:rPr>
                    <w:t>0.5</w:t>
                  </w:r>
                </w:p>
              </w:tc>
              <w:tc>
                <w:tcPr>
                  <w:tcW w:w="1295" w:type="dxa"/>
                  <w:noWrap w:val="0"/>
                  <w:vAlign w:val="center"/>
                </w:tcPr>
                <w:p>
                  <w:pPr>
                    <w:jc w:val="center"/>
                    <w:rPr>
                      <w:szCs w:val="21"/>
                    </w:rPr>
                  </w:pPr>
                  <w:r>
                    <w:rPr>
                      <w:rFonts w:hint="eastAsia"/>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521" w:type="dxa"/>
                  <w:vMerge w:val="continue"/>
                  <w:noWrap w:val="0"/>
                  <w:vAlign w:val="center"/>
                </w:tcPr>
                <w:p>
                  <w:pPr>
                    <w:widowControl/>
                    <w:jc w:val="left"/>
                    <w:rPr>
                      <w:szCs w:val="21"/>
                    </w:rPr>
                  </w:pPr>
                </w:p>
              </w:tc>
              <w:tc>
                <w:tcPr>
                  <w:tcW w:w="567" w:type="dxa"/>
                  <w:vMerge w:val="continue"/>
                  <w:noWrap w:val="0"/>
                  <w:vAlign w:val="center"/>
                </w:tcPr>
                <w:p>
                  <w:pPr>
                    <w:widowControl/>
                    <w:jc w:val="left"/>
                    <w:rPr>
                      <w:szCs w:val="21"/>
                    </w:rPr>
                  </w:pPr>
                </w:p>
              </w:tc>
              <w:tc>
                <w:tcPr>
                  <w:tcW w:w="1312" w:type="dxa"/>
                  <w:noWrap w:val="0"/>
                  <w:vAlign w:val="center"/>
                </w:tcPr>
                <w:p>
                  <w:pPr>
                    <w:jc w:val="center"/>
                    <w:rPr>
                      <w:szCs w:val="21"/>
                    </w:rPr>
                  </w:pPr>
                  <w:r>
                    <w:rPr>
                      <w:szCs w:val="21"/>
                    </w:rPr>
                    <w:t>达标情况</w:t>
                  </w:r>
                </w:p>
              </w:tc>
              <w:tc>
                <w:tcPr>
                  <w:tcW w:w="1025" w:type="dxa"/>
                  <w:noWrap w:val="0"/>
                  <w:vAlign w:val="center"/>
                </w:tcPr>
                <w:p>
                  <w:pPr>
                    <w:jc w:val="center"/>
                    <w:rPr>
                      <w:szCs w:val="21"/>
                    </w:rPr>
                  </w:pPr>
                  <w:r>
                    <w:rPr>
                      <w:szCs w:val="21"/>
                    </w:rPr>
                    <w:t>达标</w:t>
                  </w:r>
                </w:p>
              </w:tc>
              <w:tc>
                <w:tcPr>
                  <w:tcW w:w="851" w:type="dxa"/>
                  <w:noWrap w:val="0"/>
                  <w:vAlign w:val="center"/>
                </w:tcPr>
                <w:p>
                  <w:pPr>
                    <w:jc w:val="center"/>
                    <w:rPr>
                      <w:szCs w:val="21"/>
                    </w:rPr>
                  </w:pPr>
                  <w:r>
                    <w:rPr>
                      <w:szCs w:val="21"/>
                    </w:rPr>
                    <w:t>达标</w:t>
                  </w:r>
                </w:p>
              </w:tc>
              <w:tc>
                <w:tcPr>
                  <w:tcW w:w="850" w:type="dxa"/>
                  <w:noWrap w:val="0"/>
                  <w:vAlign w:val="center"/>
                </w:tcPr>
                <w:p>
                  <w:pPr>
                    <w:jc w:val="center"/>
                    <w:rPr>
                      <w:szCs w:val="21"/>
                    </w:rPr>
                  </w:pPr>
                  <w:r>
                    <w:rPr>
                      <w:szCs w:val="21"/>
                    </w:rPr>
                    <w:t>达标</w:t>
                  </w:r>
                </w:p>
              </w:tc>
              <w:tc>
                <w:tcPr>
                  <w:tcW w:w="851" w:type="dxa"/>
                  <w:noWrap w:val="0"/>
                  <w:vAlign w:val="center"/>
                </w:tcPr>
                <w:p>
                  <w:pPr>
                    <w:jc w:val="center"/>
                    <w:rPr>
                      <w:szCs w:val="21"/>
                    </w:rPr>
                  </w:pPr>
                  <w:r>
                    <w:rPr>
                      <w:szCs w:val="21"/>
                    </w:rPr>
                    <w:t>达标</w:t>
                  </w:r>
                </w:p>
              </w:tc>
              <w:tc>
                <w:tcPr>
                  <w:tcW w:w="850" w:type="dxa"/>
                  <w:noWrap w:val="0"/>
                  <w:vAlign w:val="center"/>
                </w:tcPr>
                <w:p>
                  <w:pPr>
                    <w:jc w:val="center"/>
                    <w:rPr>
                      <w:szCs w:val="21"/>
                    </w:rPr>
                  </w:pPr>
                  <w:r>
                    <w:rPr>
                      <w:szCs w:val="21"/>
                    </w:rPr>
                    <w:t>达标</w:t>
                  </w:r>
                </w:p>
              </w:tc>
              <w:tc>
                <w:tcPr>
                  <w:tcW w:w="993" w:type="dxa"/>
                  <w:noWrap w:val="0"/>
                  <w:vAlign w:val="center"/>
                </w:tcPr>
                <w:p>
                  <w:pPr>
                    <w:jc w:val="center"/>
                    <w:rPr>
                      <w:szCs w:val="21"/>
                    </w:rPr>
                  </w:pPr>
                  <w:r>
                    <w:rPr>
                      <w:szCs w:val="21"/>
                    </w:rPr>
                    <w:t>达标</w:t>
                  </w:r>
                </w:p>
              </w:tc>
              <w:tc>
                <w:tcPr>
                  <w:tcW w:w="1295" w:type="dxa"/>
                  <w:noWrap w:val="0"/>
                  <w:vAlign w:val="center"/>
                </w:tcPr>
                <w:p>
                  <w:pPr>
                    <w:jc w:val="center"/>
                    <w:rPr>
                      <w:szCs w:val="21"/>
                    </w:rPr>
                  </w:pPr>
                  <w:r>
                    <w:rPr>
                      <w:szCs w:val="21"/>
                    </w:rPr>
                    <w:t>达标</w:t>
                  </w:r>
                </w:p>
              </w:tc>
            </w:tr>
          </w:tbl>
          <w:p>
            <w:pPr>
              <w:spacing w:before="156" w:beforeLines="50" w:line="360" w:lineRule="auto"/>
              <w:ind w:firstLine="482" w:firstLineChars="200"/>
              <w:rPr>
                <w:rFonts w:hAnsi="宋体"/>
                <w:b/>
                <w:sz w:val="24"/>
              </w:rPr>
            </w:pPr>
            <w:r>
              <w:rPr>
                <w:rFonts w:hint="eastAsia" w:hAnsi="宋体"/>
                <w:b/>
                <w:sz w:val="24"/>
              </w:rPr>
              <w:t>（3）地表水</w:t>
            </w:r>
            <w:r>
              <w:rPr>
                <w:rFonts w:hAnsi="宋体"/>
                <w:b/>
                <w:sz w:val="24"/>
              </w:rPr>
              <w:t>现状</w:t>
            </w:r>
            <w:r>
              <w:rPr>
                <w:rFonts w:hint="eastAsia" w:hAnsi="宋体"/>
                <w:b/>
                <w:sz w:val="24"/>
              </w:rPr>
              <w:t>评价</w:t>
            </w:r>
          </w:p>
          <w:p>
            <w:pPr>
              <w:spacing w:line="360" w:lineRule="auto"/>
              <w:ind w:firstLine="480" w:firstLineChars="200"/>
              <w:rPr>
                <w:rFonts w:hAnsi="宋体"/>
                <w:color w:val="FF0000"/>
                <w:sz w:val="24"/>
              </w:rPr>
            </w:pPr>
            <w:r>
              <w:rPr>
                <w:rFonts w:hAnsi="宋体"/>
                <w:sz w:val="24"/>
              </w:rPr>
              <w:t>根据上述监测结果，</w:t>
            </w:r>
            <w:r>
              <w:rPr>
                <w:rFonts w:hint="eastAsia" w:hAnsi="宋体"/>
                <w:sz w:val="24"/>
              </w:rPr>
              <w:t>永春河监测</w:t>
            </w:r>
            <w:r>
              <w:rPr>
                <w:rFonts w:hAnsi="宋体"/>
                <w:sz w:val="24"/>
              </w:rPr>
              <w:t>断面水质能够达到《地表水环境质量标准》（GB3838-2002）</w:t>
            </w:r>
            <w:r>
              <w:rPr>
                <w:rFonts w:hAnsi="宋体"/>
                <w:sz w:val="24"/>
              </w:rPr>
              <w:fldChar w:fldCharType="begin"/>
            </w:r>
            <w:r>
              <w:rPr>
                <w:rFonts w:hAnsi="宋体"/>
                <w:sz w:val="24"/>
              </w:rPr>
              <w:instrText xml:space="preserve"> </w:instrText>
            </w:r>
            <w:r>
              <w:rPr>
                <w:rFonts w:hint="eastAsia" w:hAnsi="宋体"/>
                <w:sz w:val="24"/>
              </w:rPr>
              <w:instrText xml:space="preserve">= 4 \* ROMAN</w:instrText>
            </w:r>
            <w:r>
              <w:rPr>
                <w:rFonts w:hAnsi="宋体"/>
                <w:sz w:val="24"/>
              </w:rPr>
              <w:instrText xml:space="preserve"> </w:instrText>
            </w:r>
            <w:r>
              <w:rPr>
                <w:rFonts w:hAnsi="宋体"/>
                <w:sz w:val="24"/>
              </w:rPr>
              <w:fldChar w:fldCharType="separate"/>
            </w:r>
            <w:r>
              <w:rPr>
                <w:rFonts w:hAnsi="宋体"/>
                <w:sz w:val="24"/>
                <w:lang/>
              </w:rPr>
              <w:t>IV</w:t>
            </w:r>
            <w:r>
              <w:rPr>
                <w:rFonts w:hAnsi="宋体"/>
                <w:sz w:val="24"/>
              </w:rPr>
              <w:fldChar w:fldCharType="end"/>
            </w:r>
            <w:r>
              <w:rPr>
                <w:rFonts w:hAnsi="宋体"/>
                <w:sz w:val="24"/>
              </w:rPr>
              <w:t>类水质标准</w:t>
            </w:r>
            <w:r>
              <w:rPr>
                <w:rFonts w:hint="eastAsia" w:hAnsi="宋体"/>
                <w:sz w:val="24"/>
              </w:rPr>
              <w:t>。</w:t>
            </w:r>
          </w:p>
          <w:p>
            <w:pPr>
              <w:spacing w:line="360" w:lineRule="auto"/>
              <w:ind w:firstLine="482" w:firstLineChars="200"/>
              <w:rPr>
                <w:rFonts w:hAnsi="宋体"/>
                <w:b/>
                <w:sz w:val="24"/>
              </w:rPr>
            </w:pPr>
            <w:r>
              <w:rPr>
                <w:b/>
                <w:sz w:val="24"/>
              </w:rPr>
              <w:t>3</w:t>
            </w:r>
            <w:r>
              <w:rPr>
                <w:rFonts w:hAnsi="宋体"/>
                <w:b/>
                <w:sz w:val="24"/>
              </w:rPr>
              <w:t>、声环境质量状况：</w:t>
            </w:r>
          </w:p>
          <w:p>
            <w:pPr>
              <w:spacing w:line="360" w:lineRule="auto"/>
              <w:ind w:firstLine="480" w:firstLineChars="200"/>
              <w:rPr>
                <w:rFonts w:hint="eastAsia"/>
                <w:b/>
                <w:color w:val="FF0000"/>
                <w:sz w:val="24"/>
              </w:rPr>
            </w:pPr>
            <w:r>
              <w:rPr>
                <w:rFonts w:hAnsi="宋体"/>
                <w:sz w:val="24"/>
              </w:rPr>
              <w:t>项目位于</w:t>
            </w:r>
            <w:r>
              <w:rPr>
                <w:rFonts w:hint="eastAsia" w:hAnsi="宋体"/>
                <w:sz w:val="24"/>
              </w:rPr>
              <w:t>维西县保和镇，根据</w:t>
            </w:r>
            <w:r>
              <w:rPr>
                <w:rFonts w:hAnsi="宋体"/>
                <w:sz w:val="24"/>
              </w:rPr>
              <w:t>现场调查，评价区内无</w:t>
            </w:r>
            <w:r>
              <w:rPr>
                <w:rFonts w:hint="eastAsia" w:hAnsi="宋体"/>
                <w:sz w:val="24"/>
              </w:rPr>
              <w:t>噪声</w:t>
            </w:r>
            <w:r>
              <w:rPr>
                <w:rFonts w:hAnsi="宋体"/>
                <w:sz w:val="24"/>
              </w:rPr>
              <w:t>污染源</w:t>
            </w:r>
            <w:r>
              <w:rPr>
                <w:rFonts w:hint="eastAsia" w:hAnsi="宋体"/>
                <w:sz w:val="24"/>
              </w:rPr>
              <w:t>，</w:t>
            </w:r>
            <w:r>
              <w:rPr>
                <w:rFonts w:hAnsi="宋体"/>
                <w:sz w:val="24"/>
              </w:rPr>
              <w:t>主要噪声来源于</w:t>
            </w:r>
            <w:r>
              <w:rPr>
                <w:rFonts w:hint="eastAsia" w:hAnsi="宋体"/>
                <w:sz w:val="24"/>
              </w:rPr>
              <w:t>城市</w:t>
            </w:r>
            <w:r>
              <w:rPr>
                <w:rFonts w:hAnsi="宋体"/>
                <w:sz w:val="24"/>
              </w:rPr>
              <w:t>交通干道交通噪声</w:t>
            </w:r>
            <w:r>
              <w:rPr>
                <w:rFonts w:hint="eastAsia" w:hAnsi="宋体"/>
                <w:sz w:val="24"/>
              </w:rPr>
              <w:t>和</w:t>
            </w:r>
            <w:r>
              <w:rPr>
                <w:rFonts w:hAnsi="宋体"/>
                <w:sz w:val="24"/>
              </w:rPr>
              <w:t>附近</w:t>
            </w:r>
            <w:r>
              <w:rPr>
                <w:rFonts w:hint="eastAsia" w:hAnsi="宋体"/>
                <w:sz w:val="24"/>
              </w:rPr>
              <w:t>超市居民</w:t>
            </w:r>
            <w:r>
              <w:rPr>
                <w:rFonts w:hAnsi="宋体"/>
                <w:sz w:val="24"/>
              </w:rPr>
              <w:t>的生活噪声。</w:t>
            </w:r>
            <w:r>
              <w:rPr>
                <w:rFonts w:hint="eastAsia"/>
                <w:sz w:val="24"/>
              </w:rPr>
              <w:t>项目所在区域道路</w:t>
            </w:r>
            <w:r>
              <w:rPr>
                <w:sz w:val="24"/>
              </w:rPr>
              <w:t>两侧执行</w:t>
            </w:r>
            <w:r>
              <w:rPr>
                <w:rFonts w:hint="eastAsia"/>
                <w:sz w:val="24"/>
              </w:rPr>
              <w:t>《声环境质量标准》</w:t>
            </w:r>
            <w:r>
              <w:rPr>
                <w:rFonts w:hAnsi="宋体"/>
                <w:sz w:val="24"/>
              </w:rPr>
              <w:t>（GB3096-2008）</w:t>
            </w:r>
            <w:r>
              <w:rPr>
                <w:rFonts w:hint="eastAsia"/>
                <w:sz w:val="24"/>
              </w:rPr>
              <w:t>中的4</w:t>
            </w:r>
            <w:r>
              <w:rPr>
                <w:sz w:val="24"/>
              </w:rPr>
              <w:t>a类标准</w:t>
            </w:r>
            <w:r>
              <w:rPr>
                <w:rFonts w:hint="eastAsia"/>
                <w:sz w:val="24"/>
              </w:rPr>
              <w:t>，</w:t>
            </w:r>
            <w:r>
              <w:rPr>
                <w:sz w:val="24"/>
              </w:rPr>
              <w:t>其他区域执行</w:t>
            </w:r>
            <w:r>
              <w:rPr>
                <w:rFonts w:hint="eastAsia"/>
                <w:sz w:val="24"/>
              </w:rPr>
              <w:t>2类</w:t>
            </w:r>
            <w:r>
              <w:rPr>
                <w:sz w:val="24"/>
              </w:rPr>
              <w:t>标准。</w:t>
            </w:r>
          </w:p>
          <w:p>
            <w:pPr>
              <w:spacing w:line="360" w:lineRule="auto"/>
              <w:ind w:firstLine="482" w:firstLineChars="200"/>
              <w:rPr>
                <w:rFonts w:hint="eastAsia" w:hAnsi="宋体"/>
                <w:b/>
                <w:sz w:val="24"/>
              </w:rPr>
            </w:pPr>
            <w:r>
              <w:rPr>
                <w:rFonts w:hAnsi="宋体"/>
                <w:b/>
                <w:sz w:val="24"/>
              </w:rPr>
              <w:t>4、生态环境质量状况：</w:t>
            </w:r>
          </w:p>
          <w:p>
            <w:pPr>
              <w:spacing w:line="360" w:lineRule="auto"/>
              <w:ind w:firstLine="480" w:firstLineChars="200"/>
              <w:rPr>
                <w:rFonts w:hAnsi="宋体"/>
                <w:sz w:val="24"/>
              </w:rPr>
            </w:pPr>
            <w:r>
              <w:rPr>
                <w:rFonts w:hAnsi="宋体"/>
                <w:sz w:val="24"/>
              </w:rPr>
              <w:t>拟建地属于城市区域，周围为城市居民区，生态调节能力差。项目区植被主要为城区道路沿线种植的行道树</w:t>
            </w:r>
            <w:r>
              <w:rPr>
                <w:rFonts w:hint="eastAsia" w:hAnsi="宋体"/>
                <w:sz w:val="24"/>
              </w:rPr>
              <w:t>及绿化植被</w:t>
            </w:r>
            <w:r>
              <w:rPr>
                <w:rFonts w:hAnsi="宋体"/>
                <w:sz w:val="24"/>
              </w:rPr>
              <w:t>，根据现场调查，绿化植被主要有紫玉兰（</w:t>
            </w:r>
            <w:r>
              <w:rPr>
                <w:rFonts w:hAnsi="宋体"/>
                <w:i/>
                <w:sz w:val="24"/>
              </w:rPr>
              <w:t>Magnolia liliflora</w:t>
            </w:r>
            <w:r>
              <w:rPr>
                <w:rFonts w:hAnsi="宋体"/>
                <w:sz w:val="24"/>
              </w:rPr>
              <w:t>）、海棠花（</w:t>
            </w:r>
            <w:r>
              <w:rPr>
                <w:rFonts w:hAnsi="宋体"/>
                <w:i/>
                <w:sz w:val="24"/>
              </w:rPr>
              <w:t>Malus spectabilis</w:t>
            </w:r>
            <w:r>
              <w:rPr>
                <w:rFonts w:hAnsi="宋体"/>
                <w:sz w:val="24"/>
              </w:rPr>
              <w:t>）、铺地柏（</w:t>
            </w:r>
            <w:r>
              <w:rPr>
                <w:rFonts w:hAnsi="宋体"/>
                <w:i/>
                <w:sz w:val="24"/>
              </w:rPr>
              <w:t>Sabina procumbens</w:t>
            </w:r>
            <w:r>
              <w:rPr>
                <w:rFonts w:hAnsi="宋体"/>
                <w:sz w:val="24"/>
              </w:rPr>
              <w:t>）、红叶石楠（</w:t>
            </w:r>
            <w:r>
              <w:rPr>
                <w:rFonts w:hAnsi="宋体"/>
                <w:i/>
                <w:sz w:val="24"/>
              </w:rPr>
              <w:t>Photinia serrulata</w:t>
            </w:r>
            <w:r>
              <w:rPr>
                <w:rFonts w:hAnsi="宋体"/>
                <w:sz w:val="24"/>
              </w:rPr>
              <w:t>）、金叶女贞（</w:t>
            </w:r>
            <w:r>
              <w:rPr>
                <w:rFonts w:hAnsi="宋体"/>
                <w:i/>
                <w:sz w:val="24"/>
              </w:rPr>
              <w:t>Ligustrum vicaryi</w:t>
            </w:r>
            <w:r>
              <w:rPr>
                <w:rFonts w:hAnsi="宋体"/>
                <w:sz w:val="24"/>
              </w:rPr>
              <w:t>）、藏柳（</w:t>
            </w:r>
            <w:r>
              <w:rPr>
                <w:rFonts w:hAnsi="宋体"/>
                <w:i/>
                <w:sz w:val="24"/>
              </w:rPr>
              <w:t>Salix zangica</w:t>
            </w:r>
            <w:r>
              <w:rPr>
                <w:rFonts w:hAnsi="宋体"/>
                <w:sz w:val="24"/>
              </w:rPr>
              <w:t>）、杜鹃（</w:t>
            </w:r>
            <w:r>
              <w:rPr>
                <w:rFonts w:hAnsi="宋体"/>
                <w:i/>
                <w:sz w:val="24"/>
              </w:rPr>
              <w:t>Rhododendron simsii</w:t>
            </w:r>
            <w:r>
              <w:rPr>
                <w:rFonts w:hAnsi="宋体"/>
                <w:sz w:val="24"/>
              </w:rPr>
              <w:t>）、高山柳（</w:t>
            </w:r>
            <w:r>
              <w:rPr>
                <w:rFonts w:hAnsi="宋体"/>
                <w:i/>
                <w:sz w:val="24"/>
              </w:rPr>
              <w:t>Salix cupularis</w:t>
            </w:r>
            <w:r>
              <w:rPr>
                <w:rFonts w:hAnsi="宋体"/>
                <w:sz w:val="24"/>
              </w:rPr>
              <w:t>）、火棘（</w:t>
            </w:r>
            <w:r>
              <w:rPr>
                <w:rFonts w:hAnsi="宋体"/>
                <w:i/>
                <w:sz w:val="24"/>
              </w:rPr>
              <w:t>Pyracantha fortuneana</w:t>
            </w:r>
            <w:r>
              <w:rPr>
                <w:rFonts w:hAnsi="宋体"/>
                <w:sz w:val="24"/>
              </w:rPr>
              <w:t>）等。</w:t>
            </w:r>
          </w:p>
          <w:p>
            <w:pPr>
              <w:spacing w:line="360" w:lineRule="auto"/>
              <w:ind w:firstLine="480" w:firstLineChars="200"/>
              <w:rPr>
                <w:rFonts w:hAnsi="宋体"/>
                <w:color w:val="FF0000"/>
                <w:sz w:val="24"/>
              </w:rPr>
            </w:pPr>
            <w:bookmarkStart w:id="19" w:name="_Toc52191723"/>
            <w:bookmarkStart w:id="20" w:name="_Toc41998738"/>
            <w:r>
              <w:rPr>
                <w:rFonts w:hAnsi="宋体"/>
                <w:sz w:val="24"/>
              </w:rPr>
              <w:t>工程区及周边邻近区域由于长期人为活动的影响破坏，开发较早，开发程度高，对哺乳动物生境破坏大，仅见一些啮齿目、翼手目、食肉目的小型哺乳类，没有大型的哺乳动物分布，两栖类动物主要是华西蟾蜍（Bufo andrewsi）、滇蛙（Rana pleuraden）、华西雨蛙（Hyla annectans）等；哺乳动物主要有社鼠（Rattus niviventer）、狗等，这些野生动物数量不多，具有较强的活动能力，对环境的适应性较强，项目区未发现国家保护的珍稀濒危动物。</w:t>
            </w:r>
            <w:bookmarkEnd w:id="19"/>
            <w:bookmarkEnd w:id="20"/>
            <w:r>
              <w:rPr>
                <w:rFonts w:hAnsi="宋体"/>
                <w:color w:val="FF0000"/>
                <w:sz w:val="24"/>
              </w:rPr>
              <w:t xml:space="preserve"> </w:t>
            </w:r>
          </w:p>
          <w:p>
            <w:pPr>
              <w:spacing w:line="360" w:lineRule="auto"/>
              <w:rPr>
                <w:rFonts w:hAnsi="宋体"/>
                <w:color w:val="FF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3162" w:hRule="atLeast"/>
          <w:jc w:val="center"/>
        </w:trPr>
        <w:tc>
          <w:tcPr>
            <w:tcW w:w="9416" w:type="dxa"/>
            <w:tcBorders>
              <w:left w:val="single" w:color="auto" w:sz="12" w:space="0"/>
              <w:bottom w:val="single" w:color="auto" w:sz="12" w:space="0"/>
              <w:right w:val="single" w:color="auto" w:sz="12" w:space="0"/>
            </w:tcBorders>
            <w:noWrap w:val="0"/>
            <w:vAlign w:val="top"/>
          </w:tcPr>
          <w:p>
            <w:pPr>
              <w:spacing w:before="120" w:line="360" w:lineRule="auto"/>
              <w:rPr>
                <w:b/>
                <w:sz w:val="28"/>
              </w:rPr>
            </w:pPr>
            <w:r>
              <w:rPr>
                <w:rFonts w:hAnsi="宋体"/>
                <w:b/>
                <w:sz w:val="28"/>
              </w:rPr>
              <w:t>主要环境保护目标</w:t>
            </w:r>
            <w:r>
              <w:rPr>
                <w:rFonts w:hint="eastAsia"/>
                <w:b/>
                <w:sz w:val="28"/>
              </w:rPr>
              <w:t>（</w:t>
            </w:r>
            <w:r>
              <w:rPr>
                <w:rFonts w:hAnsi="宋体"/>
                <w:b/>
                <w:sz w:val="28"/>
              </w:rPr>
              <w:t>列出名单及保护级别</w:t>
            </w:r>
            <w:r>
              <w:rPr>
                <w:rFonts w:hint="eastAsia"/>
                <w:b/>
                <w:sz w:val="28"/>
              </w:rPr>
              <w:t>）</w:t>
            </w:r>
            <w:r>
              <w:rPr>
                <w:rFonts w:hAnsi="宋体"/>
                <w:b/>
                <w:sz w:val="28"/>
              </w:rPr>
              <w:t>：</w:t>
            </w:r>
          </w:p>
          <w:p>
            <w:pPr>
              <w:spacing w:line="360" w:lineRule="auto"/>
              <w:ind w:firstLine="480" w:firstLineChars="200"/>
              <w:rPr>
                <w:sz w:val="24"/>
              </w:rPr>
            </w:pPr>
            <w:r>
              <w:rPr>
                <w:rFonts w:hAnsi="宋体"/>
                <w:bCs/>
                <w:sz w:val="24"/>
              </w:rPr>
              <w:t>拟建项目</w:t>
            </w:r>
            <w:r>
              <w:rPr>
                <w:rFonts w:hAnsi="宋体"/>
                <w:sz w:val="24"/>
              </w:rPr>
              <w:t>主要环境保护目标：</w:t>
            </w:r>
          </w:p>
          <w:p>
            <w:pPr>
              <w:spacing w:line="360" w:lineRule="auto"/>
              <w:ind w:firstLine="482" w:firstLineChars="200"/>
              <w:rPr>
                <w:sz w:val="24"/>
              </w:rPr>
            </w:pPr>
            <w:r>
              <w:rPr>
                <w:b/>
                <w:sz w:val="24"/>
              </w:rPr>
              <w:t>1、环境空气：</w:t>
            </w:r>
            <w:r>
              <w:rPr>
                <w:rFonts w:hint="eastAsia" w:hAnsi="宋体"/>
                <w:sz w:val="24"/>
              </w:rPr>
              <w:t>本项目建设、营运过程产生的废气量小，不会改变项目区域大气环境质量，</w:t>
            </w:r>
            <w:r>
              <w:rPr>
                <w:rFonts w:hAnsi="宋体"/>
                <w:sz w:val="24"/>
              </w:rPr>
              <w:t>按照《环境空气质量标准》（</w:t>
            </w:r>
            <w:r>
              <w:rPr>
                <w:sz w:val="24"/>
              </w:rPr>
              <w:t>GB3095-2012</w:t>
            </w:r>
            <w:r>
              <w:rPr>
                <w:rFonts w:hAnsi="宋体"/>
                <w:sz w:val="24"/>
              </w:rPr>
              <w:t>）二级标准进行保护。</w:t>
            </w:r>
          </w:p>
          <w:p>
            <w:pPr>
              <w:widowControl/>
              <w:spacing w:line="360" w:lineRule="auto"/>
              <w:ind w:firstLine="482" w:firstLineChars="200"/>
              <w:rPr>
                <w:rFonts w:hAnsi="宋体"/>
                <w:sz w:val="24"/>
              </w:rPr>
            </w:pPr>
            <w:r>
              <w:rPr>
                <w:b/>
                <w:sz w:val="24"/>
              </w:rPr>
              <w:t>2、</w:t>
            </w:r>
            <w:r>
              <w:rPr>
                <w:rFonts w:hint="eastAsia"/>
                <w:b/>
                <w:sz w:val="24"/>
              </w:rPr>
              <w:t>地表水：</w:t>
            </w:r>
            <w:r>
              <w:rPr>
                <w:rFonts w:hint="eastAsia" w:ascii="宋体" w:hAnsi="宋体"/>
                <w:sz w:val="24"/>
              </w:rPr>
              <w:t>保护永春河及其支流头道河、二道河的水环境质量，不因本项目的营运而变化。</w:t>
            </w:r>
          </w:p>
          <w:p>
            <w:pPr>
              <w:widowControl/>
              <w:spacing w:line="360" w:lineRule="auto"/>
              <w:ind w:firstLine="482" w:firstLineChars="200"/>
              <w:rPr>
                <w:rFonts w:hAnsi="宋体"/>
                <w:sz w:val="24"/>
              </w:rPr>
            </w:pPr>
            <w:r>
              <w:rPr>
                <w:b/>
                <w:sz w:val="24"/>
              </w:rPr>
              <w:t>3</w:t>
            </w:r>
            <w:r>
              <w:rPr>
                <w:rFonts w:hAnsi="宋体"/>
                <w:b/>
                <w:sz w:val="24"/>
              </w:rPr>
              <w:t>、声环境：</w:t>
            </w:r>
            <w:r>
              <w:rPr>
                <w:rFonts w:hint="eastAsia"/>
                <w:sz w:val="24"/>
              </w:rPr>
              <w:t>保护评价区域声环境质量，尽量减少外部环境及项目内部的不良干扰及影响，使道路</w:t>
            </w:r>
            <w:r>
              <w:rPr>
                <w:sz w:val="24"/>
              </w:rPr>
              <w:t>两侧</w:t>
            </w:r>
            <w:r>
              <w:rPr>
                <w:rFonts w:hint="eastAsia"/>
                <w:sz w:val="24"/>
              </w:rPr>
              <w:t>符合《声环境质量标准》（GB3096-2008）4a类标准，</w:t>
            </w:r>
            <w:r>
              <w:rPr>
                <w:sz w:val="24"/>
              </w:rPr>
              <w:t>其他区域符合</w:t>
            </w:r>
            <w:r>
              <w:rPr>
                <w:rFonts w:hint="eastAsia"/>
                <w:sz w:val="24"/>
              </w:rPr>
              <w:t>2类</w:t>
            </w:r>
            <w:r>
              <w:rPr>
                <w:sz w:val="24"/>
              </w:rPr>
              <w:t>标准</w:t>
            </w:r>
            <w:r>
              <w:rPr>
                <w:rFonts w:hint="eastAsia"/>
                <w:sz w:val="24"/>
              </w:rPr>
              <w:t>。</w:t>
            </w:r>
          </w:p>
          <w:p>
            <w:pPr>
              <w:spacing w:line="360" w:lineRule="auto"/>
              <w:ind w:firstLine="482" w:firstLineChars="200"/>
              <w:rPr>
                <w:sz w:val="24"/>
              </w:rPr>
            </w:pPr>
            <w:r>
              <w:rPr>
                <w:rFonts w:hint="eastAsia"/>
                <w:b/>
                <w:sz w:val="24"/>
              </w:rPr>
              <w:t>4、环境敏感点：</w:t>
            </w:r>
            <w:r>
              <w:rPr>
                <w:rFonts w:hint="eastAsia"/>
                <w:sz w:val="24"/>
              </w:rPr>
              <w:t>经现场踏勘，项目主要环境保护目标为项目场地附近的学校、企事业单位、居民住宅等。</w:t>
            </w:r>
          </w:p>
          <w:p>
            <w:pPr>
              <w:spacing w:line="360" w:lineRule="auto"/>
              <w:ind w:firstLine="480" w:firstLineChars="200"/>
              <w:rPr>
                <w:rFonts w:hAnsi="宋体"/>
                <w:sz w:val="24"/>
              </w:rPr>
            </w:pPr>
            <w:r>
              <w:rPr>
                <w:rFonts w:hAnsi="宋体"/>
                <w:sz w:val="24"/>
              </w:rPr>
              <w:t>具体保护目标见表</w:t>
            </w:r>
            <w:r>
              <w:rPr>
                <w:rFonts w:hint="eastAsia"/>
                <w:sz w:val="24"/>
              </w:rPr>
              <w:t>3-2</w:t>
            </w:r>
            <w:r>
              <w:rPr>
                <w:rFonts w:hAnsi="宋体"/>
                <w:sz w:val="24"/>
              </w:rPr>
              <w:t>。</w:t>
            </w:r>
          </w:p>
          <w:p>
            <w:pPr>
              <w:spacing w:line="360" w:lineRule="auto"/>
              <w:jc w:val="center"/>
              <w:rPr>
                <w:sz w:val="24"/>
              </w:rPr>
            </w:pPr>
            <w:r>
              <w:rPr>
                <w:rFonts w:hAnsi="宋体"/>
                <w:b/>
                <w:sz w:val="24"/>
              </w:rPr>
              <w:t>表</w:t>
            </w:r>
            <w:r>
              <w:rPr>
                <w:rFonts w:hint="eastAsia"/>
                <w:b/>
                <w:sz w:val="24"/>
              </w:rPr>
              <w:t>3-2</w:t>
            </w:r>
            <w:r>
              <w:rPr>
                <w:b/>
                <w:sz w:val="24"/>
              </w:rPr>
              <w:t xml:space="preserve"> </w:t>
            </w:r>
            <w:r>
              <w:rPr>
                <w:rFonts w:hAnsi="宋体"/>
                <w:b/>
                <w:sz w:val="24"/>
              </w:rPr>
              <w:t>主要环境保护目标表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26"/>
              <w:gridCol w:w="1276"/>
              <w:gridCol w:w="1844"/>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194" w:type="dxa"/>
                  <w:noWrap w:val="0"/>
                  <w:vAlign w:val="center"/>
                </w:tcPr>
                <w:p>
                  <w:pPr>
                    <w:spacing w:line="360" w:lineRule="auto"/>
                    <w:jc w:val="center"/>
                    <w:rPr>
                      <w:szCs w:val="21"/>
                    </w:rPr>
                  </w:pPr>
                  <w:r>
                    <w:rPr>
                      <w:rFonts w:hAnsi="宋体"/>
                      <w:szCs w:val="21"/>
                    </w:rPr>
                    <w:t>类别</w:t>
                  </w:r>
                </w:p>
              </w:tc>
              <w:tc>
                <w:tcPr>
                  <w:tcW w:w="2126" w:type="dxa"/>
                  <w:noWrap w:val="0"/>
                  <w:vAlign w:val="center"/>
                </w:tcPr>
                <w:p>
                  <w:pPr>
                    <w:spacing w:line="360" w:lineRule="auto"/>
                    <w:jc w:val="center"/>
                    <w:rPr>
                      <w:szCs w:val="21"/>
                    </w:rPr>
                  </w:pPr>
                  <w:r>
                    <w:rPr>
                      <w:rFonts w:hAnsi="宋体"/>
                      <w:szCs w:val="21"/>
                    </w:rPr>
                    <w:t>保护目标</w:t>
                  </w:r>
                </w:p>
              </w:tc>
              <w:tc>
                <w:tcPr>
                  <w:tcW w:w="1276" w:type="dxa"/>
                  <w:noWrap w:val="0"/>
                  <w:vAlign w:val="center"/>
                </w:tcPr>
                <w:p>
                  <w:pPr>
                    <w:spacing w:line="360" w:lineRule="auto"/>
                    <w:jc w:val="center"/>
                    <w:rPr>
                      <w:szCs w:val="21"/>
                    </w:rPr>
                  </w:pPr>
                  <w:r>
                    <w:rPr>
                      <w:rFonts w:hAnsi="宋体"/>
                      <w:szCs w:val="21"/>
                    </w:rPr>
                    <w:t>方位</w:t>
                  </w:r>
                </w:p>
              </w:tc>
              <w:tc>
                <w:tcPr>
                  <w:tcW w:w="1844" w:type="dxa"/>
                  <w:noWrap w:val="0"/>
                  <w:vAlign w:val="center"/>
                </w:tcPr>
                <w:p>
                  <w:pPr>
                    <w:jc w:val="center"/>
                    <w:rPr>
                      <w:szCs w:val="21"/>
                    </w:rPr>
                  </w:pPr>
                  <w:r>
                    <w:rPr>
                      <w:rFonts w:hAnsi="宋体"/>
                      <w:szCs w:val="21"/>
                    </w:rPr>
                    <w:t>距离</w:t>
                  </w:r>
                  <w:r>
                    <w:rPr>
                      <w:szCs w:val="21"/>
                    </w:rPr>
                    <w:t>(m)</w:t>
                  </w:r>
                </w:p>
              </w:tc>
              <w:tc>
                <w:tcPr>
                  <w:tcW w:w="2750" w:type="dxa"/>
                  <w:noWrap w:val="0"/>
                  <w:vAlign w:val="center"/>
                </w:tcPr>
                <w:p>
                  <w:pPr>
                    <w:spacing w:line="360" w:lineRule="auto"/>
                    <w:jc w:val="center"/>
                    <w:rPr>
                      <w:szCs w:val="21"/>
                    </w:rPr>
                  </w:pPr>
                  <w:r>
                    <w:rPr>
                      <w:rFonts w:hAnsi="宋体"/>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2" w:hRule="atLeast"/>
                <w:jc w:val="center"/>
              </w:trPr>
              <w:tc>
                <w:tcPr>
                  <w:tcW w:w="1194" w:type="dxa"/>
                  <w:vMerge w:val="restart"/>
                  <w:noWrap w:val="0"/>
                  <w:vAlign w:val="center"/>
                </w:tcPr>
                <w:p>
                  <w:pPr>
                    <w:spacing w:line="360" w:lineRule="auto"/>
                    <w:jc w:val="center"/>
                    <w:rPr>
                      <w:szCs w:val="21"/>
                    </w:rPr>
                  </w:pPr>
                  <w:r>
                    <w:rPr>
                      <w:rFonts w:hAnsi="宋体"/>
                      <w:szCs w:val="21"/>
                    </w:rPr>
                    <w:t>大气环境、声环境</w:t>
                  </w:r>
                </w:p>
              </w:tc>
              <w:tc>
                <w:tcPr>
                  <w:tcW w:w="2126" w:type="dxa"/>
                  <w:noWrap w:val="0"/>
                  <w:vAlign w:val="center"/>
                </w:tcPr>
                <w:p>
                  <w:pPr>
                    <w:jc w:val="center"/>
                    <w:rPr>
                      <w:rFonts w:hint="eastAsia"/>
                      <w:szCs w:val="21"/>
                    </w:rPr>
                  </w:pPr>
                  <w:r>
                    <w:rPr>
                      <w:rFonts w:hint="eastAsia"/>
                      <w:szCs w:val="21"/>
                    </w:rPr>
                    <w:t>念萨街沿线</w:t>
                  </w:r>
                  <w:r>
                    <w:rPr>
                      <w:szCs w:val="21"/>
                    </w:rPr>
                    <w:t>商户</w:t>
                  </w:r>
                </w:p>
              </w:tc>
              <w:tc>
                <w:tcPr>
                  <w:tcW w:w="1276" w:type="dxa"/>
                  <w:noWrap w:val="0"/>
                  <w:vAlign w:val="center"/>
                </w:tcPr>
                <w:p>
                  <w:pPr>
                    <w:jc w:val="center"/>
                    <w:rPr>
                      <w:szCs w:val="21"/>
                    </w:rPr>
                  </w:pPr>
                  <w:r>
                    <w:rPr>
                      <w:rFonts w:hint="eastAsia"/>
                      <w:szCs w:val="21"/>
                    </w:rPr>
                    <w:t>北</w:t>
                  </w:r>
                </w:p>
              </w:tc>
              <w:tc>
                <w:tcPr>
                  <w:tcW w:w="1844" w:type="dxa"/>
                  <w:noWrap w:val="0"/>
                  <w:vAlign w:val="center"/>
                </w:tcPr>
                <w:p>
                  <w:pPr>
                    <w:jc w:val="center"/>
                    <w:rPr>
                      <w:szCs w:val="21"/>
                    </w:rPr>
                  </w:pPr>
                  <w:r>
                    <w:rPr>
                      <w:szCs w:val="21"/>
                    </w:rPr>
                    <w:t>80</w:t>
                  </w:r>
                  <w:r>
                    <w:rPr>
                      <w:rFonts w:hint="eastAsia"/>
                      <w:szCs w:val="21"/>
                    </w:rPr>
                    <w:t>m</w:t>
                  </w:r>
                </w:p>
              </w:tc>
              <w:tc>
                <w:tcPr>
                  <w:tcW w:w="2750" w:type="dxa"/>
                  <w:vMerge w:val="restart"/>
                  <w:noWrap w:val="0"/>
                  <w:vAlign w:val="center"/>
                </w:tcPr>
                <w:p>
                  <w:pPr>
                    <w:jc w:val="center"/>
                    <w:rPr>
                      <w:szCs w:val="21"/>
                    </w:rPr>
                  </w:pPr>
                  <w:r>
                    <w:rPr>
                      <w:rFonts w:hAnsi="宋体"/>
                      <w:szCs w:val="21"/>
                    </w:rPr>
                    <w:fldChar w:fldCharType="begin"/>
                  </w:r>
                  <w:r>
                    <w:rPr>
                      <w:rFonts w:hAnsi="宋体"/>
                      <w:szCs w:val="21"/>
                    </w:rPr>
                    <w:instrText xml:space="preserve"> </w:instrText>
                  </w:r>
                  <w:r>
                    <w:rPr>
                      <w:rFonts w:hint="eastAsia" w:hAnsi="宋体"/>
                      <w:szCs w:val="21"/>
                    </w:rPr>
                    <w:instrText xml:space="preserve">= 1 \* GB3</w:instrText>
                  </w:r>
                  <w:r>
                    <w:rPr>
                      <w:rFonts w:hAnsi="宋体"/>
                      <w:szCs w:val="21"/>
                    </w:rPr>
                    <w:instrText xml:space="preserve"> </w:instrText>
                  </w:r>
                  <w:r>
                    <w:rPr>
                      <w:rFonts w:hAnsi="宋体"/>
                      <w:szCs w:val="21"/>
                    </w:rPr>
                    <w:fldChar w:fldCharType="separate"/>
                  </w:r>
                  <w:r>
                    <w:rPr>
                      <w:rFonts w:hint="eastAsia" w:hAnsi="宋体"/>
                      <w:szCs w:val="21"/>
                      <w:lang/>
                    </w:rPr>
                    <w:t>①</w:t>
                  </w:r>
                  <w:r>
                    <w:rPr>
                      <w:rFonts w:hAnsi="宋体"/>
                      <w:szCs w:val="21"/>
                    </w:rPr>
                    <w:fldChar w:fldCharType="end"/>
                  </w:r>
                  <w:r>
                    <w:rPr>
                      <w:rFonts w:hAnsi="宋体"/>
                      <w:szCs w:val="21"/>
                    </w:rPr>
                    <w:t xml:space="preserve"> GB3095—</w:t>
                  </w:r>
                  <w:r>
                    <w:rPr>
                      <w:rFonts w:hint="eastAsia" w:hAnsi="宋体"/>
                      <w:szCs w:val="21"/>
                    </w:rPr>
                    <w:t>2012</w:t>
                  </w:r>
                  <w:r>
                    <w:rPr>
                      <w:rFonts w:hAnsi="宋体"/>
                      <w:szCs w:val="21"/>
                    </w:rPr>
                    <w:t>，二级标准</w:t>
                  </w:r>
                  <w:r>
                    <w:rPr>
                      <w:rFonts w:hint="eastAsia" w:hAnsi="宋体"/>
                      <w:szCs w:val="21"/>
                    </w:rPr>
                    <w:t>。</w:t>
                  </w:r>
                </w:p>
                <w:p>
                  <w:pPr>
                    <w:jc w:val="center"/>
                    <w:rPr>
                      <w:szCs w:val="21"/>
                    </w:rPr>
                  </w:pP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lang/>
                    </w:rPr>
                    <w:t>②</w:t>
                  </w:r>
                  <w:r>
                    <w:rPr>
                      <w:szCs w:val="21"/>
                    </w:rPr>
                    <w:fldChar w:fldCharType="end"/>
                  </w:r>
                  <w:r>
                    <w:rPr>
                      <w:szCs w:val="21"/>
                    </w:rPr>
                    <w:t>GB3096—2008</w:t>
                  </w:r>
                  <w:r>
                    <w:rPr>
                      <w:rFonts w:hAnsi="宋体"/>
                      <w:szCs w:val="21"/>
                    </w:rPr>
                    <w:t>，</w:t>
                  </w:r>
                  <w:r>
                    <w:rPr>
                      <w:rFonts w:hint="eastAsia"/>
                      <w:szCs w:val="21"/>
                    </w:rPr>
                    <w:t>2</w:t>
                  </w:r>
                  <w:r>
                    <w:rPr>
                      <w:rFonts w:hAnsi="宋体"/>
                      <w:szCs w:val="21"/>
                    </w:rPr>
                    <w:t>类</w:t>
                  </w:r>
                  <w:r>
                    <w:rPr>
                      <w:rFonts w:hint="eastAsia" w:hAnsi="宋体"/>
                      <w:szCs w:val="21"/>
                    </w:rPr>
                    <w:t>和4a</w:t>
                  </w:r>
                  <w:r>
                    <w:rPr>
                      <w:rFonts w:hAnsi="宋体"/>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2" w:hRule="atLeast"/>
                <w:jc w:val="center"/>
              </w:trPr>
              <w:tc>
                <w:tcPr>
                  <w:tcW w:w="1194" w:type="dxa"/>
                  <w:vMerge w:val="continue"/>
                  <w:noWrap w:val="0"/>
                  <w:vAlign w:val="center"/>
                </w:tcPr>
                <w:p>
                  <w:pPr>
                    <w:spacing w:line="360" w:lineRule="auto"/>
                    <w:jc w:val="center"/>
                    <w:rPr>
                      <w:rFonts w:hAnsi="宋体"/>
                      <w:szCs w:val="21"/>
                    </w:rPr>
                  </w:pPr>
                </w:p>
              </w:tc>
              <w:tc>
                <w:tcPr>
                  <w:tcW w:w="2126" w:type="dxa"/>
                  <w:noWrap w:val="0"/>
                  <w:vAlign w:val="center"/>
                </w:tcPr>
                <w:p>
                  <w:pPr>
                    <w:jc w:val="center"/>
                    <w:rPr>
                      <w:rFonts w:hint="eastAsia" w:hAnsi="宋体"/>
                      <w:szCs w:val="21"/>
                    </w:rPr>
                  </w:pPr>
                  <w:r>
                    <w:rPr>
                      <w:rFonts w:hint="eastAsia" w:hAnsi="宋体"/>
                      <w:szCs w:val="21"/>
                    </w:rPr>
                    <w:t>维西县</w:t>
                  </w:r>
                  <w:r>
                    <w:rPr>
                      <w:rFonts w:hAnsi="宋体"/>
                      <w:szCs w:val="21"/>
                    </w:rPr>
                    <w:t>法院</w:t>
                  </w:r>
                </w:p>
              </w:tc>
              <w:tc>
                <w:tcPr>
                  <w:tcW w:w="1276" w:type="dxa"/>
                  <w:noWrap w:val="0"/>
                  <w:vAlign w:val="center"/>
                </w:tcPr>
                <w:p>
                  <w:pPr>
                    <w:jc w:val="center"/>
                    <w:rPr>
                      <w:rFonts w:hint="eastAsia" w:hAnsi="宋体"/>
                      <w:szCs w:val="21"/>
                    </w:rPr>
                  </w:pPr>
                  <w:r>
                    <w:rPr>
                      <w:rFonts w:hint="eastAsia" w:hAnsi="宋体"/>
                      <w:szCs w:val="21"/>
                    </w:rPr>
                    <w:t>东北</w:t>
                  </w:r>
                </w:p>
              </w:tc>
              <w:tc>
                <w:tcPr>
                  <w:tcW w:w="1844" w:type="dxa"/>
                  <w:noWrap w:val="0"/>
                  <w:vAlign w:val="center"/>
                </w:tcPr>
                <w:p>
                  <w:pPr>
                    <w:jc w:val="center"/>
                    <w:rPr>
                      <w:szCs w:val="21"/>
                    </w:rPr>
                  </w:pPr>
                  <w:r>
                    <w:rPr>
                      <w:szCs w:val="21"/>
                    </w:rPr>
                    <w:t>10</w:t>
                  </w:r>
                  <w:r>
                    <w:rPr>
                      <w:rFonts w:hint="eastAsia"/>
                      <w:szCs w:val="21"/>
                    </w:rPr>
                    <w:t>0m</w:t>
                  </w:r>
                </w:p>
              </w:tc>
              <w:tc>
                <w:tcPr>
                  <w:tcW w:w="2750"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2" w:hRule="atLeast"/>
                <w:jc w:val="center"/>
              </w:trPr>
              <w:tc>
                <w:tcPr>
                  <w:tcW w:w="1194" w:type="dxa"/>
                  <w:vMerge w:val="continue"/>
                  <w:noWrap w:val="0"/>
                  <w:vAlign w:val="center"/>
                </w:tcPr>
                <w:p>
                  <w:pPr>
                    <w:spacing w:line="360" w:lineRule="auto"/>
                    <w:jc w:val="center"/>
                    <w:rPr>
                      <w:rFonts w:hAnsi="宋体"/>
                      <w:szCs w:val="21"/>
                    </w:rPr>
                  </w:pPr>
                </w:p>
              </w:tc>
              <w:tc>
                <w:tcPr>
                  <w:tcW w:w="2126" w:type="dxa"/>
                  <w:noWrap w:val="0"/>
                  <w:vAlign w:val="center"/>
                </w:tcPr>
                <w:p>
                  <w:pPr>
                    <w:jc w:val="center"/>
                    <w:rPr>
                      <w:rFonts w:hint="eastAsia" w:hAnsi="宋体"/>
                      <w:szCs w:val="21"/>
                    </w:rPr>
                  </w:pPr>
                  <w:r>
                    <w:rPr>
                      <w:rFonts w:hint="eastAsia" w:hAnsi="宋体"/>
                      <w:szCs w:val="21"/>
                    </w:rPr>
                    <w:t>维西县</w:t>
                  </w:r>
                  <w:r>
                    <w:rPr>
                      <w:rFonts w:hAnsi="宋体"/>
                      <w:szCs w:val="21"/>
                    </w:rPr>
                    <w:t>残</w:t>
                  </w:r>
                  <w:r>
                    <w:rPr>
                      <w:rFonts w:hint="eastAsia" w:hAnsi="宋体"/>
                      <w:szCs w:val="21"/>
                    </w:rPr>
                    <w:t>联</w:t>
                  </w:r>
                </w:p>
              </w:tc>
              <w:tc>
                <w:tcPr>
                  <w:tcW w:w="1276" w:type="dxa"/>
                  <w:noWrap w:val="0"/>
                  <w:vAlign w:val="center"/>
                </w:tcPr>
                <w:p>
                  <w:pPr>
                    <w:jc w:val="center"/>
                    <w:rPr>
                      <w:rFonts w:hint="eastAsia" w:hAnsi="宋体"/>
                      <w:szCs w:val="21"/>
                    </w:rPr>
                  </w:pPr>
                  <w:r>
                    <w:rPr>
                      <w:rFonts w:hint="eastAsia" w:hAnsi="宋体"/>
                      <w:szCs w:val="21"/>
                    </w:rPr>
                    <w:t>东</w:t>
                  </w:r>
                </w:p>
              </w:tc>
              <w:tc>
                <w:tcPr>
                  <w:tcW w:w="1844" w:type="dxa"/>
                  <w:noWrap w:val="0"/>
                  <w:vAlign w:val="center"/>
                </w:tcPr>
                <w:p>
                  <w:pPr>
                    <w:jc w:val="center"/>
                    <w:rPr>
                      <w:szCs w:val="21"/>
                    </w:rPr>
                  </w:pPr>
                  <w:r>
                    <w:rPr>
                      <w:szCs w:val="21"/>
                    </w:rPr>
                    <w:t>8</w:t>
                  </w:r>
                  <w:r>
                    <w:rPr>
                      <w:rFonts w:hint="eastAsia"/>
                      <w:szCs w:val="21"/>
                    </w:rPr>
                    <w:t>0m</w:t>
                  </w:r>
                </w:p>
              </w:tc>
              <w:tc>
                <w:tcPr>
                  <w:tcW w:w="2750"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8" w:hRule="atLeast"/>
                <w:jc w:val="center"/>
              </w:trPr>
              <w:tc>
                <w:tcPr>
                  <w:tcW w:w="1194" w:type="dxa"/>
                  <w:vMerge w:val="continue"/>
                  <w:noWrap w:val="0"/>
                  <w:vAlign w:val="center"/>
                </w:tcPr>
                <w:p>
                  <w:pPr>
                    <w:spacing w:line="360" w:lineRule="auto"/>
                    <w:jc w:val="center"/>
                    <w:rPr>
                      <w:rFonts w:hAnsi="宋体"/>
                      <w:szCs w:val="21"/>
                    </w:rPr>
                  </w:pPr>
                </w:p>
              </w:tc>
              <w:tc>
                <w:tcPr>
                  <w:tcW w:w="2126" w:type="dxa"/>
                  <w:noWrap w:val="0"/>
                  <w:vAlign w:val="center"/>
                </w:tcPr>
                <w:p>
                  <w:pPr>
                    <w:jc w:val="center"/>
                    <w:rPr>
                      <w:rFonts w:hint="eastAsia" w:hAnsi="宋体"/>
                      <w:szCs w:val="21"/>
                    </w:rPr>
                  </w:pPr>
                  <w:r>
                    <w:rPr>
                      <w:rFonts w:hint="eastAsia" w:hAnsi="宋体"/>
                      <w:szCs w:val="21"/>
                    </w:rPr>
                    <w:t>维西县</w:t>
                  </w:r>
                  <w:r>
                    <w:rPr>
                      <w:rFonts w:hAnsi="宋体"/>
                      <w:szCs w:val="21"/>
                    </w:rPr>
                    <w:t>幼儿园</w:t>
                  </w:r>
                </w:p>
              </w:tc>
              <w:tc>
                <w:tcPr>
                  <w:tcW w:w="1276" w:type="dxa"/>
                  <w:noWrap w:val="0"/>
                  <w:vAlign w:val="center"/>
                </w:tcPr>
                <w:p>
                  <w:pPr>
                    <w:jc w:val="center"/>
                    <w:rPr>
                      <w:rFonts w:hint="eastAsia" w:hAnsi="宋体"/>
                      <w:szCs w:val="21"/>
                    </w:rPr>
                  </w:pPr>
                  <w:r>
                    <w:rPr>
                      <w:rFonts w:hint="eastAsia" w:hAnsi="宋体"/>
                      <w:szCs w:val="21"/>
                    </w:rPr>
                    <w:t>东</w:t>
                  </w:r>
                </w:p>
              </w:tc>
              <w:tc>
                <w:tcPr>
                  <w:tcW w:w="1844" w:type="dxa"/>
                  <w:noWrap w:val="0"/>
                  <w:vAlign w:val="center"/>
                </w:tcPr>
                <w:p>
                  <w:pPr>
                    <w:jc w:val="center"/>
                    <w:rPr>
                      <w:rFonts w:hint="eastAsia"/>
                      <w:szCs w:val="21"/>
                    </w:rPr>
                  </w:pPr>
                  <w:r>
                    <w:rPr>
                      <w:szCs w:val="21"/>
                    </w:rPr>
                    <w:t>60</w:t>
                  </w:r>
                  <w:r>
                    <w:rPr>
                      <w:rFonts w:hint="eastAsia"/>
                      <w:szCs w:val="21"/>
                    </w:rPr>
                    <w:t>m</w:t>
                  </w:r>
                </w:p>
              </w:tc>
              <w:tc>
                <w:tcPr>
                  <w:tcW w:w="2750"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8" w:hRule="atLeast"/>
                <w:jc w:val="center"/>
              </w:trPr>
              <w:tc>
                <w:tcPr>
                  <w:tcW w:w="1194" w:type="dxa"/>
                  <w:vMerge w:val="continue"/>
                  <w:noWrap w:val="0"/>
                  <w:vAlign w:val="center"/>
                </w:tcPr>
                <w:p>
                  <w:pPr>
                    <w:spacing w:line="360" w:lineRule="auto"/>
                    <w:jc w:val="center"/>
                    <w:rPr>
                      <w:rFonts w:hAnsi="宋体"/>
                      <w:szCs w:val="21"/>
                    </w:rPr>
                  </w:pPr>
                </w:p>
              </w:tc>
              <w:tc>
                <w:tcPr>
                  <w:tcW w:w="2126" w:type="dxa"/>
                  <w:noWrap w:val="0"/>
                  <w:vAlign w:val="center"/>
                </w:tcPr>
                <w:p>
                  <w:pPr>
                    <w:jc w:val="center"/>
                    <w:rPr>
                      <w:rFonts w:hint="eastAsia" w:hAnsi="宋体"/>
                      <w:szCs w:val="21"/>
                    </w:rPr>
                  </w:pPr>
                  <w:r>
                    <w:rPr>
                      <w:rFonts w:hint="eastAsia" w:hAnsi="宋体"/>
                      <w:szCs w:val="21"/>
                    </w:rPr>
                    <w:t>顺城</w:t>
                  </w:r>
                  <w:r>
                    <w:rPr>
                      <w:rFonts w:hAnsi="宋体"/>
                      <w:szCs w:val="21"/>
                    </w:rPr>
                    <w:t>南路沿线商户</w:t>
                  </w:r>
                </w:p>
              </w:tc>
              <w:tc>
                <w:tcPr>
                  <w:tcW w:w="1276" w:type="dxa"/>
                  <w:noWrap w:val="0"/>
                  <w:vAlign w:val="center"/>
                </w:tcPr>
                <w:p>
                  <w:pPr>
                    <w:jc w:val="center"/>
                    <w:rPr>
                      <w:rFonts w:hint="eastAsia" w:hAnsi="宋体"/>
                      <w:szCs w:val="21"/>
                    </w:rPr>
                  </w:pPr>
                  <w:r>
                    <w:rPr>
                      <w:rFonts w:hint="eastAsia" w:hAnsi="宋体"/>
                      <w:szCs w:val="21"/>
                    </w:rPr>
                    <w:t>南</w:t>
                  </w:r>
                </w:p>
              </w:tc>
              <w:tc>
                <w:tcPr>
                  <w:tcW w:w="1844" w:type="dxa"/>
                  <w:noWrap w:val="0"/>
                  <w:vAlign w:val="center"/>
                </w:tcPr>
                <w:p>
                  <w:pPr>
                    <w:jc w:val="center"/>
                    <w:rPr>
                      <w:rFonts w:hint="eastAsia"/>
                      <w:szCs w:val="21"/>
                    </w:rPr>
                  </w:pPr>
                  <w:r>
                    <w:rPr>
                      <w:szCs w:val="21"/>
                    </w:rPr>
                    <w:t>8</w:t>
                  </w:r>
                  <w:r>
                    <w:rPr>
                      <w:rFonts w:hint="eastAsia"/>
                      <w:szCs w:val="21"/>
                    </w:rPr>
                    <w:t>0m</w:t>
                  </w:r>
                </w:p>
              </w:tc>
              <w:tc>
                <w:tcPr>
                  <w:tcW w:w="2750"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8" w:hRule="atLeast"/>
                <w:jc w:val="center"/>
              </w:trPr>
              <w:tc>
                <w:tcPr>
                  <w:tcW w:w="1194" w:type="dxa"/>
                  <w:vMerge w:val="continue"/>
                  <w:noWrap w:val="0"/>
                  <w:vAlign w:val="center"/>
                </w:tcPr>
                <w:p>
                  <w:pPr>
                    <w:spacing w:line="360" w:lineRule="auto"/>
                    <w:jc w:val="center"/>
                    <w:rPr>
                      <w:rFonts w:hAnsi="宋体"/>
                      <w:szCs w:val="21"/>
                    </w:rPr>
                  </w:pPr>
                </w:p>
              </w:tc>
              <w:tc>
                <w:tcPr>
                  <w:tcW w:w="2126" w:type="dxa"/>
                  <w:noWrap w:val="0"/>
                  <w:vAlign w:val="center"/>
                </w:tcPr>
                <w:p>
                  <w:pPr>
                    <w:jc w:val="center"/>
                    <w:rPr>
                      <w:rFonts w:hint="eastAsia" w:hAnsi="宋体"/>
                      <w:szCs w:val="21"/>
                    </w:rPr>
                  </w:pPr>
                  <w:r>
                    <w:rPr>
                      <w:rFonts w:hint="eastAsia" w:hAnsi="宋体"/>
                      <w:szCs w:val="21"/>
                    </w:rPr>
                    <w:t>邮政</w:t>
                  </w:r>
                  <w:r>
                    <w:rPr>
                      <w:rFonts w:hAnsi="宋体"/>
                      <w:szCs w:val="21"/>
                    </w:rPr>
                    <w:t>公寓</w:t>
                  </w:r>
                </w:p>
              </w:tc>
              <w:tc>
                <w:tcPr>
                  <w:tcW w:w="1276" w:type="dxa"/>
                  <w:noWrap w:val="0"/>
                  <w:vAlign w:val="center"/>
                </w:tcPr>
                <w:p>
                  <w:pPr>
                    <w:jc w:val="center"/>
                    <w:rPr>
                      <w:rFonts w:hint="eastAsia" w:hAnsi="宋体"/>
                      <w:szCs w:val="21"/>
                    </w:rPr>
                  </w:pPr>
                  <w:r>
                    <w:rPr>
                      <w:rFonts w:hint="eastAsia" w:hAnsi="宋体"/>
                      <w:szCs w:val="21"/>
                    </w:rPr>
                    <w:t>西</w:t>
                  </w:r>
                </w:p>
              </w:tc>
              <w:tc>
                <w:tcPr>
                  <w:tcW w:w="1844" w:type="dxa"/>
                  <w:noWrap w:val="0"/>
                  <w:vAlign w:val="center"/>
                </w:tcPr>
                <w:p>
                  <w:pPr>
                    <w:jc w:val="center"/>
                    <w:rPr>
                      <w:szCs w:val="21"/>
                    </w:rPr>
                  </w:pPr>
                  <w:r>
                    <w:rPr>
                      <w:szCs w:val="21"/>
                    </w:rPr>
                    <w:t>7</w:t>
                  </w:r>
                  <w:r>
                    <w:rPr>
                      <w:rFonts w:hint="eastAsia"/>
                      <w:szCs w:val="21"/>
                    </w:rPr>
                    <w:t>0m</w:t>
                  </w:r>
                </w:p>
              </w:tc>
              <w:tc>
                <w:tcPr>
                  <w:tcW w:w="2750"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8" w:hRule="atLeast"/>
                <w:jc w:val="center"/>
              </w:trPr>
              <w:tc>
                <w:tcPr>
                  <w:tcW w:w="1194" w:type="dxa"/>
                  <w:vMerge w:val="continue"/>
                  <w:noWrap w:val="0"/>
                  <w:vAlign w:val="center"/>
                </w:tcPr>
                <w:p>
                  <w:pPr>
                    <w:spacing w:line="360" w:lineRule="auto"/>
                    <w:jc w:val="center"/>
                    <w:rPr>
                      <w:rFonts w:hAnsi="宋体"/>
                      <w:szCs w:val="21"/>
                    </w:rPr>
                  </w:pPr>
                </w:p>
              </w:tc>
              <w:tc>
                <w:tcPr>
                  <w:tcW w:w="2126" w:type="dxa"/>
                  <w:noWrap w:val="0"/>
                  <w:vAlign w:val="center"/>
                </w:tcPr>
                <w:p>
                  <w:pPr>
                    <w:jc w:val="center"/>
                    <w:rPr>
                      <w:rFonts w:hint="eastAsia" w:hAnsi="宋体"/>
                      <w:szCs w:val="21"/>
                    </w:rPr>
                  </w:pPr>
                  <w:r>
                    <w:rPr>
                      <w:rFonts w:hint="eastAsia" w:hAnsi="宋体"/>
                      <w:szCs w:val="21"/>
                    </w:rPr>
                    <w:t>西边</w:t>
                  </w:r>
                  <w:r>
                    <w:rPr>
                      <w:rFonts w:hAnsi="宋体"/>
                      <w:szCs w:val="21"/>
                    </w:rPr>
                    <w:t>沿线商户</w:t>
                  </w:r>
                </w:p>
              </w:tc>
              <w:tc>
                <w:tcPr>
                  <w:tcW w:w="1276" w:type="dxa"/>
                  <w:noWrap w:val="0"/>
                  <w:vAlign w:val="center"/>
                </w:tcPr>
                <w:p>
                  <w:pPr>
                    <w:jc w:val="center"/>
                    <w:rPr>
                      <w:rFonts w:hint="eastAsia" w:hAnsi="宋体"/>
                      <w:szCs w:val="21"/>
                    </w:rPr>
                  </w:pPr>
                  <w:r>
                    <w:rPr>
                      <w:rFonts w:hint="eastAsia" w:hAnsi="宋体"/>
                      <w:szCs w:val="21"/>
                    </w:rPr>
                    <w:t>西</w:t>
                  </w:r>
                </w:p>
              </w:tc>
              <w:tc>
                <w:tcPr>
                  <w:tcW w:w="1844" w:type="dxa"/>
                  <w:noWrap w:val="0"/>
                  <w:vAlign w:val="center"/>
                </w:tcPr>
                <w:p>
                  <w:pPr>
                    <w:jc w:val="center"/>
                    <w:rPr>
                      <w:szCs w:val="21"/>
                    </w:rPr>
                  </w:pPr>
                  <w:r>
                    <w:rPr>
                      <w:szCs w:val="21"/>
                    </w:rPr>
                    <w:t>6</w:t>
                  </w:r>
                  <w:r>
                    <w:rPr>
                      <w:rFonts w:hint="eastAsia"/>
                      <w:szCs w:val="21"/>
                    </w:rPr>
                    <w:t>0m</w:t>
                  </w:r>
                </w:p>
              </w:tc>
              <w:tc>
                <w:tcPr>
                  <w:tcW w:w="2750" w:type="dxa"/>
                  <w:vMerge w:val="continue"/>
                  <w:noWrap w:val="0"/>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9" w:hRule="atLeast"/>
                <w:jc w:val="center"/>
              </w:trPr>
              <w:tc>
                <w:tcPr>
                  <w:tcW w:w="1194" w:type="dxa"/>
                  <w:noWrap w:val="0"/>
                  <w:vAlign w:val="center"/>
                </w:tcPr>
                <w:p>
                  <w:pPr>
                    <w:spacing w:line="360" w:lineRule="auto"/>
                    <w:jc w:val="center"/>
                    <w:rPr>
                      <w:szCs w:val="21"/>
                    </w:rPr>
                  </w:pPr>
                  <w:r>
                    <w:rPr>
                      <w:rFonts w:hAnsi="宋体"/>
                      <w:szCs w:val="21"/>
                    </w:rPr>
                    <w:t>水环境</w:t>
                  </w:r>
                </w:p>
              </w:tc>
              <w:tc>
                <w:tcPr>
                  <w:tcW w:w="2126" w:type="dxa"/>
                  <w:noWrap w:val="0"/>
                  <w:vAlign w:val="center"/>
                </w:tcPr>
                <w:p>
                  <w:pPr>
                    <w:jc w:val="center"/>
                    <w:rPr>
                      <w:rFonts w:hint="eastAsia"/>
                      <w:szCs w:val="21"/>
                    </w:rPr>
                  </w:pPr>
                  <w:r>
                    <w:rPr>
                      <w:rFonts w:hint="eastAsia" w:hAnsi="宋体"/>
                      <w:sz w:val="24"/>
                    </w:rPr>
                    <w:t>头</w:t>
                  </w:r>
                  <w:r>
                    <w:rPr>
                      <w:rFonts w:hAnsi="宋体"/>
                      <w:sz w:val="24"/>
                    </w:rPr>
                    <w:t>道</w:t>
                  </w:r>
                  <w:r>
                    <w:rPr>
                      <w:rFonts w:hint="eastAsia" w:hAnsi="宋体"/>
                      <w:sz w:val="24"/>
                    </w:rPr>
                    <w:t>河</w:t>
                  </w:r>
                </w:p>
              </w:tc>
              <w:tc>
                <w:tcPr>
                  <w:tcW w:w="1276" w:type="dxa"/>
                  <w:noWrap w:val="0"/>
                  <w:vAlign w:val="center"/>
                </w:tcPr>
                <w:p>
                  <w:pPr>
                    <w:jc w:val="center"/>
                    <w:rPr>
                      <w:szCs w:val="21"/>
                    </w:rPr>
                  </w:pPr>
                  <w:r>
                    <w:rPr>
                      <w:rFonts w:hint="eastAsia" w:hAnsi="宋体"/>
                      <w:szCs w:val="21"/>
                    </w:rPr>
                    <w:t>西面</w:t>
                  </w:r>
                </w:p>
              </w:tc>
              <w:tc>
                <w:tcPr>
                  <w:tcW w:w="1844" w:type="dxa"/>
                  <w:noWrap w:val="0"/>
                  <w:vAlign w:val="center"/>
                </w:tcPr>
                <w:p>
                  <w:pPr>
                    <w:spacing w:line="360" w:lineRule="auto"/>
                    <w:jc w:val="center"/>
                    <w:rPr>
                      <w:rFonts w:hint="eastAsia"/>
                      <w:szCs w:val="21"/>
                    </w:rPr>
                  </w:pPr>
                  <w:r>
                    <w:rPr>
                      <w:rFonts w:hint="eastAsia"/>
                      <w:szCs w:val="21"/>
                    </w:rPr>
                    <w:t>20m</w:t>
                  </w:r>
                </w:p>
              </w:tc>
              <w:tc>
                <w:tcPr>
                  <w:tcW w:w="2750" w:type="dxa"/>
                  <w:noWrap w:val="0"/>
                  <w:vAlign w:val="center"/>
                </w:tcPr>
                <w:p>
                  <w:pPr>
                    <w:jc w:val="center"/>
                    <w:rPr>
                      <w:szCs w:val="21"/>
                    </w:rPr>
                  </w:pPr>
                  <w:r>
                    <w:rPr>
                      <w:szCs w:val="21"/>
                    </w:rPr>
                    <w:t>GB3838-2002</w:t>
                  </w:r>
                  <w:r>
                    <w:rPr>
                      <w:rFonts w:hAnsi="宋体"/>
                      <w:szCs w:val="21"/>
                    </w:rPr>
                    <w:t>，IV类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5" w:hRule="atLeast"/>
                <w:jc w:val="center"/>
              </w:trPr>
              <w:tc>
                <w:tcPr>
                  <w:tcW w:w="1194" w:type="dxa"/>
                  <w:noWrap w:val="0"/>
                  <w:vAlign w:val="center"/>
                </w:tcPr>
                <w:p>
                  <w:pPr>
                    <w:spacing w:line="360" w:lineRule="auto"/>
                    <w:jc w:val="center"/>
                    <w:rPr>
                      <w:szCs w:val="21"/>
                    </w:rPr>
                  </w:pPr>
                  <w:r>
                    <w:rPr>
                      <w:rFonts w:hAnsi="宋体"/>
                      <w:szCs w:val="21"/>
                    </w:rPr>
                    <w:t>生态环境</w:t>
                  </w:r>
                </w:p>
              </w:tc>
              <w:tc>
                <w:tcPr>
                  <w:tcW w:w="2126" w:type="dxa"/>
                  <w:noWrap w:val="0"/>
                  <w:vAlign w:val="center"/>
                </w:tcPr>
                <w:p>
                  <w:pPr>
                    <w:jc w:val="center"/>
                    <w:rPr>
                      <w:szCs w:val="21"/>
                    </w:rPr>
                  </w:pPr>
                  <w:r>
                    <w:rPr>
                      <w:rFonts w:hAnsi="宋体"/>
                      <w:szCs w:val="21"/>
                    </w:rPr>
                    <w:t>项目所在地生态环境</w:t>
                  </w:r>
                </w:p>
              </w:tc>
              <w:tc>
                <w:tcPr>
                  <w:tcW w:w="3120" w:type="dxa"/>
                  <w:gridSpan w:val="2"/>
                  <w:noWrap w:val="0"/>
                  <w:vAlign w:val="center"/>
                </w:tcPr>
                <w:p>
                  <w:pPr>
                    <w:jc w:val="center"/>
                    <w:rPr>
                      <w:szCs w:val="21"/>
                    </w:rPr>
                  </w:pPr>
                  <w:r>
                    <w:rPr>
                      <w:rFonts w:hAnsi="宋体"/>
                      <w:szCs w:val="21"/>
                    </w:rPr>
                    <w:t>项目所在地</w:t>
                  </w:r>
                </w:p>
              </w:tc>
              <w:tc>
                <w:tcPr>
                  <w:tcW w:w="2750" w:type="dxa"/>
                  <w:noWrap w:val="0"/>
                  <w:vAlign w:val="center"/>
                </w:tcPr>
                <w:p>
                  <w:pPr>
                    <w:jc w:val="center"/>
                    <w:rPr>
                      <w:szCs w:val="21"/>
                    </w:rPr>
                  </w:pPr>
                  <w:r>
                    <w:rPr>
                      <w:rFonts w:hAnsi="宋体"/>
                      <w:szCs w:val="21"/>
                    </w:rPr>
                    <w:t>不降低现有生态功能</w:t>
                  </w:r>
                </w:p>
              </w:tc>
            </w:tr>
          </w:tbl>
          <w:p>
            <w:pPr>
              <w:spacing w:line="360" w:lineRule="auto"/>
              <w:rPr>
                <w:color w:val="FF0000"/>
                <w:sz w:val="24"/>
              </w:rPr>
            </w:pPr>
          </w:p>
        </w:tc>
      </w:tr>
    </w:tbl>
    <w:p>
      <w:pPr>
        <w:pStyle w:val="3"/>
        <w:keepNext w:val="0"/>
        <w:pageBreakBefore/>
        <w:widowControl/>
        <w:autoSpaceDE w:val="0"/>
        <w:autoSpaceDN w:val="0"/>
        <w:adjustRightInd w:val="0"/>
        <w:jc w:val="left"/>
        <w:rPr>
          <w:b/>
          <w:spacing w:val="20"/>
          <w:kern w:val="0"/>
          <w:sz w:val="32"/>
          <w:szCs w:val="30"/>
        </w:rPr>
      </w:pPr>
      <w:bookmarkStart w:id="21" w:name="_Toc57972428"/>
      <w:r>
        <w:rPr>
          <w:rFonts w:hint="eastAsia" w:hAnsi="宋体"/>
          <w:b/>
          <w:spacing w:val="20"/>
          <w:kern w:val="0"/>
          <w:sz w:val="32"/>
          <w:szCs w:val="30"/>
        </w:rPr>
        <w:t xml:space="preserve">表四 </w:t>
      </w:r>
      <w:r>
        <w:rPr>
          <w:rFonts w:hAnsi="宋体"/>
          <w:b/>
          <w:spacing w:val="20"/>
          <w:kern w:val="0"/>
          <w:sz w:val="32"/>
          <w:szCs w:val="30"/>
        </w:rPr>
        <w:t>评价适用标准</w:t>
      </w:r>
      <w:bookmarkEnd w:id="21"/>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3"/>
        <w:gridCol w:w="8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3005" w:hRule="atLeast"/>
          <w:jc w:val="center"/>
        </w:trPr>
        <w:tc>
          <w:tcPr>
            <w:tcW w:w="613" w:type="dxa"/>
            <w:noWrap w:val="0"/>
            <w:vAlign w:val="top"/>
          </w:tcPr>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b/>
                <w:sz w:val="28"/>
              </w:rPr>
            </w:pPr>
            <w:r>
              <w:rPr>
                <w:rFonts w:hAnsi="宋体"/>
                <w:b/>
                <w:sz w:val="28"/>
              </w:rPr>
              <w:t>环</w:t>
            </w:r>
          </w:p>
          <w:p>
            <w:pPr>
              <w:spacing w:line="360" w:lineRule="auto"/>
              <w:jc w:val="center"/>
              <w:rPr>
                <w:b/>
                <w:sz w:val="28"/>
              </w:rPr>
            </w:pPr>
            <w:r>
              <w:rPr>
                <w:rFonts w:hAnsi="宋体"/>
                <w:b/>
                <w:sz w:val="28"/>
              </w:rPr>
              <w:t>境</w:t>
            </w:r>
          </w:p>
          <w:p>
            <w:pPr>
              <w:spacing w:line="360" w:lineRule="auto"/>
              <w:jc w:val="center"/>
              <w:rPr>
                <w:b/>
                <w:sz w:val="28"/>
              </w:rPr>
            </w:pPr>
            <w:r>
              <w:rPr>
                <w:rFonts w:hAnsi="宋体"/>
                <w:b/>
                <w:sz w:val="28"/>
              </w:rPr>
              <w:t>质</w:t>
            </w:r>
          </w:p>
          <w:p>
            <w:pPr>
              <w:spacing w:line="360" w:lineRule="auto"/>
              <w:jc w:val="center"/>
              <w:rPr>
                <w:b/>
                <w:sz w:val="28"/>
              </w:rPr>
            </w:pPr>
            <w:r>
              <w:rPr>
                <w:rFonts w:hAnsi="宋体"/>
                <w:b/>
                <w:sz w:val="28"/>
              </w:rPr>
              <w:t>量</w:t>
            </w:r>
          </w:p>
          <w:p>
            <w:pPr>
              <w:spacing w:line="360" w:lineRule="auto"/>
              <w:jc w:val="center"/>
              <w:rPr>
                <w:b/>
                <w:sz w:val="28"/>
              </w:rPr>
            </w:pPr>
            <w:r>
              <w:rPr>
                <w:rFonts w:hAnsi="宋体"/>
                <w:b/>
                <w:sz w:val="28"/>
              </w:rPr>
              <w:t>标</w:t>
            </w:r>
          </w:p>
          <w:p>
            <w:pPr>
              <w:spacing w:line="360" w:lineRule="auto"/>
              <w:jc w:val="center"/>
              <w:rPr>
                <w:b/>
                <w:sz w:val="28"/>
              </w:rPr>
            </w:pPr>
            <w:r>
              <w:rPr>
                <w:rFonts w:hAnsi="宋体"/>
                <w:b/>
                <w:sz w:val="28"/>
              </w:rPr>
              <w:t>准</w:t>
            </w:r>
          </w:p>
          <w:p>
            <w:pPr>
              <w:spacing w:line="360" w:lineRule="auto"/>
              <w:jc w:val="center"/>
              <w:rPr>
                <w:sz w:val="28"/>
              </w:rPr>
            </w:pPr>
          </w:p>
        </w:tc>
        <w:tc>
          <w:tcPr>
            <w:tcW w:w="8673" w:type="dxa"/>
            <w:noWrap w:val="0"/>
            <w:vAlign w:val="top"/>
          </w:tcPr>
          <w:p>
            <w:pPr>
              <w:spacing w:line="360" w:lineRule="auto"/>
              <w:rPr>
                <w:b/>
                <w:sz w:val="24"/>
              </w:rPr>
            </w:pPr>
            <w:r>
              <w:rPr>
                <w:b/>
                <w:sz w:val="24"/>
              </w:rPr>
              <w:t>1</w:t>
            </w:r>
            <w:r>
              <w:rPr>
                <w:rFonts w:hAnsi="宋体"/>
                <w:b/>
                <w:sz w:val="24"/>
              </w:rPr>
              <w:t>、大气环境质量标准</w:t>
            </w:r>
          </w:p>
          <w:p>
            <w:pPr>
              <w:pStyle w:val="71"/>
              <w:spacing w:beforeLines="0" w:line="360" w:lineRule="auto"/>
              <w:rPr>
                <w:color w:val="auto"/>
              </w:rPr>
            </w:pPr>
            <w:r>
              <w:rPr>
                <w:rFonts w:hint="eastAsia"/>
                <w:color w:val="auto"/>
              </w:rPr>
              <w:t>（1）建设项目所在区域功能区划为环境空气质量功能二类区。项目区环境空气质量应满足《环境空气质量标准》（</w:t>
            </w:r>
            <w:r>
              <w:rPr>
                <w:color w:val="auto"/>
              </w:rPr>
              <w:t>GB3095—2012</w:t>
            </w:r>
            <w:r>
              <w:rPr>
                <w:rFonts w:hint="eastAsia"/>
                <w:color w:val="auto"/>
              </w:rPr>
              <w:t>）中二级标准，具体标准见表4-1。</w:t>
            </w:r>
          </w:p>
          <w:p>
            <w:pPr>
              <w:spacing w:line="360" w:lineRule="auto"/>
              <w:jc w:val="center"/>
              <w:rPr>
                <w:rFonts w:hint="eastAsia" w:hAnsi="宋体"/>
                <w:sz w:val="24"/>
              </w:rPr>
            </w:pPr>
            <w:r>
              <w:rPr>
                <w:rFonts w:hAnsi="宋体"/>
                <w:b/>
                <w:sz w:val="24"/>
              </w:rPr>
              <w:t>表</w:t>
            </w:r>
            <w:r>
              <w:rPr>
                <w:rFonts w:hint="eastAsia" w:hAnsi="宋体"/>
                <w:b/>
                <w:sz w:val="24"/>
              </w:rPr>
              <w:t>4-1</w:t>
            </w:r>
            <w:r>
              <w:rPr>
                <w:rFonts w:hAnsi="宋体"/>
                <w:b/>
                <w:sz w:val="24"/>
              </w:rPr>
              <w:t xml:space="preserve">  环境空气质量</w:t>
            </w:r>
            <w:r>
              <w:rPr>
                <w:rFonts w:hint="eastAsia" w:hAnsi="宋体"/>
                <w:b/>
                <w:sz w:val="24"/>
              </w:rPr>
              <w:t>二级</w:t>
            </w:r>
            <w:r>
              <w:rPr>
                <w:rFonts w:hAnsi="宋体"/>
                <w:b/>
                <w:sz w:val="24"/>
              </w:rPr>
              <w:t>标准限值</w:t>
            </w:r>
            <w:r>
              <w:rPr>
                <w:rFonts w:hAnsi="宋体"/>
                <w:sz w:val="24"/>
              </w:rPr>
              <w:t>（GB3095—</w:t>
            </w:r>
            <w:r>
              <w:rPr>
                <w:rFonts w:hint="eastAsia" w:hAnsi="宋体"/>
                <w:sz w:val="24"/>
              </w:rPr>
              <w:t>2012</w:t>
            </w:r>
            <w:r>
              <w:rPr>
                <w:rFonts w:hAnsi="宋体"/>
                <w:sz w:val="24"/>
              </w:rPr>
              <w: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3"/>
              <w:gridCol w:w="1965"/>
              <w:gridCol w:w="2081"/>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noWrap w:val="0"/>
                  <w:vAlign w:val="center"/>
                </w:tcPr>
                <w:p>
                  <w:pPr>
                    <w:pStyle w:val="17"/>
                    <w:spacing w:after="0"/>
                    <w:jc w:val="center"/>
                    <w:rPr>
                      <w:b/>
                      <w:szCs w:val="21"/>
                    </w:rPr>
                  </w:pPr>
                  <w:r>
                    <w:rPr>
                      <w:b/>
                      <w:szCs w:val="21"/>
                    </w:rPr>
                    <w:t>项目</w:t>
                  </w:r>
                </w:p>
              </w:tc>
              <w:tc>
                <w:tcPr>
                  <w:tcW w:w="1965" w:type="dxa"/>
                  <w:noWrap w:val="0"/>
                  <w:vAlign w:val="center"/>
                </w:tcPr>
                <w:p>
                  <w:pPr>
                    <w:pStyle w:val="17"/>
                    <w:spacing w:after="0"/>
                    <w:jc w:val="center"/>
                    <w:rPr>
                      <w:b/>
                      <w:szCs w:val="21"/>
                    </w:rPr>
                  </w:pPr>
                  <w:r>
                    <w:rPr>
                      <w:b/>
                      <w:szCs w:val="21"/>
                    </w:rPr>
                    <w:t>时间</w:t>
                  </w:r>
                </w:p>
              </w:tc>
              <w:tc>
                <w:tcPr>
                  <w:tcW w:w="2081" w:type="dxa"/>
                  <w:noWrap w:val="0"/>
                  <w:vAlign w:val="center"/>
                </w:tcPr>
                <w:p>
                  <w:pPr>
                    <w:pStyle w:val="17"/>
                    <w:spacing w:after="0"/>
                    <w:jc w:val="center"/>
                    <w:rPr>
                      <w:b/>
                      <w:szCs w:val="21"/>
                    </w:rPr>
                  </w:pPr>
                  <w:r>
                    <w:rPr>
                      <w:b/>
                      <w:szCs w:val="21"/>
                    </w:rPr>
                    <w:t>浓度限值（二级）</w:t>
                  </w:r>
                </w:p>
              </w:tc>
              <w:tc>
                <w:tcPr>
                  <w:tcW w:w="1348" w:type="dxa"/>
                  <w:noWrap w:val="0"/>
                  <w:vAlign w:val="center"/>
                </w:tcPr>
                <w:p>
                  <w:pPr>
                    <w:pStyle w:val="17"/>
                    <w:spacing w:after="0"/>
                    <w:jc w:val="center"/>
                    <w:rPr>
                      <w:b/>
                      <w:szCs w:val="21"/>
                    </w:rPr>
                  </w:pPr>
                  <w:r>
                    <w:rPr>
                      <w:b/>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restart"/>
                  <w:noWrap w:val="0"/>
                  <w:vAlign w:val="center"/>
                </w:tcPr>
                <w:p>
                  <w:pPr>
                    <w:pStyle w:val="17"/>
                    <w:spacing w:after="0"/>
                    <w:jc w:val="center"/>
                    <w:rPr>
                      <w:szCs w:val="21"/>
                    </w:rPr>
                  </w:pPr>
                  <w:r>
                    <w:rPr>
                      <w:szCs w:val="21"/>
                    </w:rPr>
                    <w:t>二氧化硫（SO</w:t>
                  </w:r>
                  <w:r>
                    <w:rPr>
                      <w:szCs w:val="21"/>
                      <w:vertAlign w:val="subscript"/>
                    </w:rPr>
                    <w:t>2</w:t>
                  </w:r>
                  <w:r>
                    <w:rPr>
                      <w:szCs w:val="21"/>
                    </w:rPr>
                    <w:t>）</w:t>
                  </w:r>
                </w:p>
              </w:tc>
              <w:tc>
                <w:tcPr>
                  <w:tcW w:w="1965" w:type="dxa"/>
                  <w:noWrap w:val="0"/>
                  <w:vAlign w:val="center"/>
                </w:tcPr>
                <w:p>
                  <w:pPr>
                    <w:pStyle w:val="17"/>
                    <w:spacing w:after="0"/>
                    <w:jc w:val="center"/>
                    <w:rPr>
                      <w:szCs w:val="21"/>
                    </w:rPr>
                  </w:pPr>
                  <w:r>
                    <w:rPr>
                      <w:szCs w:val="21"/>
                    </w:rPr>
                    <w:t>年平均</w:t>
                  </w:r>
                </w:p>
              </w:tc>
              <w:tc>
                <w:tcPr>
                  <w:tcW w:w="2081" w:type="dxa"/>
                  <w:noWrap w:val="0"/>
                  <w:vAlign w:val="center"/>
                </w:tcPr>
                <w:p>
                  <w:pPr>
                    <w:pStyle w:val="17"/>
                    <w:spacing w:after="0"/>
                    <w:jc w:val="center"/>
                    <w:rPr>
                      <w:szCs w:val="21"/>
                    </w:rPr>
                  </w:pPr>
                  <w:r>
                    <w:rPr>
                      <w:szCs w:val="21"/>
                    </w:rPr>
                    <w:t>60</w:t>
                  </w:r>
                </w:p>
              </w:tc>
              <w:tc>
                <w:tcPr>
                  <w:tcW w:w="1348" w:type="dxa"/>
                  <w:vMerge w:val="restart"/>
                  <w:noWrap w:val="0"/>
                  <w:vAlign w:val="center"/>
                </w:tcPr>
                <w:p>
                  <w:pPr>
                    <w:pStyle w:val="17"/>
                    <w:spacing w:after="0"/>
                    <w:jc w:val="center"/>
                    <w:rPr>
                      <w:szCs w:val="21"/>
                    </w:rPr>
                  </w:pPr>
                  <w:r>
                    <w:rPr>
                      <w:szCs w:val="21"/>
                    </w:rPr>
                    <w:t>（μg/Nm</w:t>
                  </w:r>
                  <w:r>
                    <w:rPr>
                      <w:szCs w:val="21"/>
                      <w:vertAlign w:val="superscript"/>
                    </w:rPr>
                    <w:t>3</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continue"/>
                  <w:noWrap w:val="0"/>
                  <w:vAlign w:val="center"/>
                </w:tcPr>
                <w:p>
                  <w:pPr>
                    <w:pStyle w:val="17"/>
                    <w:spacing w:after="0"/>
                    <w:jc w:val="center"/>
                    <w:rPr>
                      <w:szCs w:val="21"/>
                    </w:rPr>
                  </w:pPr>
                </w:p>
              </w:tc>
              <w:tc>
                <w:tcPr>
                  <w:tcW w:w="1965" w:type="dxa"/>
                  <w:noWrap w:val="0"/>
                  <w:vAlign w:val="center"/>
                </w:tcPr>
                <w:p>
                  <w:pPr>
                    <w:pStyle w:val="17"/>
                    <w:spacing w:after="0"/>
                    <w:jc w:val="center"/>
                    <w:rPr>
                      <w:szCs w:val="21"/>
                    </w:rPr>
                  </w:pPr>
                  <w:r>
                    <w:rPr>
                      <w:szCs w:val="21"/>
                    </w:rPr>
                    <w:t>24小时平均</w:t>
                  </w:r>
                </w:p>
              </w:tc>
              <w:tc>
                <w:tcPr>
                  <w:tcW w:w="2081" w:type="dxa"/>
                  <w:noWrap w:val="0"/>
                  <w:vAlign w:val="center"/>
                </w:tcPr>
                <w:p>
                  <w:pPr>
                    <w:pStyle w:val="17"/>
                    <w:spacing w:after="0"/>
                    <w:jc w:val="center"/>
                    <w:rPr>
                      <w:szCs w:val="21"/>
                    </w:rPr>
                  </w:pPr>
                  <w:r>
                    <w:rPr>
                      <w:szCs w:val="21"/>
                    </w:rPr>
                    <w:t>150</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continue"/>
                  <w:noWrap w:val="0"/>
                  <w:vAlign w:val="center"/>
                </w:tcPr>
                <w:p>
                  <w:pPr>
                    <w:pStyle w:val="17"/>
                    <w:spacing w:after="0"/>
                    <w:jc w:val="center"/>
                    <w:rPr>
                      <w:szCs w:val="21"/>
                    </w:rPr>
                  </w:pPr>
                </w:p>
              </w:tc>
              <w:tc>
                <w:tcPr>
                  <w:tcW w:w="1965" w:type="dxa"/>
                  <w:noWrap w:val="0"/>
                  <w:vAlign w:val="center"/>
                </w:tcPr>
                <w:p>
                  <w:pPr>
                    <w:pStyle w:val="17"/>
                    <w:spacing w:after="0"/>
                    <w:jc w:val="center"/>
                    <w:rPr>
                      <w:szCs w:val="21"/>
                    </w:rPr>
                  </w:pPr>
                  <w:r>
                    <w:rPr>
                      <w:szCs w:val="21"/>
                    </w:rPr>
                    <w:t>1小时平均</w:t>
                  </w:r>
                </w:p>
              </w:tc>
              <w:tc>
                <w:tcPr>
                  <w:tcW w:w="2081" w:type="dxa"/>
                  <w:noWrap w:val="0"/>
                  <w:vAlign w:val="center"/>
                </w:tcPr>
                <w:p>
                  <w:pPr>
                    <w:pStyle w:val="17"/>
                    <w:spacing w:after="0"/>
                    <w:jc w:val="center"/>
                    <w:rPr>
                      <w:szCs w:val="21"/>
                    </w:rPr>
                  </w:pPr>
                  <w:r>
                    <w:rPr>
                      <w:szCs w:val="21"/>
                    </w:rPr>
                    <w:t>500</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restart"/>
                  <w:noWrap w:val="0"/>
                  <w:vAlign w:val="center"/>
                </w:tcPr>
                <w:p>
                  <w:pPr>
                    <w:pStyle w:val="17"/>
                    <w:spacing w:after="0"/>
                    <w:jc w:val="center"/>
                    <w:rPr>
                      <w:szCs w:val="21"/>
                    </w:rPr>
                  </w:pPr>
                  <w:r>
                    <w:rPr>
                      <w:szCs w:val="21"/>
                    </w:rPr>
                    <w:t>二氧化氮（NO</w:t>
                  </w:r>
                  <w:r>
                    <w:rPr>
                      <w:szCs w:val="21"/>
                      <w:vertAlign w:val="subscript"/>
                    </w:rPr>
                    <w:t>2</w:t>
                  </w:r>
                  <w:r>
                    <w:rPr>
                      <w:szCs w:val="21"/>
                    </w:rPr>
                    <w:t>）</w:t>
                  </w:r>
                </w:p>
              </w:tc>
              <w:tc>
                <w:tcPr>
                  <w:tcW w:w="1965" w:type="dxa"/>
                  <w:noWrap w:val="0"/>
                  <w:vAlign w:val="center"/>
                </w:tcPr>
                <w:p>
                  <w:pPr>
                    <w:pStyle w:val="17"/>
                    <w:spacing w:after="0"/>
                    <w:jc w:val="center"/>
                    <w:rPr>
                      <w:szCs w:val="21"/>
                    </w:rPr>
                  </w:pPr>
                  <w:r>
                    <w:rPr>
                      <w:szCs w:val="21"/>
                    </w:rPr>
                    <w:t>年平均</w:t>
                  </w:r>
                </w:p>
              </w:tc>
              <w:tc>
                <w:tcPr>
                  <w:tcW w:w="2081" w:type="dxa"/>
                  <w:noWrap w:val="0"/>
                  <w:vAlign w:val="center"/>
                </w:tcPr>
                <w:p>
                  <w:pPr>
                    <w:pStyle w:val="17"/>
                    <w:spacing w:after="0"/>
                    <w:jc w:val="center"/>
                    <w:rPr>
                      <w:szCs w:val="21"/>
                    </w:rPr>
                  </w:pPr>
                  <w:r>
                    <w:rPr>
                      <w:szCs w:val="21"/>
                    </w:rPr>
                    <w:t>40</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continue"/>
                  <w:noWrap w:val="0"/>
                  <w:vAlign w:val="center"/>
                </w:tcPr>
                <w:p>
                  <w:pPr>
                    <w:pStyle w:val="17"/>
                    <w:spacing w:after="0"/>
                    <w:ind w:firstLine="420" w:firstLineChars="200"/>
                    <w:jc w:val="center"/>
                    <w:rPr>
                      <w:szCs w:val="21"/>
                    </w:rPr>
                  </w:pPr>
                </w:p>
              </w:tc>
              <w:tc>
                <w:tcPr>
                  <w:tcW w:w="1965" w:type="dxa"/>
                  <w:noWrap w:val="0"/>
                  <w:vAlign w:val="center"/>
                </w:tcPr>
                <w:p>
                  <w:pPr>
                    <w:pStyle w:val="17"/>
                    <w:spacing w:after="0"/>
                    <w:jc w:val="center"/>
                    <w:rPr>
                      <w:szCs w:val="21"/>
                    </w:rPr>
                  </w:pPr>
                  <w:r>
                    <w:rPr>
                      <w:szCs w:val="21"/>
                    </w:rPr>
                    <w:t>24小时平均</w:t>
                  </w:r>
                </w:p>
              </w:tc>
              <w:tc>
                <w:tcPr>
                  <w:tcW w:w="2081" w:type="dxa"/>
                  <w:noWrap w:val="0"/>
                  <w:vAlign w:val="center"/>
                </w:tcPr>
                <w:p>
                  <w:pPr>
                    <w:pStyle w:val="17"/>
                    <w:spacing w:after="0"/>
                    <w:jc w:val="center"/>
                    <w:rPr>
                      <w:szCs w:val="21"/>
                    </w:rPr>
                  </w:pPr>
                  <w:r>
                    <w:rPr>
                      <w:szCs w:val="21"/>
                    </w:rPr>
                    <w:t>80</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continue"/>
                  <w:noWrap w:val="0"/>
                  <w:vAlign w:val="center"/>
                </w:tcPr>
                <w:p>
                  <w:pPr>
                    <w:pStyle w:val="17"/>
                    <w:spacing w:after="0"/>
                    <w:ind w:firstLine="420" w:firstLineChars="200"/>
                    <w:jc w:val="center"/>
                    <w:rPr>
                      <w:szCs w:val="21"/>
                    </w:rPr>
                  </w:pPr>
                </w:p>
              </w:tc>
              <w:tc>
                <w:tcPr>
                  <w:tcW w:w="1965" w:type="dxa"/>
                  <w:noWrap w:val="0"/>
                  <w:vAlign w:val="center"/>
                </w:tcPr>
                <w:p>
                  <w:pPr>
                    <w:pStyle w:val="17"/>
                    <w:spacing w:after="0"/>
                    <w:jc w:val="center"/>
                    <w:rPr>
                      <w:szCs w:val="21"/>
                    </w:rPr>
                  </w:pPr>
                  <w:r>
                    <w:rPr>
                      <w:szCs w:val="21"/>
                    </w:rPr>
                    <w:t>1小时平均</w:t>
                  </w:r>
                </w:p>
              </w:tc>
              <w:tc>
                <w:tcPr>
                  <w:tcW w:w="2081" w:type="dxa"/>
                  <w:noWrap w:val="0"/>
                  <w:vAlign w:val="center"/>
                </w:tcPr>
                <w:p>
                  <w:pPr>
                    <w:pStyle w:val="17"/>
                    <w:spacing w:after="0"/>
                    <w:jc w:val="center"/>
                    <w:rPr>
                      <w:szCs w:val="21"/>
                    </w:rPr>
                  </w:pPr>
                  <w:r>
                    <w:rPr>
                      <w:szCs w:val="21"/>
                    </w:rPr>
                    <w:t>2</w:t>
                  </w:r>
                  <w:r>
                    <w:rPr>
                      <w:szCs w:val="21"/>
                    </w:rPr>
                    <w:cr/>
                  </w:r>
                  <w:r>
                    <w:rPr>
                      <w:szCs w:val="21"/>
                    </w:rPr>
                    <w:t>0</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restart"/>
                  <w:noWrap w:val="0"/>
                  <w:vAlign w:val="center"/>
                </w:tcPr>
                <w:p>
                  <w:pPr>
                    <w:pStyle w:val="17"/>
                    <w:spacing w:after="0"/>
                    <w:ind w:firstLine="420" w:firstLineChars="200"/>
                    <w:jc w:val="center"/>
                    <w:rPr>
                      <w:szCs w:val="21"/>
                    </w:rPr>
                  </w:pPr>
                  <w:r>
                    <w:rPr>
                      <w:szCs w:val="21"/>
                    </w:rPr>
                    <w:t>一氧化碳（CO）</w:t>
                  </w:r>
                </w:p>
              </w:tc>
              <w:tc>
                <w:tcPr>
                  <w:tcW w:w="1965" w:type="dxa"/>
                  <w:noWrap w:val="0"/>
                  <w:vAlign w:val="center"/>
                </w:tcPr>
                <w:p>
                  <w:pPr>
                    <w:pStyle w:val="17"/>
                    <w:spacing w:after="0"/>
                    <w:jc w:val="center"/>
                    <w:rPr>
                      <w:szCs w:val="21"/>
                    </w:rPr>
                  </w:pPr>
                  <w:r>
                    <w:rPr>
                      <w:szCs w:val="21"/>
                    </w:rPr>
                    <w:t>24小时平均</w:t>
                  </w:r>
                </w:p>
              </w:tc>
              <w:tc>
                <w:tcPr>
                  <w:tcW w:w="2081" w:type="dxa"/>
                  <w:noWrap w:val="0"/>
                  <w:vAlign w:val="center"/>
                </w:tcPr>
                <w:p>
                  <w:pPr>
                    <w:pStyle w:val="17"/>
                    <w:spacing w:after="0"/>
                    <w:jc w:val="center"/>
                    <w:rPr>
                      <w:szCs w:val="21"/>
                    </w:rPr>
                  </w:pPr>
                  <w:r>
                    <w:rPr>
                      <w:szCs w:val="21"/>
                    </w:rPr>
                    <w:t>4</w:t>
                  </w:r>
                </w:p>
              </w:tc>
              <w:tc>
                <w:tcPr>
                  <w:tcW w:w="1348" w:type="dxa"/>
                  <w:vMerge w:val="restart"/>
                  <w:noWrap w:val="0"/>
                  <w:vAlign w:val="center"/>
                </w:tcPr>
                <w:p>
                  <w:pPr>
                    <w:pStyle w:val="17"/>
                    <w:spacing w:after="0"/>
                    <w:jc w:val="center"/>
                    <w:rPr>
                      <w:szCs w:val="21"/>
                    </w:rPr>
                  </w:pPr>
                  <w:r>
                    <w:rPr>
                      <w:szCs w:val="21"/>
                    </w:rPr>
                    <w:t>（mg/Nm</w:t>
                  </w:r>
                  <w:r>
                    <w:rPr>
                      <w:szCs w:val="21"/>
                      <w:vertAlign w:val="superscript"/>
                    </w:rPr>
                    <w:t>3</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continue"/>
                  <w:noWrap w:val="0"/>
                  <w:vAlign w:val="center"/>
                </w:tcPr>
                <w:p>
                  <w:pPr>
                    <w:pStyle w:val="17"/>
                    <w:spacing w:after="0"/>
                    <w:ind w:firstLine="420" w:firstLineChars="200"/>
                    <w:jc w:val="center"/>
                    <w:rPr>
                      <w:szCs w:val="21"/>
                    </w:rPr>
                  </w:pPr>
                </w:p>
              </w:tc>
              <w:tc>
                <w:tcPr>
                  <w:tcW w:w="1965" w:type="dxa"/>
                  <w:noWrap w:val="0"/>
                  <w:vAlign w:val="center"/>
                </w:tcPr>
                <w:p>
                  <w:pPr>
                    <w:pStyle w:val="17"/>
                    <w:spacing w:after="0"/>
                    <w:jc w:val="center"/>
                    <w:rPr>
                      <w:szCs w:val="21"/>
                    </w:rPr>
                  </w:pPr>
                  <w:r>
                    <w:rPr>
                      <w:szCs w:val="21"/>
                    </w:rPr>
                    <w:t>1小时平均</w:t>
                  </w:r>
                </w:p>
              </w:tc>
              <w:tc>
                <w:tcPr>
                  <w:tcW w:w="2081" w:type="dxa"/>
                  <w:noWrap w:val="0"/>
                  <w:vAlign w:val="center"/>
                </w:tcPr>
                <w:p>
                  <w:pPr>
                    <w:pStyle w:val="17"/>
                    <w:spacing w:after="0"/>
                    <w:jc w:val="center"/>
                    <w:rPr>
                      <w:szCs w:val="21"/>
                    </w:rPr>
                  </w:pPr>
                  <w:r>
                    <w:rPr>
                      <w:szCs w:val="21"/>
                    </w:rPr>
                    <w:t>10</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restart"/>
                  <w:noWrap w:val="0"/>
                  <w:vAlign w:val="center"/>
                </w:tcPr>
                <w:p>
                  <w:pPr>
                    <w:pStyle w:val="17"/>
                    <w:spacing w:after="0"/>
                    <w:ind w:firstLine="420" w:firstLineChars="200"/>
                    <w:jc w:val="center"/>
                    <w:rPr>
                      <w:szCs w:val="21"/>
                    </w:rPr>
                  </w:pPr>
                  <w:r>
                    <w:rPr>
                      <w:szCs w:val="21"/>
                    </w:rPr>
                    <w:t>臭氧（O</w:t>
                  </w:r>
                  <w:r>
                    <w:rPr>
                      <w:szCs w:val="21"/>
                      <w:vertAlign w:val="subscript"/>
                    </w:rPr>
                    <w:t>3</w:t>
                  </w:r>
                  <w:r>
                    <w:rPr>
                      <w:szCs w:val="21"/>
                    </w:rPr>
                    <w:t>）</w:t>
                  </w:r>
                </w:p>
              </w:tc>
              <w:tc>
                <w:tcPr>
                  <w:tcW w:w="1965" w:type="dxa"/>
                  <w:noWrap w:val="0"/>
                  <w:vAlign w:val="center"/>
                </w:tcPr>
                <w:p>
                  <w:pPr>
                    <w:pStyle w:val="17"/>
                    <w:spacing w:after="0"/>
                    <w:jc w:val="center"/>
                    <w:rPr>
                      <w:szCs w:val="21"/>
                    </w:rPr>
                  </w:pPr>
                  <w:r>
                    <w:rPr>
                      <w:szCs w:val="21"/>
                    </w:rPr>
                    <w:t>日最大8小时平均</w:t>
                  </w:r>
                </w:p>
              </w:tc>
              <w:tc>
                <w:tcPr>
                  <w:tcW w:w="2081" w:type="dxa"/>
                  <w:noWrap w:val="0"/>
                  <w:vAlign w:val="center"/>
                </w:tcPr>
                <w:p>
                  <w:pPr>
                    <w:pStyle w:val="17"/>
                    <w:spacing w:after="0"/>
                    <w:jc w:val="center"/>
                    <w:rPr>
                      <w:szCs w:val="21"/>
                    </w:rPr>
                  </w:pPr>
                  <w:r>
                    <w:rPr>
                      <w:szCs w:val="21"/>
                    </w:rPr>
                    <w:t>160</w:t>
                  </w:r>
                </w:p>
              </w:tc>
              <w:tc>
                <w:tcPr>
                  <w:tcW w:w="1348" w:type="dxa"/>
                  <w:vMerge w:val="restart"/>
                  <w:noWrap w:val="0"/>
                  <w:vAlign w:val="center"/>
                </w:tcPr>
                <w:p>
                  <w:pPr>
                    <w:pStyle w:val="17"/>
                    <w:spacing w:after="0"/>
                    <w:jc w:val="center"/>
                    <w:rPr>
                      <w:szCs w:val="21"/>
                    </w:rPr>
                  </w:pPr>
                  <w:r>
                    <w:rPr>
                      <w:szCs w:val="21"/>
                    </w:rPr>
                    <w:t>（μg /m</w:t>
                  </w:r>
                  <w:r>
                    <w:rPr>
                      <w:szCs w:val="21"/>
                      <w:vertAlign w:val="superscript"/>
                    </w:rPr>
                    <w:t>3</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continue"/>
                  <w:noWrap w:val="0"/>
                  <w:vAlign w:val="center"/>
                </w:tcPr>
                <w:p>
                  <w:pPr>
                    <w:pStyle w:val="17"/>
                    <w:spacing w:after="0"/>
                    <w:ind w:firstLine="420" w:firstLineChars="200"/>
                    <w:jc w:val="center"/>
                    <w:rPr>
                      <w:szCs w:val="21"/>
                    </w:rPr>
                  </w:pPr>
                </w:p>
              </w:tc>
              <w:tc>
                <w:tcPr>
                  <w:tcW w:w="1965" w:type="dxa"/>
                  <w:noWrap w:val="0"/>
                  <w:vAlign w:val="center"/>
                </w:tcPr>
                <w:p>
                  <w:pPr>
                    <w:pStyle w:val="17"/>
                    <w:spacing w:after="0"/>
                    <w:jc w:val="center"/>
                    <w:rPr>
                      <w:szCs w:val="21"/>
                    </w:rPr>
                  </w:pPr>
                  <w:r>
                    <w:rPr>
                      <w:szCs w:val="21"/>
                    </w:rPr>
                    <w:t>1小时平均</w:t>
                  </w:r>
                </w:p>
              </w:tc>
              <w:tc>
                <w:tcPr>
                  <w:tcW w:w="2081" w:type="dxa"/>
                  <w:noWrap w:val="0"/>
                  <w:vAlign w:val="center"/>
                </w:tcPr>
                <w:p>
                  <w:pPr>
                    <w:pStyle w:val="17"/>
                    <w:spacing w:after="0"/>
                    <w:jc w:val="center"/>
                    <w:rPr>
                      <w:szCs w:val="21"/>
                    </w:rPr>
                  </w:pPr>
                  <w:r>
                    <w:rPr>
                      <w:szCs w:val="21"/>
                    </w:rPr>
                    <w:cr/>
                  </w:r>
                  <w:r>
                    <w:rPr>
                      <w:szCs w:val="21"/>
                    </w:rPr>
                    <w:t>00</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restart"/>
                  <w:noWrap w:val="0"/>
                  <w:vAlign w:val="center"/>
                </w:tcPr>
                <w:p>
                  <w:pPr>
                    <w:pStyle w:val="17"/>
                    <w:spacing w:after="0"/>
                    <w:jc w:val="center"/>
                    <w:rPr>
                      <w:szCs w:val="21"/>
                    </w:rPr>
                  </w:pPr>
                  <w:r>
                    <w:rPr>
                      <w:szCs w:val="21"/>
                    </w:rPr>
                    <w:t>颗粒物（粒径小于等于10μm）</w:t>
                  </w:r>
                </w:p>
              </w:tc>
              <w:tc>
                <w:tcPr>
                  <w:tcW w:w="1965" w:type="dxa"/>
                  <w:noWrap w:val="0"/>
                  <w:vAlign w:val="center"/>
                </w:tcPr>
                <w:p>
                  <w:pPr>
                    <w:pStyle w:val="17"/>
                    <w:spacing w:after="0"/>
                    <w:jc w:val="center"/>
                    <w:rPr>
                      <w:szCs w:val="21"/>
                    </w:rPr>
                  </w:pPr>
                  <w:r>
                    <w:rPr>
                      <w:szCs w:val="21"/>
                    </w:rPr>
                    <w:t>年平均</w:t>
                  </w:r>
                </w:p>
              </w:tc>
              <w:tc>
                <w:tcPr>
                  <w:tcW w:w="2081" w:type="dxa"/>
                  <w:noWrap w:val="0"/>
                  <w:vAlign w:val="center"/>
                </w:tcPr>
                <w:p>
                  <w:pPr>
                    <w:pStyle w:val="17"/>
                    <w:spacing w:after="0"/>
                    <w:jc w:val="center"/>
                    <w:rPr>
                      <w:szCs w:val="21"/>
                    </w:rPr>
                  </w:pPr>
                  <w:r>
                    <w:rPr>
                      <w:szCs w:val="21"/>
                    </w:rPr>
                    <w:t>70</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continue"/>
                  <w:noWrap w:val="0"/>
                  <w:vAlign w:val="center"/>
                </w:tcPr>
                <w:p>
                  <w:pPr>
                    <w:pStyle w:val="17"/>
                    <w:spacing w:after="0"/>
                    <w:ind w:firstLine="420" w:firstLineChars="200"/>
                    <w:jc w:val="center"/>
                    <w:rPr>
                      <w:szCs w:val="21"/>
                    </w:rPr>
                  </w:pPr>
                </w:p>
              </w:tc>
              <w:tc>
                <w:tcPr>
                  <w:tcW w:w="1965" w:type="dxa"/>
                  <w:noWrap w:val="0"/>
                  <w:vAlign w:val="center"/>
                </w:tcPr>
                <w:p>
                  <w:pPr>
                    <w:pStyle w:val="17"/>
                    <w:spacing w:after="0"/>
                    <w:jc w:val="center"/>
                    <w:rPr>
                      <w:szCs w:val="21"/>
                    </w:rPr>
                  </w:pPr>
                  <w:r>
                    <w:rPr>
                      <w:szCs w:val="21"/>
                    </w:rPr>
                    <w:t>24小时平均</w:t>
                  </w:r>
                </w:p>
              </w:tc>
              <w:tc>
                <w:tcPr>
                  <w:tcW w:w="2081" w:type="dxa"/>
                  <w:noWrap w:val="0"/>
                  <w:vAlign w:val="center"/>
                </w:tcPr>
                <w:p>
                  <w:pPr>
                    <w:pStyle w:val="17"/>
                    <w:spacing w:after="0"/>
                    <w:jc w:val="center"/>
                    <w:rPr>
                      <w:szCs w:val="21"/>
                    </w:rPr>
                  </w:pPr>
                  <w:r>
                    <w:rPr>
                      <w:szCs w:val="21"/>
                    </w:rPr>
                    <w:t>150</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restart"/>
                  <w:noWrap w:val="0"/>
                  <w:vAlign w:val="center"/>
                </w:tcPr>
                <w:p>
                  <w:pPr>
                    <w:pStyle w:val="17"/>
                    <w:spacing w:after="0"/>
                    <w:jc w:val="center"/>
                    <w:rPr>
                      <w:szCs w:val="21"/>
                    </w:rPr>
                  </w:pPr>
                  <w:r>
                    <w:rPr>
                      <w:szCs w:val="21"/>
                    </w:rPr>
                    <w:t>颗粒物（粒径小</w:t>
                  </w:r>
                  <w:r>
                    <w:rPr>
                      <w:szCs w:val="21"/>
                    </w:rPr>
                    <w:cr/>
                  </w:r>
                  <w:r>
                    <w:rPr>
                      <w:szCs w:val="21"/>
                    </w:rPr>
                    <w:t>等于2.5μm）</w:t>
                  </w:r>
                </w:p>
              </w:tc>
              <w:tc>
                <w:tcPr>
                  <w:tcW w:w="1965" w:type="dxa"/>
                  <w:noWrap w:val="0"/>
                  <w:vAlign w:val="center"/>
                </w:tcPr>
                <w:p>
                  <w:pPr>
                    <w:pStyle w:val="17"/>
                    <w:spacing w:after="0"/>
                    <w:jc w:val="center"/>
                    <w:rPr>
                      <w:szCs w:val="21"/>
                    </w:rPr>
                  </w:pPr>
                  <w:r>
                    <w:rPr>
                      <w:szCs w:val="21"/>
                    </w:rPr>
                    <w:t>年平均</w:t>
                  </w:r>
                </w:p>
              </w:tc>
              <w:tc>
                <w:tcPr>
                  <w:tcW w:w="2081" w:type="dxa"/>
                  <w:noWrap w:val="0"/>
                  <w:vAlign w:val="center"/>
                </w:tcPr>
                <w:p>
                  <w:pPr>
                    <w:pStyle w:val="17"/>
                    <w:spacing w:after="0"/>
                    <w:jc w:val="center"/>
                    <w:rPr>
                      <w:szCs w:val="21"/>
                    </w:rPr>
                  </w:pPr>
                  <w:r>
                    <w:rPr>
                      <w:szCs w:val="21"/>
                    </w:rPr>
                    <w:t>35</w:t>
                  </w:r>
                </w:p>
              </w:tc>
              <w:tc>
                <w:tcPr>
                  <w:tcW w:w="1348" w:type="dxa"/>
                  <w:vMerge w:val="continue"/>
                  <w:noWrap w:val="0"/>
                  <w:vAlign w:val="center"/>
                </w:tcPr>
                <w:p>
                  <w:pPr>
                    <w:pStyle w:val="17"/>
                    <w:spacing w:after="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3053" w:type="dxa"/>
                  <w:vMerge w:val="continue"/>
                  <w:noWrap w:val="0"/>
                  <w:vAlign w:val="center"/>
                </w:tcPr>
                <w:p>
                  <w:pPr>
                    <w:pStyle w:val="17"/>
                    <w:spacing w:after="0"/>
                    <w:ind w:firstLine="420" w:firstLineChars="200"/>
                    <w:jc w:val="center"/>
                    <w:rPr>
                      <w:szCs w:val="21"/>
                    </w:rPr>
                  </w:pPr>
                </w:p>
              </w:tc>
              <w:tc>
                <w:tcPr>
                  <w:tcW w:w="1965" w:type="dxa"/>
                  <w:noWrap w:val="0"/>
                  <w:vAlign w:val="center"/>
                </w:tcPr>
                <w:p>
                  <w:pPr>
                    <w:pStyle w:val="17"/>
                    <w:spacing w:after="0"/>
                    <w:jc w:val="center"/>
                    <w:rPr>
                      <w:szCs w:val="21"/>
                    </w:rPr>
                  </w:pPr>
                  <w:r>
                    <w:rPr>
                      <w:szCs w:val="21"/>
                    </w:rPr>
                    <w:t>24小时平均</w:t>
                  </w:r>
                </w:p>
              </w:tc>
              <w:tc>
                <w:tcPr>
                  <w:tcW w:w="2081" w:type="dxa"/>
                  <w:noWrap w:val="0"/>
                  <w:vAlign w:val="center"/>
                </w:tcPr>
                <w:p>
                  <w:pPr>
                    <w:pStyle w:val="17"/>
                    <w:spacing w:after="0"/>
                    <w:jc w:val="center"/>
                    <w:rPr>
                      <w:szCs w:val="21"/>
                    </w:rPr>
                  </w:pPr>
                  <w:r>
                    <w:rPr>
                      <w:szCs w:val="21"/>
                    </w:rPr>
                    <w:t>75</w:t>
                  </w:r>
                </w:p>
              </w:tc>
              <w:tc>
                <w:tcPr>
                  <w:tcW w:w="1348" w:type="dxa"/>
                  <w:vMerge w:val="continue"/>
                  <w:noWrap w:val="0"/>
                  <w:vAlign w:val="center"/>
                </w:tcPr>
                <w:p>
                  <w:pPr>
                    <w:pStyle w:val="17"/>
                    <w:spacing w:after="0"/>
                    <w:jc w:val="center"/>
                    <w:rPr>
                      <w:szCs w:val="21"/>
                    </w:rPr>
                  </w:pPr>
                </w:p>
              </w:tc>
            </w:tr>
          </w:tbl>
          <w:p>
            <w:pPr>
              <w:spacing w:before="156" w:beforeLines="50" w:line="360" w:lineRule="auto"/>
              <w:rPr>
                <w:b/>
                <w:sz w:val="24"/>
              </w:rPr>
            </w:pPr>
            <w:r>
              <w:rPr>
                <w:b/>
                <w:sz w:val="24"/>
              </w:rPr>
              <w:t>2</w:t>
            </w:r>
            <w:r>
              <w:rPr>
                <w:rFonts w:hAnsi="宋体"/>
                <w:b/>
                <w:sz w:val="24"/>
              </w:rPr>
              <w:t>、地表水质量标准</w:t>
            </w:r>
          </w:p>
          <w:p>
            <w:pPr>
              <w:pStyle w:val="71"/>
              <w:spacing w:beforeLines="0" w:line="360" w:lineRule="auto"/>
              <w:rPr>
                <w:rFonts w:hint="eastAsia"/>
                <w:color w:val="auto"/>
              </w:rPr>
            </w:pPr>
            <w:r>
              <w:rPr>
                <w:rFonts w:hint="eastAsia"/>
                <w:color w:val="auto"/>
              </w:rPr>
              <w:t>根据现场调查，项目所涉及的地表水为永春河，及其支流头道河、二道河</w:t>
            </w:r>
            <w:r>
              <w:rPr>
                <w:color w:val="auto"/>
              </w:rPr>
              <w:t>。</w:t>
            </w:r>
            <w:r>
              <w:rPr>
                <w:rFonts w:hint="eastAsia"/>
                <w:color w:val="auto"/>
              </w:rPr>
              <w:t>永春河由东南向西北流入澜沧江，为澜沧江一级支流，属于澜沧江水系。</w:t>
            </w:r>
          </w:p>
          <w:p>
            <w:pPr>
              <w:pStyle w:val="71"/>
              <w:spacing w:before="0" w:beforeLines="0" w:line="360" w:lineRule="auto"/>
              <w:rPr>
                <w:rFonts w:hint="eastAsia"/>
                <w:color w:val="auto"/>
              </w:rPr>
            </w:pPr>
            <w:r>
              <w:rPr>
                <w:rFonts w:hint="eastAsia"/>
                <w:color w:val="auto"/>
              </w:rPr>
              <w:t>根据《云南省地表水水环境功能区划》（</w:t>
            </w:r>
            <w:r>
              <w:rPr>
                <w:color w:val="auto"/>
              </w:rPr>
              <w:t>2010~2020</w:t>
            </w:r>
            <w:r>
              <w:rPr>
                <w:rFonts w:hint="eastAsia"/>
                <w:color w:val="auto"/>
              </w:rPr>
              <w:t>），头道河源头</w:t>
            </w:r>
            <w:r>
              <w:rPr>
                <w:color w:val="auto"/>
              </w:rPr>
              <w:t>-</w:t>
            </w:r>
            <w:r>
              <w:rPr>
                <w:rFonts w:hint="eastAsia"/>
                <w:color w:val="auto"/>
              </w:rPr>
              <w:t>入永春河口，水环境功能为饮用一级、农业用水，执行《地表水环境质量标准》（</w:t>
            </w:r>
            <w:r>
              <w:rPr>
                <w:color w:val="auto"/>
              </w:rPr>
              <w:t>GB3838-2002</w:t>
            </w:r>
            <w:r>
              <w:rPr>
                <w:rFonts w:hint="eastAsia"/>
                <w:color w:val="auto"/>
              </w:rPr>
              <w:t>）</w:t>
            </w:r>
            <w:r>
              <w:rPr>
                <w:color w:val="auto"/>
              </w:rPr>
              <w:fldChar w:fldCharType="begin"/>
            </w:r>
            <w:r>
              <w:rPr>
                <w:color w:val="auto"/>
              </w:rPr>
              <w:instrText xml:space="preserve"> </w:instrText>
            </w:r>
            <w:r>
              <w:rPr>
                <w:rFonts w:hint="eastAsia"/>
                <w:color w:val="auto"/>
              </w:rPr>
              <w:instrText xml:space="preserve">= 2 \* ROMAN</w:instrText>
            </w:r>
            <w:r>
              <w:rPr>
                <w:color w:val="auto"/>
              </w:rPr>
              <w:instrText xml:space="preserve"> </w:instrText>
            </w:r>
            <w:r>
              <w:rPr>
                <w:color w:val="auto"/>
              </w:rPr>
              <w:fldChar w:fldCharType="separate"/>
            </w:r>
            <w:r>
              <w:rPr>
                <w:color w:val="auto"/>
                <w:lang/>
              </w:rPr>
              <w:t>II</w:t>
            </w:r>
            <w:r>
              <w:rPr>
                <w:color w:val="auto"/>
              </w:rPr>
              <w:fldChar w:fldCharType="end"/>
            </w:r>
            <w:r>
              <w:rPr>
                <w:rFonts w:hint="eastAsia"/>
                <w:color w:val="auto"/>
              </w:rPr>
              <w:t>类水质标准；二道河源头</w:t>
            </w:r>
            <w:r>
              <w:rPr>
                <w:color w:val="auto"/>
              </w:rPr>
              <w:t>-</w:t>
            </w:r>
            <w:r>
              <w:rPr>
                <w:rFonts w:hint="eastAsia"/>
                <w:color w:val="auto"/>
              </w:rPr>
              <w:t>入永春河口，水功环境能为饮用一级，执行《地表水环境质量标准》（</w:t>
            </w:r>
            <w:r>
              <w:rPr>
                <w:color w:val="auto"/>
              </w:rPr>
              <w:t>GB3838-2002</w:t>
            </w:r>
            <w:r>
              <w:rPr>
                <w:rFonts w:hint="eastAsia"/>
                <w:color w:val="auto"/>
              </w:rPr>
              <w:t>）</w:t>
            </w:r>
            <w:r>
              <w:rPr>
                <w:color w:val="auto"/>
              </w:rPr>
              <w:fldChar w:fldCharType="begin"/>
            </w:r>
            <w:r>
              <w:rPr>
                <w:color w:val="auto"/>
              </w:rPr>
              <w:instrText xml:space="preserve"> </w:instrText>
            </w:r>
            <w:r>
              <w:rPr>
                <w:rFonts w:hint="eastAsia"/>
                <w:color w:val="auto"/>
              </w:rPr>
              <w:instrText xml:space="preserve">= 2 \* ROMAN</w:instrText>
            </w:r>
            <w:r>
              <w:rPr>
                <w:color w:val="auto"/>
              </w:rPr>
              <w:instrText xml:space="preserve"> </w:instrText>
            </w:r>
            <w:r>
              <w:rPr>
                <w:color w:val="auto"/>
              </w:rPr>
              <w:fldChar w:fldCharType="separate"/>
            </w:r>
            <w:r>
              <w:rPr>
                <w:color w:val="auto"/>
                <w:lang/>
              </w:rPr>
              <w:t>II</w:t>
            </w:r>
            <w:r>
              <w:rPr>
                <w:color w:val="auto"/>
              </w:rPr>
              <w:fldChar w:fldCharType="end"/>
            </w:r>
            <w:r>
              <w:rPr>
                <w:rFonts w:hint="eastAsia"/>
                <w:color w:val="auto"/>
              </w:rPr>
              <w:t>类水质标准。永春河源头</w:t>
            </w:r>
            <w:r>
              <w:rPr>
                <w:color w:val="auto"/>
              </w:rPr>
              <w:t>-</w:t>
            </w:r>
            <w:r>
              <w:rPr>
                <w:rFonts w:hint="eastAsia"/>
                <w:color w:val="auto"/>
              </w:rPr>
              <w:t>入澜沧江口地表水功能为农业用水、工业用水，执行《地表水环境质量标准》（</w:t>
            </w:r>
            <w:r>
              <w:rPr>
                <w:color w:val="auto"/>
              </w:rPr>
              <w:t>GB3838-2002</w:t>
            </w:r>
            <w:r>
              <w:rPr>
                <w:rFonts w:hint="eastAsia"/>
                <w:color w:val="auto"/>
              </w:rPr>
              <w:t>）Ⅳ类水质标准。标准值见表4</w:t>
            </w:r>
            <w:r>
              <w:rPr>
                <w:color w:val="auto"/>
              </w:rPr>
              <w:t>-</w:t>
            </w:r>
            <w:r>
              <w:rPr>
                <w:rFonts w:hint="eastAsia"/>
                <w:color w:val="auto"/>
              </w:rPr>
              <w:t>2。</w:t>
            </w:r>
          </w:p>
          <w:p>
            <w:pPr>
              <w:spacing w:line="360" w:lineRule="auto"/>
              <w:jc w:val="center"/>
              <w:rPr>
                <w:b/>
                <w:bCs/>
                <w:sz w:val="24"/>
              </w:rPr>
            </w:pPr>
            <w:r>
              <w:rPr>
                <w:b/>
                <w:bCs/>
                <w:sz w:val="24"/>
              </w:rPr>
              <w:t>表</w:t>
            </w:r>
            <w:r>
              <w:rPr>
                <w:rFonts w:hint="eastAsia"/>
                <w:b/>
                <w:bCs/>
                <w:sz w:val="24"/>
              </w:rPr>
              <w:t xml:space="preserve">4-2  </w:t>
            </w:r>
            <w:r>
              <w:rPr>
                <w:b/>
                <w:bCs/>
                <w:sz w:val="24"/>
              </w:rPr>
              <w:t xml:space="preserve"> 地表水环境质量</w:t>
            </w:r>
            <w:r>
              <w:rPr>
                <w:rFonts w:hint="eastAsia"/>
                <w:b/>
                <w:bCs/>
                <w:sz w:val="24"/>
              </w:rPr>
              <w:t xml:space="preserve"> </w:t>
            </w:r>
            <w:r>
              <w:rPr>
                <w:b/>
                <w:bCs/>
                <w:sz w:val="24"/>
              </w:rPr>
              <w:fldChar w:fldCharType="begin"/>
            </w:r>
            <w:r>
              <w:rPr>
                <w:b/>
                <w:bCs/>
                <w:sz w:val="24"/>
              </w:rPr>
              <w:instrText xml:space="preserve"> </w:instrText>
            </w:r>
            <w:r>
              <w:rPr>
                <w:rFonts w:hint="eastAsia"/>
                <w:b/>
                <w:bCs/>
                <w:sz w:val="24"/>
              </w:rPr>
              <w:instrText xml:space="preserve">= 2 \* ROMAN</w:instrText>
            </w:r>
            <w:r>
              <w:rPr>
                <w:b/>
                <w:bCs/>
                <w:sz w:val="24"/>
              </w:rPr>
              <w:instrText xml:space="preserve"> </w:instrText>
            </w:r>
            <w:r>
              <w:rPr>
                <w:b/>
                <w:bCs/>
                <w:sz w:val="24"/>
              </w:rPr>
              <w:fldChar w:fldCharType="separate"/>
            </w:r>
            <w:r>
              <w:rPr>
                <w:b/>
                <w:bCs/>
                <w:sz w:val="24"/>
              </w:rPr>
              <w:t>II</w:t>
            </w:r>
            <w:r>
              <w:rPr>
                <w:b/>
                <w:bCs/>
                <w:sz w:val="24"/>
              </w:rPr>
              <w:fldChar w:fldCharType="end"/>
            </w:r>
            <w:r>
              <w:rPr>
                <w:b/>
                <w:bCs/>
                <w:sz w:val="24"/>
              </w:rPr>
              <w:t>类</w:t>
            </w:r>
            <w:r>
              <w:rPr>
                <w:rFonts w:hint="eastAsia"/>
                <w:b/>
                <w:bCs/>
                <w:sz w:val="24"/>
              </w:rPr>
              <w:t>、</w:t>
            </w:r>
            <w:r>
              <w:rPr>
                <w:b/>
                <w:bCs/>
                <w:sz w:val="24"/>
              </w:rPr>
              <w:fldChar w:fldCharType="begin"/>
            </w:r>
            <w:r>
              <w:rPr>
                <w:b/>
                <w:bCs/>
                <w:sz w:val="24"/>
              </w:rPr>
              <w:instrText xml:space="preserve"> </w:instrText>
            </w:r>
            <w:r>
              <w:rPr>
                <w:rFonts w:hint="eastAsia"/>
                <w:b/>
                <w:bCs/>
                <w:sz w:val="24"/>
              </w:rPr>
              <w:instrText xml:space="preserve">= 4 \* ROMAN</w:instrText>
            </w:r>
            <w:r>
              <w:rPr>
                <w:b/>
                <w:bCs/>
                <w:sz w:val="24"/>
              </w:rPr>
              <w:instrText xml:space="preserve"> </w:instrText>
            </w:r>
            <w:r>
              <w:rPr>
                <w:b/>
                <w:bCs/>
                <w:sz w:val="24"/>
              </w:rPr>
              <w:fldChar w:fldCharType="separate"/>
            </w:r>
            <w:r>
              <w:rPr>
                <w:b/>
                <w:bCs/>
                <w:sz w:val="24"/>
              </w:rPr>
              <w:t>IV</w:t>
            </w:r>
            <w:r>
              <w:rPr>
                <w:b/>
                <w:bCs/>
                <w:sz w:val="24"/>
              </w:rPr>
              <w:fldChar w:fldCharType="end"/>
            </w:r>
            <w:r>
              <w:rPr>
                <w:b/>
                <w:bCs/>
                <w:sz w:val="24"/>
              </w:rPr>
              <w:t>类标准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818"/>
              <w:gridCol w:w="823"/>
              <w:gridCol w:w="823"/>
              <w:gridCol w:w="821"/>
              <w:gridCol w:w="916"/>
              <w:gridCol w:w="971"/>
              <w:gridCol w:w="1237"/>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768" w:type="dxa"/>
                  <w:noWrap w:val="0"/>
                  <w:vAlign w:val="center"/>
                </w:tcPr>
                <w:p>
                  <w:pPr>
                    <w:rPr>
                      <w:szCs w:val="21"/>
                    </w:rPr>
                  </w:pPr>
                  <w:r>
                    <w:rPr>
                      <w:rFonts w:hint="eastAsia"/>
                      <w:szCs w:val="21"/>
                    </w:rPr>
                    <w:t>项目</w:t>
                  </w:r>
                </w:p>
              </w:tc>
              <w:tc>
                <w:tcPr>
                  <w:tcW w:w="818" w:type="dxa"/>
                  <w:noWrap w:val="0"/>
                  <w:vAlign w:val="center"/>
                </w:tcPr>
                <w:p>
                  <w:pPr>
                    <w:jc w:val="center"/>
                    <w:rPr>
                      <w:szCs w:val="21"/>
                    </w:rPr>
                  </w:pPr>
                  <w:r>
                    <w:rPr>
                      <w:szCs w:val="21"/>
                    </w:rPr>
                    <w:t>pH</w:t>
                  </w:r>
                </w:p>
              </w:tc>
              <w:tc>
                <w:tcPr>
                  <w:tcW w:w="823" w:type="dxa"/>
                  <w:noWrap w:val="0"/>
                  <w:vAlign w:val="center"/>
                </w:tcPr>
                <w:p>
                  <w:pPr>
                    <w:jc w:val="center"/>
                    <w:rPr>
                      <w:szCs w:val="21"/>
                    </w:rPr>
                  </w:pPr>
                  <w:r>
                    <w:rPr>
                      <w:szCs w:val="21"/>
                    </w:rPr>
                    <w:t>COD</w:t>
                  </w:r>
                  <w:r>
                    <w:rPr>
                      <w:szCs w:val="21"/>
                      <w:vertAlign w:val="subscript"/>
                    </w:rPr>
                    <w:t>cr</w:t>
                  </w:r>
                </w:p>
              </w:tc>
              <w:tc>
                <w:tcPr>
                  <w:tcW w:w="823" w:type="dxa"/>
                  <w:noWrap w:val="0"/>
                  <w:vAlign w:val="center"/>
                </w:tcPr>
                <w:p>
                  <w:pPr>
                    <w:jc w:val="center"/>
                    <w:rPr>
                      <w:szCs w:val="21"/>
                    </w:rPr>
                  </w:pPr>
                  <w:r>
                    <w:rPr>
                      <w:szCs w:val="21"/>
                    </w:rPr>
                    <w:t>BOD</w:t>
                  </w:r>
                  <w:r>
                    <w:rPr>
                      <w:szCs w:val="21"/>
                      <w:vertAlign w:val="subscript"/>
                    </w:rPr>
                    <w:t>5</w:t>
                  </w:r>
                </w:p>
              </w:tc>
              <w:tc>
                <w:tcPr>
                  <w:tcW w:w="821" w:type="dxa"/>
                  <w:noWrap w:val="0"/>
                  <w:vAlign w:val="center"/>
                </w:tcPr>
                <w:p>
                  <w:pPr>
                    <w:jc w:val="center"/>
                    <w:rPr>
                      <w:szCs w:val="21"/>
                    </w:rPr>
                  </w:pPr>
                  <w:r>
                    <w:rPr>
                      <w:szCs w:val="21"/>
                    </w:rPr>
                    <w:t>氨氮</w:t>
                  </w:r>
                </w:p>
              </w:tc>
              <w:tc>
                <w:tcPr>
                  <w:tcW w:w="916" w:type="dxa"/>
                  <w:noWrap w:val="0"/>
                  <w:vAlign w:val="center"/>
                </w:tcPr>
                <w:p>
                  <w:pPr>
                    <w:jc w:val="center"/>
                    <w:rPr>
                      <w:szCs w:val="21"/>
                    </w:rPr>
                  </w:pPr>
                  <w:r>
                    <w:rPr>
                      <w:szCs w:val="21"/>
                    </w:rPr>
                    <w:t>总磷</w:t>
                  </w:r>
                </w:p>
              </w:tc>
              <w:tc>
                <w:tcPr>
                  <w:tcW w:w="971" w:type="dxa"/>
                  <w:noWrap w:val="0"/>
                  <w:vAlign w:val="center"/>
                </w:tcPr>
                <w:p>
                  <w:pPr>
                    <w:jc w:val="center"/>
                    <w:rPr>
                      <w:szCs w:val="21"/>
                    </w:rPr>
                  </w:pPr>
                  <w:r>
                    <w:rPr>
                      <w:szCs w:val="21"/>
                    </w:rPr>
                    <w:t>石油类</w:t>
                  </w:r>
                </w:p>
              </w:tc>
              <w:tc>
                <w:tcPr>
                  <w:tcW w:w="1237" w:type="dxa"/>
                  <w:noWrap w:val="0"/>
                  <w:vAlign w:val="center"/>
                </w:tcPr>
                <w:p>
                  <w:pPr>
                    <w:jc w:val="center"/>
                    <w:rPr>
                      <w:szCs w:val="21"/>
                    </w:rPr>
                  </w:pPr>
                  <w:r>
                    <w:rPr>
                      <w:szCs w:val="21"/>
                    </w:rPr>
                    <w:t>阴</w:t>
                  </w:r>
                  <w:r>
                    <w:rPr>
                      <w:rFonts w:hint="eastAsia"/>
                      <w:szCs w:val="21"/>
                    </w:rPr>
                    <w:t>离</w:t>
                  </w:r>
                  <w:r>
                    <w:rPr>
                      <w:szCs w:val="21"/>
                    </w:rPr>
                    <w:t>子表面活性</w:t>
                  </w:r>
                  <w:r>
                    <w:rPr>
                      <w:rFonts w:hint="eastAsia"/>
                      <w:szCs w:val="21"/>
                    </w:rPr>
                    <w:t>剂</w:t>
                  </w:r>
                </w:p>
              </w:tc>
              <w:tc>
                <w:tcPr>
                  <w:tcW w:w="1270" w:type="dxa"/>
                  <w:noWrap w:val="0"/>
                  <w:vAlign w:val="center"/>
                </w:tcPr>
                <w:p>
                  <w:pPr>
                    <w:jc w:val="center"/>
                    <w:rPr>
                      <w:szCs w:val="21"/>
                    </w:rPr>
                  </w:pPr>
                  <w:r>
                    <w:rPr>
                      <w:szCs w:val="21"/>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768" w:type="dxa"/>
                  <w:noWrap w:val="0"/>
                  <w:vAlign w:val="center"/>
                </w:tcPr>
                <w:p>
                  <w:pPr>
                    <w:jc w:val="center"/>
                    <w:rPr>
                      <w:szCs w:val="21"/>
                    </w:rPr>
                  </w:pPr>
                  <w:r>
                    <w:rPr>
                      <w:szCs w:val="21"/>
                    </w:rPr>
                    <w:fldChar w:fldCharType="begin"/>
                  </w:r>
                  <w:r>
                    <w:rPr>
                      <w:szCs w:val="21"/>
                    </w:rPr>
                    <w:instrText xml:space="preserve"> </w:instrText>
                  </w:r>
                  <w:r>
                    <w:rPr>
                      <w:rFonts w:hint="eastAsia"/>
                      <w:szCs w:val="21"/>
                    </w:rPr>
                    <w:instrText xml:space="preserve">= 2 \* ROMAN</w:instrText>
                  </w:r>
                  <w:r>
                    <w:rPr>
                      <w:szCs w:val="21"/>
                    </w:rPr>
                    <w:instrText xml:space="preserve"> </w:instrText>
                  </w:r>
                  <w:r>
                    <w:rPr>
                      <w:szCs w:val="21"/>
                    </w:rPr>
                    <w:fldChar w:fldCharType="separate"/>
                  </w:r>
                  <w:r>
                    <w:rPr>
                      <w:szCs w:val="21"/>
                      <w:lang/>
                    </w:rPr>
                    <w:t>II</w:t>
                  </w:r>
                  <w:r>
                    <w:rPr>
                      <w:szCs w:val="21"/>
                    </w:rPr>
                    <w:fldChar w:fldCharType="end"/>
                  </w:r>
                  <w:r>
                    <w:rPr>
                      <w:szCs w:val="21"/>
                    </w:rPr>
                    <w:t>类</w:t>
                  </w:r>
                </w:p>
              </w:tc>
              <w:tc>
                <w:tcPr>
                  <w:tcW w:w="818" w:type="dxa"/>
                  <w:noWrap w:val="0"/>
                  <w:vAlign w:val="center"/>
                </w:tcPr>
                <w:p>
                  <w:pPr>
                    <w:jc w:val="center"/>
                    <w:rPr>
                      <w:szCs w:val="21"/>
                    </w:rPr>
                  </w:pPr>
                  <w:r>
                    <w:rPr>
                      <w:szCs w:val="21"/>
                    </w:rPr>
                    <w:t>6～9</w:t>
                  </w:r>
                </w:p>
              </w:tc>
              <w:tc>
                <w:tcPr>
                  <w:tcW w:w="823" w:type="dxa"/>
                  <w:noWrap w:val="0"/>
                  <w:vAlign w:val="center"/>
                </w:tcPr>
                <w:p>
                  <w:pPr>
                    <w:jc w:val="center"/>
                    <w:rPr>
                      <w:szCs w:val="21"/>
                    </w:rPr>
                  </w:pPr>
                  <w:r>
                    <w:rPr>
                      <w:szCs w:val="21"/>
                    </w:rPr>
                    <w:t>≤</w:t>
                  </w:r>
                  <w:r>
                    <w:rPr>
                      <w:rFonts w:hint="eastAsia"/>
                      <w:szCs w:val="21"/>
                    </w:rPr>
                    <w:t>15</w:t>
                  </w:r>
                </w:p>
              </w:tc>
              <w:tc>
                <w:tcPr>
                  <w:tcW w:w="823" w:type="dxa"/>
                  <w:noWrap w:val="0"/>
                  <w:vAlign w:val="center"/>
                </w:tcPr>
                <w:p>
                  <w:pPr>
                    <w:jc w:val="center"/>
                    <w:rPr>
                      <w:szCs w:val="21"/>
                    </w:rPr>
                  </w:pPr>
                  <w:r>
                    <w:rPr>
                      <w:szCs w:val="21"/>
                    </w:rPr>
                    <w:t>≤</w:t>
                  </w:r>
                  <w:r>
                    <w:rPr>
                      <w:rFonts w:hint="eastAsia"/>
                      <w:szCs w:val="21"/>
                    </w:rPr>
                    <w:t>3</w:t>
                  </w:r>
                </w:p>
              </w:tc>
              <w:tc>
                <w:tcPr>
                  <w:tcW w:w="821" w:type="dxa"/>
                  <w:noWrap w:val="0"/>
                  <w:vAlign w:val="center"/>
                </w:tcPr>
                <w:p>
                  <w:pPr>
                    <w:jc w:val="center"/>
                    <w:rPr>
                      <w:szCs w:val="21"/>
                    </w:rPr>
                  </w:pPr>
                  <w:r>
                    <w:rPr>
                      <w:szCs w:val="21"/>
                    </w:rPr>
                    <w:t>≤</w:t>
                  </w:r>
                  <w:r>
                    <w:rPr>
                      <w:rFonts w:hint="eastAsia"/>
                      <w:szCs w:val="21"/>
                    </w:rPr>
                    <w:t>0.5</w:t>
                  </w:r>
                </w:p>
              </w:tc>
              <w:tc>
                <w:tcPr>
                  <w:tcW w:w="916" w:type="dxa"/>
                  <w:noWrap w:val="0"/>
                  <w:vAlign w:val="center"/>
                </w:tcPr>
                <w:p>
                  <w:pPr>
                    <w:jc w:val="center"/>
                    <w:rPr>
                      <w:szCs w:val="21"/>
                    </w:rPr>
                  </w:pPr>
                  <w:r>
                    <w:rPr>
                      <w:szCs w:val="21"/>
                    </w:rPr>
                    <w:t>≤0</w:t>
                  </w:r>
                  <w:r>
                    <w:rPr>
                      <w:rFonts w:hint="eastAsia"/>
                      <w:szCs w:val="21"/>
                    </w:rPr>
                    <w:t>1</w:t>
                  </w:r>
                </w:p>
              </w:tc>
              <w:tc>
                <w:tcPr>
                  <w:tcW w:w="971" w:type="dxa"/>
                  <w:noWrap w:val="0"/>
                  <w:vAlign w:val="center"/>
                </w:tcPr>
                <w:p>
                  <w:pPr>
                    <w:jc w:val="center"/>
                    <w:rPr>
                      <w:szCs w:val="21"/>
                    </w:rPr>
                  </w:pPr>
                  <w:r>
                    <w:rPr>
                      <w:szCs w:val="21"/>
                    </w:rPr>
                    <w:t>≤0.</w:t>
                  </w:r>
                  <w:r>
                    <w:rPr>
                      <w:rFonts w:hint="eastAsia"/>
                      <w:szCs w:val="21"/>
                    </w:rPr>
                    <w:t>05</w:t>
                  </w:r>
                </w:p>
              </w:tc>
              <w:tc>
                <w:tcPr>
                  <w:tcW w:w="1237" w:type="dxa"/>
                  <w:noWrap w:val="0"/>
                  <w:vAlign w:val="center"/>
                </w:tcPr>
                <w:p>
                  <w:pPr>
                    <w:jc w:val="center"/>
                    <w:rPr>
                      <w:szCs w:val="21"/>
                    </w:rPr>
                  </w:pPr>
                  <w:r>
                    <w:rPr>
                      <w:szCs w:val="21"/>
                    </w:rPr>
                    <w:t>≤0.</w:t>
                  </w:r>
                  <w:r>
                    <w:rPr>
                      <w:rFonts w:hint="eastAsia"/>
                      <w:szCs w:val="21"/>
                    </w:rPr>
                    <w:t>2</w:t>
                  </w:r>
                </w:p>
              </w:tc>
              <w:tc>
                <w:tcPr>
                  <w:tcW w:w="1270" w:type="dxa"/>
                  <w:noWrap w:val="0"/>
                  <w:vAlign w:val="center"/>
                </w:tcPr>
                <w:p>
                  <w:pPr>
                    <w:jc w:val="center"/>
                    <w:rPr>
                      <w:szCs w:val="21"/>
                    </w:rPr>
                  </w:pPr>
                  <w:r>
                    <w:rPr>
                      <w:szCs w:val="21"/>
                    </w:rPr>
                    <w:t>≤</w:t>
                  </w:r>
                  <w:r>
                    <w:rPr>
                      <w:rFonts w:hint="eastAsia"/>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768" w:type="dxa"/>
                  <w:noWrap w:val="0"/>
                  <w:vAlign w:val="center"/>
                </w:tcPr>
                <w:p>
                  <w:pPr>
                    <w:jc w:val="center"/>
                    <w:rPr>
                      <w:szCs w:val="21"/>
                    </w:rPr>
                  </w:pPr>
                  <w:r>
                    <w:rPr>
                      <w:szCs w:val="21"/>
                    </w:rPr>
                    <w:fldChar w:fldCharType="begin"/>
                  </w:r>
                  <w:r>
                    <w:rPr>
                      <w:szCs w:val="21"/>
                    </w:rPr>
                    <w:instrText xml:space="preserve"> </w:instrText>
                  </w:r>
                  <w:r>
                    <w:rPr>
                      <w:rFonts w:hint="eastAsia"/>
                      <w:szCs w:val="21"/>
                    </w:rPr>
                    <w:instrText xml:space="preserve">= 4 \* ROMAN</w:instrText>
                  </w:r>
                  <w:r>
                    <w:rPr>
                      <w:szCs w:val="21"/>
                    </w:rPr>
                    <w:instrText xml:space="preserve"> </w:instrText>
                  </w:r>
                  <w:r>
                    <w:rPr>
                      <w:szCs w:val="21"/>
                    </w:rPr>
                    <w:fldChar w:fldCharType="separate"/>
                  </w:r>
                  <w:r>
                    <w:rPr>
                      <w:szCs w:val="21"/>
                      <w:lang/>
                    </w:rPr>
                    <w:t>IV</w:t>
                  </w:r>
                  <w:r>
                    <w:rPr>
                      <w:szCs w:val="21"/>
                    </w:rPr>
                    <w:fldChar w:fldCharType="end"/>
                  </w:r>
                  <w:r>
                    <w:rPr>
                      <w:szCs w:val="21"/>
                    </w:rPr>
                    <w:t>类</w:t>
                  </w:r>
                </w:p>
              </w:tc>
              <w:tc>
                <w:tcPr>
                  <w:tcW w:w="818" w:type="dxa"/>
                  <w:noWrap w:val="0"/>
                  <w:vAlign w:val="center"/>
                </w:tcPr>
                <w:p>
                  <w:pPr>
                    <w:jc w:val="center"/>
                    <w:rPr>
                      <w:szCs w:val="21"/>
                    </w:rPr>
                  </w:pPr>
                  <w:r>
                    <w:rPr>
                      <w:szCs w:val="21"/>
                    </w:rPr>
                    <w:t>6～9</w:t>
                  </w:r>
                </w:p>
              </w:tc>
              <w:tc>
                <w:tcPr>
                  <w:tcW w:w="823" w:type="dxa"/>
                  <w:noWrap w:val="0"/>
                  <w:vAlign w:val="center"/>
                </w:tcPr>
                <w:p>
                  <w:pPr>
                    <w:jc w:val="center"/>
                    <w:rPr>
                      <w:szCs w:val="21"/>
                    </w:rPr>
                  </w:pPr>
                  <w:r>
                    <w:rPr>
                      <w:szCs w:val="21"/>
                    </w:rPr>
                    <w:t>≤</w:t>
                  </w:r>
                  <w:r>
                    <w:rPr>
                      <w:rFonts w:hint="eastAsia"/>
                      <w:szCs w:val="21"/>
                    </w:rPr>
                    <w:t>3</w:t>
                  </w:r>
                  <w:r>
                    <w:rPr>
                      <w:szCs w:val="21"/>
                    </w:rPr>
                    <w:t>0</w:t>
                  </w:r>
                </w:p>
              </w:tc>
              <w:tc>
                <w:tcPr>
                  <w:tcW w:w="823" w:type="dxa"/>
                  <w:noWrap w:val="0"/>
                  <w:vAlign w:val="center"/>
                </w:tcPr>
                <w:p>
                  <w:pPr>
                    <w:jc w:val="center"/>
                    <w:rPr>
                      <w:szCs w:val="21"/>
                    </w:rPr>
                  </w:pPr>
                  <w:r>
                    <w:rPr>
                      <w:rFonts w:hint="eastAsia"/>
                      <w:szCs w:val="21"/>
                    </w:rPr>
                    <w:t xml:space="preserve"> </w:t>
                  </w:r>
                  <w:r>
                    <w:rPr>
                      <w:szCs w:val="21"/>
                    </w:rPr>
                    <w:t>≤</w:t>
                  </w:r>
                  <w:r>
                    <w:rPr>
                      <w:rFonts w:hint="eastAsia"/>
                      <w:szCs w:val="21"/>
                    </w:rPr>
                    <w:t>6</w:t>
                  </w:r>
                </w:p>
              </w:tc>
              <w:tc>
                <w:tcPr>
                  <w:tcW w:w="821" w:type="dxa"/>
                  <w:noWrap w:val="0"/>
                  <w:vAlign w:val="center"/>
                </w:tcPr>
                <w:p>
                  <w:pPr>
                    <w:jc w:val="center"/>
                    <w:rPr>
                      <w:szCs w:val="21"/>
                    </w:rPr>
                  </w:pPr>
                  <w:r>
                    <w:rPr>
                      <w:szCs w:val="21"/>
                    </w:rPr>
                    <w:t>≤1.</w:t>
                  </w:r>
                  <w:r>
                    <w:rPr>
                      <w:rFonts w:hint="eastAsia"/>
                      <w:szCs w:val="21"/>
                    </w:rPr>
                    <w:t>5</w:t>
                  </w:r>
                </w:p>
              </w:tc>
              <w:tc>
                <w:tcPr>
                  <w:tcW w:w="916" w:type="dxa"/>
                  <w:noWrap w:val="0"/>
                  <w:vAlign w:val="center"/>
                </w:tcPr>
                <w:p>
                  <w:pPr>
                    <w:jc w:val="center"/>
                    <w:rPr>
                      <w:szCs w:val="21"/>
                    </w:rPr>
                  </w:pPr>
                  <w:r>
                    <w:rPr>
                      <w:rFonts w:hint="eastAsia"/>
                      <w:szCs w:val="21"/>
                    </w:rPr>
                    <w:t xml:space="preserve"> </w:t>
                  </w:r>
                  <w:r>
                    <w:rPr>
                      <w:szCs w:val="21"/>
                    </w:rPr>
                    <w:t>≤0.</w:t>
                  </w:r>
                  <w:r>
                    <w:rPr>
                      <w:rFonts w:hint="eastAsia"/>
                      <w:szCs w:val="21"/>
                    </w:rPr>
                    <w:t>3</w:t>
                  </w:r>
                </w:p>
              </w:tc>
              <w:tc>
                <w:tcPr>
                  <w:tcW w:w="971" w:type="dxa"/>
                  <w:noWrap w:val="0"/>
                  <w:vAlign w:val="center"/>
                </w:tcPr>
                <w:p>
                  <w:pPr>
                    <w:jc w:val="center"/>
                    <w:rPr>
                      <w:szCs w:val="21"/>
                    </w:rPr>
                  </w:pPr>
                  <w:r>
                    <w:rPr>
                      <w:szCs w:val="21"/>
                    </w:rPr>
                    <w:t>≤0.5</w:t>
                  </w:r>
                </w:p>
              </w:tc>
              <w:tc>
                <w:tcPr>
                  <w:tcW w:w="1237" w:type="dxa"/>
                  <w:noWrap w:val="0"/>
                  <w:vAlign w:val="center"/>
                </w:tcPr>
                <w:p>
                  <w:pPr>
                    <w:jc w:val="center"/>
                    <w:rPr>
                      <w:szCs w:val="21"/>
                    </w:rPr>
                  </w:pPr>
                  <w:r>
                    <w:rPr>
                      <w:szCs w:val="21"/>
                    </w:rPr>
                    <w:t>≤0.</w:t>
                  </w:r>
                  <w:r>
                    <w:rPr>
                      <w:rFonts w:hint="eastAsia"/>
                      <w:szCs w:val="21"/>
                    </w:rPr>
                    <w:t>3</w:t>
                  </w:r>
                </w:p>
              </w:tc>
              <w:tc>
                <w:tcPr>
                  <w:tcW w:w="1270" w:type="dxa"/>
                  <w:noWrap w:val="0"/>
                  <w:vAlign w:val="center"/>
                </w:tcPr>
                <w:p>
                  <w:pPr>
                    <w:jc w:val="center"/>
                    <w:rPr>
                      <w:szCs w:val="21"/>
                    </w:rPr>
                  </w:pPr>
                  <w:r>
                    <w:rPr>
                      <w:szCs w:val="21"/>
                    </w:rPr>
                    <w:t>≤</w:t>
                  </w:r>
                  <w:r>
                    <w:rPr>
                      <w:rFonts w:hint="eastAsia"/>
                      <w:szCs w:val="21"/>
                    </w:rPr>
                    <w:t>2</w:t>
                  </w:r>
                  <w:r>
                    <w:rPr>
                      <w:szCs w:val="21"/>
                    </w:rPr>
                    <w:t>0</w:t>
                  </w:r>
                  <w:r>
                    <w:rPr>
                      <w:rFonts w:hint="eastAsia"/>
                      <w:szCs w:val="21"/>
                    </w:rPr>
                    <w:t>0</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8447" w:type="dxa"/>
                  <w:gridSpan w:val="9"/>
                  <w:noWrap w:val="0"/>
                  <w:vAlign w:val="center"/>
                </w:tcPr>
                <w:p>
                  <w:pPr>
                    <w:rPr>
                      <w:szCs w:val="21"/>
                    </w:rPr>
                  </w:pPr>
                  <w:r>
                    <w:rPr>
                      <w:szCs w:val="21"/>
                    </w:rPr>
                    <w:t>说</w:t>
                  </w:r>
                  <w:r>
                    <w:rPr>
                      <w:szCs w:val="21"/>
                    </w:rPr>
                    <w:cr/>
                  </w:r>
                  <w:r>
                    <w:rPr>
                      <w:szCs w:val="21"/>
                    </w:rPr>
                    <w:t>：pH无量</w:t>
                  </w:r>
                  <w:r>
                    <w:rPr>
                      <w:szCs w:val="21"/>
                    </w:rPr>
                    <w:cr/>
                  </w:r>
                  <w:r>
                    <w:rPr>
                      <w:szCs w:val="21"/>
                    </w:rPr>
                    <w:t>，粪大肠菌群单位个/L，其他单位mg/</w:t>
                  </w:r>
                  <w:r>
                    <w:rPr>
                      <w:rFonts w:hint="eastAsia"/>
                      <w:szCs w:val="21"/>
                    </w:rPr>
                    <w:t>L</w:t>
                  </w:r>
                  <w:r>
                    <w:rPr>
                      <w:szCs w:val="21"/>
                    </w:rPr>
                    <w:t>。</w:t>
                  </w:r>
                </w:p>
              </w:tc>
            </w:tr>
          </w:tbl>
          <w:p>
            <w:pPr>
              <w:spacing w:before="156" w:beforeLines="50" w:line="360" w:lineRule="auto"/>
              <w:rPr>
                <w:b/>
                <w:sz w:val="24"/>
              </w:rPr>
            </w:pPr>
            <w:r>
              <w:rPr>
                <w:b/>
                <w:sz w:val="24"/>
              </w:rPr>
              <w:t>3、</w:t>
            </w:r>
            <w:r>
              <w:rPr>
                <w:rFonts w:hint="eastAsia"/>
                <w:b/>
                <w:sz w:val="24"/>
              </w:rPr>
              <w:t>地下水</w:t>
            </w:r>
            <w:r>
              <w:rPr>
                <w:b/>
                <w:sz w:val="24"/>
              </w:rPr>
              <w:t>质量标准</w:t>
            </w:r>
          </w:p>
          <w:p>
            <w:pPr>
              <w:pStyle w:val="71"/>
              <w:spacing w:beforeLines="0" w:line="360" w:lineRule="auto"/>
              <w:rPr>
                <w:color w:val="auto"/>
              </w:rPr>
            </w:pPr>
            <w:r>
              <w:rPr>
                <w:rFonts w:hint="eastAsia"/>
                <w:color w:val="auto"/>
              </w:rPr>
              <w:t>项目区周边地下水，执行《地下水质量标准》（GB/T14848-2017）</w:t>
            </w:r>
            <w:r>
              <w:rPr>
                <w:rFonts w:hint="eastAsia" w:ascii="宋体" w:hAnsi="宋体" w:cs="宋体"/>
                <w:color w:val="auto"/>
              </w:rPr>
              <w:t>Ⅲ</w:t>
            </w:r>
            <w:r>
              <w:rPr>
                <w:color w:val="auto"/>
              </w:rPr>
              <w:t>类标准</w:t>
            </w:r>
            <w:r>
              <w:rPr>
                <w:rFonts w:hint="eastAsia"/>
                <w:color w:val="auto"/>
              </w:rPr>
              <w:t>，主要环境质量标准限值列于表4-3。</w:t>
            </w:r>
          </w:p>
          <w:p>
            <w:pPr>
              <w:spacing w:line="360" w:lineRule="auto"/>
              <w:jc w:val="center"/>
              <w:rPr>
                <w:rFonts w:hAnsi="宋体"/>
                <w:b/>
                <w:sz w:val="24"/>
              </w:rPr>
            </w:pPr>
            <w:r>
              <w:rPr>
                <w:rFonts w:hint="eastAsia" w:hAnsi="宋体"/>
                <w:b/>
                <w:sz w:val="24"/>
              </w:rPr>
              <w:t>表4-3  《地下水质量标准》Ⅲ</w:t>
            </w:r>
            <w:r>
              <w:rPr>
                <w:rFonts w:hAnsi="宋体"/>
                <w:b/>
                <w:sz w:val="24"/>
              </w:rPr>
              <w:t>类标准限值</w:t>
            </w:r>
            <w:r>
              <w:rPr>
                <w:rFonts w:hint="eastAsia" w:hAnsi="宋体"/>
                <w:b/>
                <w:sz w:val="24"/>
              </w:rPr>
              <w:t xml:space="preserve">  （mg/L，pH为无量纲）</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060"/>
              <w:gridCol w:w="1060"/>
              <w:gridCol w:w="1060"/>
              <w:gridCol w:w="1854"/>
              <w:gridCol w:w="1324"/>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760" w:hRule="atLeast"/>
              </w:trPr>
              <w:tc>
                <w:tcPr>
                  <w:tcW w:w="1030" w:type="dxa"/>
                  <w:noWrap w:val="0"/>
                  <w:vAlign w:val="center"/>
                </w:tcPr>
                <w:p>
                  <w:pPr>
                    <w:pStyle w:val="17"/>
                    <w:spacing w:after="0"/>
                    <w:ind w:right="-94"/>
                    <w:jc w:val="center"/>
                    <w:rPr>
                      <w:szCs w:val="21"/>
                    </w:rPr>
                  </w:pPr>
                  <w:r>
                    <w:rPr>
                      <w:szCs w:val="21"/>
                    </w:rPr>
                    <w:t>项目</w:t>
                  </w:r>
                </w:p>
              </w:tc>
              <w:tc>
                <w:tcPr>
                  <w:tcW w:w="1060" w:type="dxa"/>
                  <w:noWrap w:val="0"/>
                  <w:vAlign w:val="center"/>
                </w:tcPr>
                <w:p>
                  <w:pPr>
                    <w:pStyle w:val="17"/>
                    <w:spacing w:after="0"/>
                    <w:ind w:right="-94"/>
                    <w:jc w:val="center"/>
                    <w:rPr>
                      <w:szCs w:val="21"/>
                    </w:rPr>
                  </w:pPr>
                  <w:r>
                    <w:rPr>
                      <w:szCs w:val="21"/>
                    </w:rPr>
                    <w:t>色</w:t>
                  </w:r>
                  <w:r>
                    <w:rPr>
                      <w:rFonts w:hint="eastAsia"/>
                      <w:szCs w:val="21"/>
                    </w:rPr>
                    <w:t>（</w:t>
                  </w:r>
                  <w:r>
                    <w:rPr>
                      <w:szCs w:val="21"/>
                    </w:rPr>
                    <w:t>度)</w:t>
                  </w:r>
                </w:p>
              </w:tc>
              <w:tc>
                <w:tcPr>
                  <w:tcW w:w="1060" w:type="dxa"/>
                  <w:noWrap w:val="0"/>
                  <w:vAlign w:val="center"/>
                </w:tcPr>
                <w:p>
                  <w:pPr>
                    <w:pStyle w:val="17"/>
                    <w:spacing w:after="0"/>
                    <w:ind w:right="-94"/>
                    <w:jc w:val="center"/>
                    <w:rPr>
                      <w:szCs w:val="21"/>
                    </w:rPr>
                  </w:pPr>
                  <w:r>
                    <w:rPr>
                      <w:szCs w:val="21"/>
                    </w:rPr>
                    <w:t>浑浊度</w:t>
                  </w:r>
                </w:p>
                <w:p>
                  <w:pPr>
                    <w:pStyle w:val="17"/>
                    <w:spacing w:after="0"/>
                    <w:ind w:right="-94"/>
                    <w:jc w:val="center"/>
                    <w:rPr>
                      <w:szCs w:val="21"/>
                    </w:rPr>
                  </w:pPr>
                  <w:r>
                    <w:rPr>
                      <w:szCs w:val="21"/>
                    </w:rPr>
                    <w:t>（度）</w:t>
                  </w:r>
                </w:p>
              </w:tc>
              <w:tc>
                <w:tcPr>
                  <w:tcW w:w="1060" w:type="dxa"/>
                  <w:noWrap w:val="0"/>
                  <w:vAlign w:val="center"/>
                </w:tcPr>
                <w:p>
                  <w:pPr>
                    <w:pStyle w:val="17"/>
                    <w:spacing w:after="0"/>
                    <w:ind w:right="-94"/>
                    <w:jc w:val="center"/>
                    <w:rPr>
                      <w:szCs w:val="21"/>
                    </w:rPr>
                  </w:pPr>
                  <w:r>
                    <w:rPr>
                      <w:szCs w:val="21"/>
                    </w:rPr>
                    <w:t>总硬度 (mg/L)</w:t>
                  </w:r>
                </w:p>
              </w:tc>
              <w:tc>
                <w:tcPr>
                  <w:tcW w:w="1854" w:type="dxa"/>
                  <w:noWrap w:val="0"/>
                  <w:vAlign w:val="center"/>
                </w:tcPr>
                <w:p>
                  <w:pPr>
                    <w:pStyle w:val="17"/>
                    <w:spacing w:after="0"/>
                    <w:ind w:right="-94"/>
                    <w:jc w:val="center"/>
                    <w:rPr>
                      <w:szCs w:val="21"/>
                    </w:rPr>
                  </w:pPr>
                  <w:r>
                    <w:rPr>
                      <w:szCs w:val="21"/>
                    </w:rPr>
                    <w:t>溶解性总固体(mg/L)</w:t>
                  </w:r>
                </w:p>
              </w:tc>
              <w:tc>
                <w:tcPr>
                  <w:tcW w:w="1324" w:type="dxa"/>
                  <w:noWrap w:val="0"/>
                  <w:vAlign w:val="center"/>
                </w:tcPr>
                <w:p>
                  <w:pPr>
                    <w:pStyle w:val="17"/>
                    <w:spacing w:after="0"/>
                    <w:ind w:right="-94"/>
                    <w:jc w:val="center"/>
                    <w:rPr>
                      <w:szCs w:val="21"/>
                    </w:rPr>
                  </w:pPr>
                  <w:r>
                    <w:rPr>
                      <w:szCs w:val="21"/>
                    </w:rPr>
                    <w:t>硫酸盐(mg/L)</w:t>
                  </w:r>
                </w:p>
              </w:tc>
              <w:tc>
                <w:tcPr>
                  <w:tcW w:w="1059" w:type="dxa"/>
                  <w:noWrap w:val="0"/>
                  <w:vAlign w:val="center"/>
                </w:tcPr>
                <w:p>
                  <w:pPr>
                    <w:pStyle w:val="17"/>
                    <w:spacing w:after="0"/>
                    <w:ind w:right="-94"/>
                    <w:jc w:val="center"/>
                    <w:rPr>
                      <w:szCs w:val="21"/>
                    </w:rPr>
                  </w:pPr>
                  <w:r>
                    <w:rPr>
                      <w:szCs w:val="21"/>
                    </w:rPr>
                    <w:t>硝酸盐</w:t>
                  </w:r>
                </w:p>
                <w:p>
                  <w:pPr>
                    <w:pStyle w:val="17"/>
                    <w:spacing w:after="0"/>
                    <w:ind w:right="-94"/>
                    <w:jc w:val="center"/>
                    <w:rPr>
                      <w:szCs w:val="21"/>
                    </w:rPr>
                  </w:pPr>
                  <w:r>
                    <w:rPr>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030" w:type="dxa"/>
                  <w:noWrap w:val="0"/>
                  <w:vAlign w:val="center"/>
                </w:tcPr>
                <w:p>
                  <w:pPr>
                    <w:pStyle w:val="17"/>
                    <w:spacing w:after="0"/>
                    <w:ind w:right="-94"/>
                    <w:jc w:val="center"/>
                    <w:rPr>
                      <w:szCs w:val="21"/>
                    </w:rPr>
                  </w:pPr>
                  <w:r>
                    <w:rPr>
                      <w:rFonts w:hint="eastAsia" w:ascii="宋体" w:hAnsi="宋体" w:cs="宋体"/>
                      <w:szCs w:val="21"/>
                    </w:rPr>
                    <w:t>Ⅲ</w:t>
                  </w:r>
                  <w:r>
                    <w:rPr>
                      <w:szCs w:val="21"/>
                    </w:rPr>
                    <w:t>类</w:t>
                  </w:r>
                  <w:r>
                    <w:rPr>
                      <w:rFonts w:hint="eastAsia"/>
                      <w:szCs w:val="21"/>
                    </w:rPr>
                    <w:t>标准</w:t>
                  </w:r>
                </w:p>
              </w:tc>
              <w:tc>
                <w:tcPr>
                  <w:tcW w:w="1060" w:type="dxa"/>
                  <w:noWrap w:val="0"/>
                  <w:vAlign w:val="center"/>
                </w:tcPr>
                <w:p>
                  <w:pPr>
                    <w:pStyle w:val="17"/>
                    <w:spacing w:after="0"/>
                    <w:ind w:right="-94"/>
                    <w:jc w:val="center"/>
                    <w:rPr>
                      <w:szCs w:val="21"/>
                    </w:rPr>
                  </w:pPr>
                  <w:r>
                    <w:rPr>
                      <w:szCs w:val="21"/>
                    </w:rPr>
                    <w:t>≤15</w:t>
                  </w:r>
                </w:p>
              </w:tc>
              <w:tc>
                <w:tcPr>
                  <w:tcW w:w="1060" w:type="dxa"/>
                  <w:noWrap w:val="0"/>
                  <w:vAlign w:val="center"/>
                </w:tcPr>
                <w:p>
                  <w:pPr>
                    <w:pStyle w:val="17"/>
                    <w:spacing w:after="0"/>
                    <w:ind w:right="-94"/>
                    <w:jc w:val="center"/>
                    <w:rPr>
                      <w:szCs w:val="21"/>
                    </w:rPr>
                  </w:pPr>
                  <w:r>
                    <w:rPr>
                      <w:szCs w:val="21"/>
                    </w:rPr>
                    <w:t>≤3</w:t>
                  </w:r>
                </w:p>
              </w:tc>
              <w:tc>
                <w:tcPr>
                  <w:tcW w:w="1060" w:type="dxa"/>
                  <w:noWrap w:val="0"/>
                  <w:vAlign w:val="center"/>
                </w:tcPr>
                <w:p>
                  <w:pPr>
                    <w:pStyle w:val="17"/>
                    <w:spacing w:after="0"/>
                    <w:ind w:right="-94"/>
                    <w:jc w:val="center"/>
                    <w:rPr>
                      <w:szCs w:val="21"/>
                    </w:rPr>
                  </w:pPr>
                  <w:r>
                    <w:rPr>
                      <w:szCs w:val="21"/>
                    </w:rPr>
                    <w:t>≤450</w:t>
                  </w:r>
                </w:p>
              </w:tc>
              <w:tc>
                <w:tcPr>
                  <w:tcW w:w="1854" w:type="dxa"/>
                  <w:noWrap w:val="0"/>
                  <w:vAlign w:val="center"/>
                </w:tcPr>
                <w:p>
                  <w:pPr>
                    <w:pStyle w:val="17"/>
                    <w:spacing w:after="0"/>
                    <w:ind w:right="-94"/>
                    <w:jc w:val="center"/>
                    <w:rPr>
                      <w:szCs w:val="21"/>
                    </w:rPr>
                  </w:pPr>
                  <w:r>
                    <w:rPr>
                      <w:szCs w:val="21"/>
                    </w:rPr>
                    <w:t>≤1000</w:t>
                  </w:r>
                </w:p>
              </w:tc>
              <w:tc>
                <w:tcPr>
                  <w:tcW w:w="1324" w:type="dxa"/>
                  <w:noWrap w:val="0"/>
                  <w:vAlign w:val="center"/>
                </w:tcPr>
                <w:p>
                  <w:pPr>
                    <w:pStyle w:val="17"/>
                    <w:spacing w:after="0"/>
                    <w:ind w:right="-94"/>
                    <w:jc w:val="center"/>
                    <w:rPr>
                      <w:szCs w:val="21"/>
                    </w:rPr>
                  </w:pPr>
                  <w:r>
                    <w:rPr>
                      <w:szCs w:val="21"/>
                    </w:rPr>
                    <w:t>≤250</w:t>
                  </w:r>
                </w:p>
              </w:tc>
              <w:tc>
                <w:tcPr>
                  <w:tcW w:w="1059" w:type="dxa"/>
                  <w:noWrap w:val="0"/>
                  <w:vAlign w:val="center"/>
                </w:tcPr>
                <w:p>
                  <w:pPr>
                    <w:pStyle w:val="17"/>
                    <w:spacing w:after="0"/>
                    <w:ind w:right="-94"/>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030" w:type="dxa"/>
                  <w:noWrap w:val="0"/>
                  <w:vAlign w:val="center"/>
                </w:tcPr>
                <w:p>
                  <w:pPr>
                    <w:pStyle w:val="17"/>
                    <w:spacing w:after="0"/>
                    <w:ind w:right="-94"/>
                    <w:jc w:val="center"/>
                    <w:rPr>
                      <w:szCs w:val="21"/>
                    </w:rPr>
                  </w:pPr>
                  <w:r>
                    <w:rPr>
                      <w:szCs w:val="21"/>
                    </w:rPr>
                    <w:t>项目</w:t>
                  </w:r>
                </w:p>
              </w:tc>
              <w:tc>
                <w:tcPr>
                  <w:tcW w:w="1060" w:type="dxa"/>
                  <w:noWrap w:val="0"/>
                  <w:vAlign w:val="center"/>
                </w:tcPr>
                <w:p>
                  <w:pPr>
                    <w:pStyle w:val="17"/>
                    <w:spacing w:after="0"/>
                    <w:ind w:right="-94"/>
                    <w:jc w:val="center"/>
                    <w:rPr>
                      <w:szCs w:val="21"/>
                    </w:rPr>
                  </w:pPr>
                  <w:r>
                    <w:rPr>
                      <w:szCs w:val="21"/>
                    </w:rPr>
                    <w:t>亚硝酸盐</w:t>
                  </w:r>
                </w:p>
                <w:p>
                  <w:pPr>
                    <w:pStyle w:val="17"/>
                    <w:spacing w:after="0"/>
                    <w:ind w:right="-94"/>
                    <w:jc w:val="center"/>
                    <w:rPr>
                      <w:szCs w:val="21"/>
                    </w:rPr>
                  </w:pPr>
                  <w:r>
                    <w:rPr>
                      <w:szCs w:val="21"/>
                    </w:rPr>
                    <w:t>(mg/</w:t>
                  </w:r>
                  <w:r>
                    <w:rPr>
                      <w:rFonts w:hint="eastAsia"/>
                      <w:szCs w:val="21"/>
                    </w:rPr>
                    <w:t>L</w:t>
                  </w:r>
                  <w:r>
                    <w:rPr>
                      <w:szCs w:val="21"/>
                    </w:rPr>
                    <w:t>)</w:t>
                  </w:r>
                </w:p>
              </w:tc>
              <w:tc>
                <w:tcPr>
                  <w:tcW w:w="1060" w:type="dxa"/>
                  <w:noWrap w:val="0"/>
                  <w:vAlign w:val="center"/>
                </w:tcPr>
                <w:p>
                  <w:pPr>
                    <w:pStyle w:val="17"/>
                    <w:spacing w:after="0"/>
                    <w:ind w:right="-94"/>
                    <w:jc w:val="center"/>
                    <w:rPr>
                      <w:szCs w:val="21"/>
                    </w:rPr>
                  </w:pPr>
                  <w:r>
                    <w:rPr>
                      <w:szCs w:val="21"/>
                    </w:rPr>
                    <w:t>总大肠</w:t>
                  </w:r>
                  <w:r>
                    <w:rPr>
                      <w:szCs w:val="21"/>
                    </w:rPr>
                    <w:cr/>
                  </w:r>
                  <w:r>
                    <w:rPr>
                      <w:szCs w:val="21"/>
                    </w:rPr>
                    <w:t>群（个/L)</w:t>
                  </w:r>
                </w:p>
              </w:tc>
              <w:tc>
                <w:tcPr>
                  <w:tcW w:w="1060" w:type="dxa"/>
                  <w:noWrap w:val="0"/>
                  <w:vAlign w:val="center"/>
                </w:tcPr>
                <w:p>
                  <w:pPr>
                    <w:pStyle w:val="17"/>
                    <w:spacing w:after="0"/>
                    <w:ind w:right="-94"/>
                    <w:jc w:val="center"/>
                    <w:rPr>
                      <w:szCs w:val="21"/>
                    </w:rPr>
                  </w:pPr>
                  <w:r>
                    <w:rPr>
                      <w:rFonts w:hint="eastAsia"/>
                      <w:szCs w:val="21"/>
                    </w:rPr>
                    <w:t>骏落</w:t>
                  </w:r>
                  <w:r>
                    <w:rPr>
                      <w:szCs w:val="21"/>
                    </w:rPr>
                    <w:t>总数(个/L)</w:t>
                  </w:r>
                </w:p>
              </w:tc>
              <w:tc>
                <w:tcPr>
                  <w:tcW w:w="1854" w:type="dxa"/>
                  <w:noWrap w:val="0"/>
                  <w:vAlign w:val="center"/>
                </w:tcPr>
                <w:p>
                  <w:pPr>
                    <w:pStyle w:val="17"/>
                    <w:spacing w:after="0"/>
                    <w:ind w:right="-94"/>
                    <w:jc w:val="center"/>
                    <w:rPr>
                      <w:szCs w:val="21"/>
                    </w:rPr>
                  </w:pPr>
                  <w:r>
                    <w:rPr>
                      <w:szCs w:val="21"/>
                    </w:rPr>
                    <w:t>挥发性酚类 (mg/L)</w:t>
                  </w:r>
                </w:p>
              </w:tc>
              <w:tc>
                <w:tcPr>
                  <w:tcW w:w="1324" w:type="dxa"/>
                  <w:noWrap w:val="0"/>
                  <w:vAlign w:val="center"/>
                </w:tcPr>
                <w:p>
                  <w:pPr>
                    <w:pStyle w:val="17"/>
                    <w:spacing w:after="0"/>
                    <w:ind w:right="-94"/>
                    <w:jc w:val="center"/>
                    <w:rPr>
                      <w:szCs w:val="21"/>
                    </w:rPr>
                  </w:pPr>
                  <w:r>
                    <w:rPr>
                      <w:szCs w:val="21"/>
                    </w:rPr>
                    <w:t>阴离子表面活性(mg/L)</w:t>
                  </w:r>
                </w:p>
              </w:tc>
              <w:tc>
                <w:tcPr>
                  <w:tcW w:w="1059" w:type="dxa"/>
                  <w:noWrap w:val="0"/>
                  <w:vAlign w:val="center"/>
                </w:tcPr>
                <w:p>
                  <w:pPr>
                    <w:pStyle w:val="17"/>
                    <w:spacing w:after="0"/>
                    <w:ind w:right="-94" w:firstLine="210" w:firstLineChars="100"/>
                    <w:rPr>
                      <w:szCs w:val="21"/>
                    </w:rPr>
                  </w:pPr>
                  <w:r>
                    <w:rPr>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030" w:type="dxa"/>
                  <w:noWrap w:val="0"/>
                  <w:vAlign w:val="center"/>
                </w:tcPr>
                <w:p>
                  <w:pPr>
                    <w:pStyle w:val="17"/>
                    <w:spacing w:after="0"/>
                    <w:ind w:right="-94"/>
                    <w:jc w:val="center"/>
                    <w:rPr>
                      <w:szCs w:val="21"/>
                    </w:rPr>
                  </w:pPr>
                  <w:r>
                    <w:rPr>
                      <w:rFonts w:hint="eastAsia" w:ascii="宋体" w:hAnsi="宋体" w:cs="宋体"/>
                      <w:szCs w:val="21"/>
                    </w:rPr>
                    <w:t>Ⅲ</w:t>
                  </w:r>
                  <w:r>
                    <w:rPr>
                      <w:szCs w:val="21"/>
                    </w:rPr>
                    <w:t>类标准</w:t>
                  </w:r>
                </w:p>
              </w:tc>
              <w:tc>
                <w:tcPr>
                  <w:tcW w:w="1060" w:type="dxa"/>
                  <w:noWrap w:val="0"/>
                  <w:vAlign w:val="center"/>
                </w:tcPr>
                <w:p>
                  <w:pPr>
                    <w:pStyle w:val="17"/>
                    <w:spacing w:after="0"/>
                    <w:ind w:right="-94"/>
                    <w:jc w:val="center"/>
                    <w:rPr>
                      <w:szCs w:val="21"/>
                    </w:rPr>
                  </w:pPr>
                  <w:r>
                    <w:rPr>
                      <w:szCs w:val="21"/>
                    </w:rPr>
                    <w:t>≤</w:t>
                  </w:r>
                  <w:r>
                    <w:rPr>
                      <w:rFonts w:hint="eastAsia"/>
                      <w:szCs w:val="21"/>
                    </w:rPr>
                    <w:t>1.00</w:t>
                  </w:r>
                </w:p>
              </w:tc>
              <w:tc>
                <w:tcPr>
                  <w:tcW w:w="1060" w:type="dxa"/>
                  <w:noWrap w:val="0"/>
                  <w:vAlign w:val="center"/>
                </w:tcPr>
                <w:p>
                  <w:pPr>
                    <w:pStyle w:val="17"/>
                    <w:spacing w:after="0"/>
                    <w:ind w:right="-94"/>
                    <w:jc w:val="center"/>
                    <w:rPr>
                      <w:szCs w:val="21"/>
                    </w:rPr>
                  </w:pPr>
                  <w:r>
                    <w:rPr>
                      <w:szCs w:val="21"/>
                    </w:rPr>
                    <w:t>≤3.0</w:t>
                  </w:r>
                </w:p>
              </w:tc>
              <w:tc>
                <w:tcPr>
                  <w:tcW w:w="1060" w:type="dxa"/>
                  <w:noWrap w:val="0"/>
                  <w:vAlign w:val="center"/>
                </w:tcPr>
                <w:p>
                  <w:pPr>
                    <w:pStyle w:val="17"/>
                    <w:spacing w:after="0"/>
                    <w:ind w:right="-94"/>
                    <w:jc w:val="center"/>
                    <w:rPr>
                      <w:szCs w:val="21"/>
                    </w:rPr>
                  </w:pPr>
                  <w:r>
                    <w:rPr>
                      <w:szCs w:val="21"/>
                    </w:rPr>
                    <w:t>≤10</w:t>
                  </w:r>
                  <w:r>
                    <w:rPr>
                      <w:rFonts w:hint="eastAsia"/>
                      <w:szCs w:val="21"/>
                    </w:rPr>
                    <w:t>0</w:t>
                  </w:r>
                </w:p>
              </w:tc>
              <w:tc>
                <w:tcPr>
                  <w:tcW w:w="1854" w:type="dxa"/>
                  <w:noWrap w:val="0"/>
                  <w:vAlign w:val="center"/>
                </w:tcPr>
                <w:p>
                  <w:pPr>
                    <w:pStyle w:val="17"/>
                    <w:spacing w:after="0"/>
                    <w:ind w:right="-94"/>
                    <w:jc w:val="center"/>
                    <w:rPr>
                      <w:szCs w:val="21"/>
                    </w:rPr>
                  </w:pPr>
                  <w:r>
                    <w:rPr>
                      <w:szCs w:val="21"/>
                    </w:rPr>
                    <w:t>≤0.002</w:t>
                  </w:r>
                </w:p>
              </w:tc>
              <w:tc>
                <w:tcPr>
                  <w:tcW w:w="1324" w:type="dxa"/>
                  <w:noWrap w:val="0"/>
                  <w:vAlign w:val="center"/>
                </w:tcPr>
                <w:p>
                  <w:pPr>
                    <w:pStyle w:val="17"/>
                    <w:spacing w:after="0"/>
                    <w:ind w:right="-94"/>
                    <w:jc w:val="center"/>
                    <w:rPr>
                      <w:szCs w:val="21"/>
                    </w:rPr>
                  </w:pPr>
                  <w:r>
                    <w:rPr>
                      <w:szCs w:val="21"/>
                    </w:rPr>
                    <w:t>≤</w:t>
                  </w:r>
                  <w:r>
                    <w:rPr>
                      <w:rFonts w:hint="eastAsia"/>
                      <w:szCs w:val="21"/>
                    </w:rPr>
                    <w:t>0.3</w:t>
                  </w:r>
                </w:p>
              </w:tc>
              <w:tc>
                <w:tcPr>
                  <w:tcW w:w="1059" w:type="dxa"/>
                  <w:noWrap w:val="0"/>
                  <w:vAlign w:val="center"/>
                </w:tcPr>
                <w:p>
                  <w:pPr>
                    <w:pStyle w:val="17"/>
                    <w:spacing w:after="0"/>
                    <w:ind w:right="-94"/>
                    <w:jc w:val="center"/>
                    <w:rPr>
                      <w:szCs w:val="21"/>
                    </w:rPr>
                  </w:pPr>
                  <w:r>
                    <w:rPr>
                      <w:szCs w:val="21"/>
                    </w:rPr>
                    <w:t>6.5～8.</w:t>
                  </w:r>
                  <w:r>
                    <w:rPr>
                      <w:rFonts w:hint="eastAsia"/>
                      <w:szCs w:val="21"/>
                    </w:rPr>
                    <w:t>5</w:t>
                  </w:r>
                </w:p>
              </w:tc>
            </w:tr>
          </w:tbl>
          <w:p>
            <w:pPr>
              <w:spacing w:before="156" w:beforeLines="50" w:line="360" w:lineRule="auto"/>
              <w:rPr>
                <w:rFonts w:hint="eastAsia"/>
                <w:b/>
                <w:sz w:val="24"/>
              </w:rPr>
            </w:pPr>
            <w:r>
              <w:rPr>
                <w:b/>
                <w:color w:val="FF0000"/>
                <w:sz w:val="24"/>
              </w:rPr>
              <w:t>4</w:t>
            </w:r>
            <w:r>
              <w:rPr>
                <w:b/>
                <w:sz w:val="24"/>
              </w:rPr>
              <w:t>、声环境质量标准</w:t>
            </w:r>
          </w:p>
          <w:p>
            <w:pPr>
              <w:spacing w:line="360" w:lineRule="auto"/>
              <w:ind w:firstLine="480" w:firstLineChars="200"/>
              <w:jc w:val="left"/>
              <w:rPr>
                <w:sz w:val="24"/>
              </w:rPr>
            </w:pPr>
            <w:r>
              <w:rPr>
                <w:sz w:val="24"/>
              </w:rPr>
              <w:t>声环境</w:t>
            </w:r>
            <w:r>
              <w:rPr>
                <w:rFonts w:hint="eastAsia"/>
                <w:sz w:val="24"/>
              </w:rPr>
              <w:t>执行</w:t>
            </w:r>
            <w:r>
              <w:rPr>
                <w:sz w:val="24"/>
              </w:rPr>
              <w:t>《</w:t>
            </w:r>
            <w:r>
              <w:rPr>
                <w:rFonts w:hint="eastAsia"/>
                <w:sz w:val="24"/>
              </w:rPr>
              <w:t>声环境质量</w:t>
            </w:r>
            <w:r>
              <w:rPr>
                <w:sz w:val="24"/>
              </w:rPr>
              <w:t>标准》(GB3096—</w:t>
            </w:r>
            <w:r>
              <w:rPr>
                <w:rFonts w:hint="eastAsia"/>
                <w:sz w:val="24"/>
              </w:rPr>
              <w:t>2008</w:t>
            </w:r>
            <w:r>
              <w:rPr>
                <w:sz w:val="24"/>
              </w:rPr>
              <w:t>)</w:t>
            </w:r>
            <w:r>
              <w:rPr>
                <w:rFonts w:hint="eastAsia"/>
                <w:sz w:val="24"/>
              </w:rPr>
              <w:t>2</w:t>
            </w:r>
            <w:r>
              <w:rPr>
                <w:sz w:val="24"/>
              </w:rPr>
              <w:t>类区标准</w:t>
            </w:r>
            <w:r>
              <w:rPr>
                <w:rFonts w:hint="eastAsia"/>
                <w:sz w:val="24"/>
              </w:rPr>
              <w:t>，道路两侧35m范围内执行 4a</w:t>
            </w:r>
            <w:r>
              <w:rPr>
                <w:sz w:val="24"/>
              </w:rPr>
              <w:t>类区标准</w:t>
            </w:r>
            <w:r>
              <w:rPr>
                <w:rFonts w:hint="eastAsia"/>
                <w:sz w:val="24"/>
              </w:rPr>
              <w:t>。</w:t>
            </w:r>
            <w:r>
              <w:rPr>
                <w:sz w:val="24"/>
              </w:rPr>
              <w:t>标准限值见表4-</w:t>
            </w:r>
            <w:r>
              <w:rPr>
                <w:rFonts w:hint="eastAsia"/>
                <w:sz w:val="24"/>
              </w:rPr>
              <w:t>5</w:t>
            </w:r>
            <w:r>
              <w:rPr>
                <w:sz w:val="24"/>
              </w:rPr>
              <w:t>。</w:t>
            </w:r>
          </w:p>
          <w:p>
            <w:pPr>
              <w:spacing w:line="360" w:lineRule="auto"/>
              <w:ind w:firstLine="482" w:firstLineChars="200"/>
              <w:jc w:val="center"/>
              <w:rPr>
                <w:b/>
                <w:sz w:val="24"/>
              </w:rPr>
            </w:pPr>
            <w:r>
              <w:rPr>
                <w:b/>
                <w:sz w:val="24"/>
              </w:rPr>
              <w:t>表4-</w:t>
            </w:r>
            <w:r>
              <w:rPr>
                <w:rFonts w:hint="eastAsia"/>
                <w:b/>
                <w:sz w:val="24"/>
              </w:rPr>
              <w:t>5</w:t>
            </w:r>
            <w:r>
              <w:rPr>
                <w:b/>
                <w:sz w:val="24"/>
              </w:rPr>
              <w:t xml:space="preserve"> 声环境质量标准限值</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3402"/>
              <w:gridCol w:w="1701"/>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7" w:hRule="atLeast"/>
              </w:trPr>
              <w:tc>
                <w:tcPr>
                  <w:tcW w:w="1357" w:type="dxa"/>
                  <w:vMerge w:val="restart"/>
                  <w:noWrap w:val="0"/>
                  <w:vAlign w:val="center"/>
                </w:tcPr>
                <w:p>
                  <w:pPr>
                    <w:jc w:val="center"/>
                    <w:rPr>
                      <w:szCs w:val="21"/>
                    </w:rPr>
                  </w:pPr>
                  <w:r>
                    <w:rPr>
                      <w:szCs w:val="21"/>
                    </w:rPr>
                    <w:t>类别</w:t>
                  </w:r>
                </w:p>
              </w:tc>
              <w:tc>
                <w:tcPr>
                  <w:tcW w:w="3402" w:type="dxa"/>
                  <w:vMerge w:val="restart"/>
                  <w:noWrap w:val="0"/>
                  <w:vAlign w:val="center"/>
                </w:tcPr>
                <w:p>
                  <w:pPr>
                    <w:jc w:val="center"/>
                    <w:rPr>
                      <w:szCs w:val="21"/>
                    </w:rPr>
                  </w:pPr>
                  <w:r>
                    <w:rPr>
                      <w:szCs w:val="21"/>
                    </w:rPr>
                    <w:t>适用区域</w:t>
                  </w:r>
                </w:p>
              </w:tc>
              <w:tc>
                <w:tcPr>
                  <w:tcW w:w="3592" w:type="dxa"/>
                  <w:gridSpan w:val="2"/>
                  <w:noWrap w:val="0"/>
                  <w:vAlign w:val="center"/>
                </w:tcPr>
                <w:p>
                  <w:pPr>
                    <w:jc w:val="center"/>
                    <w:rPr>
                      <w:szCs w:val="21"/>
                    </w:rPr>
                  </w:pPr>
                  <w:r>
                    <w:rPr>
                      <w:szCs w:val="21"/>
                    </w:rPr>
                    <w:t>等效声级[dB(A)]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357" w:type="dxa"/>
                  <w:vMerge w:val="continue"/>
                  <w:noWrap w:val="0"/>
                  <w:vAlign w:val="center"/>
                </w:tcPr>
                <w:p>
                  <w:pPr>
                    <w:jc w:val="center"/>
                    <w:rPr>
                      <w:szCs w:val="21"/>
                    </w:rPr>
                  </w:pPr>
                </w:p>
              </w:tc>
              <w:tc>
                <w:tcPr>
                  <w:tcW w:w="3402" w:type="dxa"/>
                  <w:vMerge w:val="continue"/>
                  <w:noWrap w:val="0"/>
                  <w:vAlign w:val="center"/>
                </w:tcPr>
                <w:p>
                  <w:pPr>
                    <w:jc w:val="center"/>
                    <w:rPr>
                      <w:szCs w:val="21"/>
                    </w:rPr>
                  </w:pPr>
                </w:p>
              </w:tc>
              <w:tc>
                <w:tcPr>
                  <w:tcW w:w="1701" w:type="dxa"/>
                  <w:noWrap w:val="0"/>
                  <w:vAlign w:val="center"/>
                </w:tcPr>
                <w:p>
                  <w:pPr>
                    <w:jc w:val="center"/>
                    <w:rPr>
                      <w:szCs w:val="21"/>
                    </w:rPr>
                  </w:pPr>
                  <w:r>
                    <w:rPr>
                      <w:szCs w:val="21"/>
                    </w:rPr>
                    <w:t>昼间</w:t>
                  </w:r>
                </w:p>
              </w:tc>
              <w:tc>
                <w:tcPr>
                  <w:tcW w:w="1891" w:type="dxa"/>
                  <w:noWrap w:val="0"/>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357" w:type="dxa"/>
                  <w:noWrap w:val="0"/>
                  <w:vAlign w:val="center"/>
                </w:tcPr>
                <w:p>
                  <w:pPr>
                    <w:jc w:val="center"/>
                    <w:rPr>
                      <w:szCs w:val="21"/>
                    </w:rPr>
                  </w:pPr>
                  <w:r>
                    <w:rPr>
                      <w:szCs w:val="21"/>
                    </w:rPr>
                    <w:t>2类</w:t>
                  </w:r>
                </w:p>
              </w:tc>
              <w:tc>
                <w:tcPr>
                  <w:tcW w:w="3402" w:type="dxa"/>
                  <w:noWrap w:val="0"/>
                  <w:vAlign w:val="center"/>
                </w:tcPr>
                <w:p>
                  <w:pPr>
                    <w:jc w:val="center"/>
                    <w:rPr>
                      <w:szCs w:val="21"/>
                    </w:rPr>
                  </w:pPr>
                  <w:r>
                    <w:rPr>
                      <w:szCs w:val="21"/>
                    </w:rPr>
                    <w:t>居住、商业、工业混杂区域</w:t>
                  </w:r>
                </w:p>
              </w:tc>
              <w:tc>
                <w:tcPr>
                  <w:tcW w:w="1701" w:type="dxa"/>
                  <w:noWrap w:val="0"/>
                  <w:vAlign w:val="center"/>
                </w:tcPr>
                <w:p>
                  <w:pPr>
                    <w:jc w:val="center"/>
                    <w:rPr>
                      <w:szCs w:val="21"/>
                    </w:rPr>
                  </w:pPr>
                  <w:r>
                    <w:rPr>
                      <w:szCs w:val="21"/>
                    </w:rPr>
                    <w:cr/>
                  </w:r>
                  <w:r>
                    <w:rPr>
                      <w:szCs w:val="21"/>
                    </w:rPr>
                    <w:t>60</w:t>
                  </w:r>
                </w:p>
              </w:tc>
              <w:tc>
                <w:tcPr>
                  <w:tcW w:w="1891" w:type="dxa"/>
                  <w:noWrap w:val="0"/>
                  <w:vAlign w:val="center"/>
                </w:tcPr>
                <w:p>
                  <w:pPr>
                    <w:jc w:val="center"/>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357" w:type="dxa"/>
                  <w:noWrap w:val="0"/>
                  <w:vAlign w:val="center"/>
                </w:tcPr>
                <w:p>
                  <w:pPr>
                    <w:jc w:val="center"/>
                    <w:rPr>
                      <w:szCs w:val="21"/>
                    </w:rPr>
                  </w:pPr>
                  <w:r>
                    <w:rPr>
                      <w:szCs w:val="21"/>
                    </w:rPr>
                    <w:t>4a类</w:t>
                  </w:r>
                </w:p>
              </w:tc>
              <w:tc>
                <w:tcPr>
                  <w:tcW w:w="3402" w:type="dxa"/>
                  <w:noWrap w:val="0"/>
                  <w:vAlign w:val="center"/>
                </w:tcPr>
                <w:p>
                  <w:pPr>
                    <w:jc w:val="center"/>
                    <w:rPr>
                      <w:szCs w:val="21"/>
                    </w:rPr>
                  </w:pPr>
                  <w:r>
                    <w:rPr>
                      <w:szCs w:val="21"/>
                    </w:rPr>
                    <w:t>交通干线两侧35m</w:t>
                  </w:r>
                </w:p>
              </w:tc>
              <w:tc>
                <w:tcPr>
                  <w:tcW w:w="1701" w:type="dxa"/>
                  <w:noWrap w:val="0"/>
                  <w:vAlign w:val="center"/>
                </w:tcPr>
                <w:p>
                  <w:pPr>
                    <w:jc w:val="center"/>
                    <w:rPr>
                      <w:szCs w:val="21"/>
                    </w:rPr>
                  </w:pPr>
                  <w:r>
                    <w:rPr>
                      <w:szCs w:val="21"/>
                    </w:rPr>
                    <w:t>70</w:t>
                  </w:r>
                </w:p>
              </w:tc>
              <w:tc>
                <w:tcPr>
                  <w:tcW w:w="1891" w:type="dxa"/>
                  <w:noWrap w:val="0"/>
                  <w:vAlign w:val="center"/>
                </w:tcPr>
                <w:p>
                  <w:pPr>
                    <w:jc w:val="center"/>
                    <w:rPr>
                      <w:szCs w:val="21"/>
                    </w:rPr>
                  </w:pPr>
                  <w:r>
                    <w:rPr>
                      <w:szCs w:val="21"/>
                    </w:rPr>
                    <w:t>55</w:t>
                  </w:r>
                </w:p>
              </w:tc>
            </w:tr>
          </w:tbl>
          <w:p>
            <w:pPr>
              <w:spacing w:line="360" w:lineRule="auto"/>
              <w:jc w:val="left"/>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366" w:hRule="atLeast"/>
          <w:jc w:val="center"/>
        </w:trPr>
        <w:tc>
          <w:tcPr>
            <w:tcW w:w="613" w:type="dxa"/>
            <w:noWrap w:val="0"/>
            <w:vAlign w:val="top"/>
          </w:tcPr>
          <w:p>
            <w:pPr>
              <w:spacing w:line="360" w:lineRule="auto"/>
              <w:jc w:val="center"/>
              <w:rPr>
                <w:b/>
                <w:color w:val="FF0000"/>
                <w:sz w:val="28"/>
              </w:rPr>
            </w:pPr>
          </w:p>
          <w:p>
            <w:pPr>
              <w:spacing w:line="360" w:lineRule="auto"/>
              <w:jc w:val="center"/>
              <w:rPr>
                <w:b/>
                <w:color w:val="FF0000"/>
                <w:sz w:val="28"/>
              </w:rPr>
            </w:pPr>
          </w:p>
          <w:p>
            <w:pPr>
              <w:spacing w:line="360" w:lineRule="auto"/>
              <w:jc w:val="center"/>
              <w:rPr>
                <w:b/>
                <w:color w:val="FF0000"/>
                <w:sz w:val="28"/>
              </w:rPr>
            </w:pPr>
          </w:p>
          <w:p>
            <w:pPr>
              <w:spacing w:line="360" w:lineRule="auto"/>
              <w:jc w:val="center"/>
              <w:rPr>
                <w:b/>
                <w:color w:val="FF0000"/>
                <w:sz w:val="28"/>
              </w:rPr>
            </w:pPr>
          </w:p>
          <w:p>
            <w:pPr>
              <w:spacing w:line="360" w:lineRule="auto"/>
              <w:jc w:val="center"/>
              <w:rPr>
                <w:b/>
                <w:sz w:val="28"/>
              </w:rPr>
            </w:pPr>
            <w:r>
              <w:rPr>
                <w:rFonts w:hAnsi="宋体"/>
                <w:b/>
                <w:sz w:val="28"/>
              </w:rPr>
              <w:t>污</w:t>
            </w:r>
          </w:p>
          <w:p>
            <w:pPr>
              <w:spacing w:line="360" w:lineRule="auto"/>
              <w:jc w:val="center"/>
              <w:rPr>
                <w:b/>
                <w:sz w:val="28"/>
              </w:rPr>
            </w:pPr>
            <w:r>
              <w:rPr>
                <w:rFonts w:hAnsi="宋体"/>
                <w:b/>
                <w:sz w:val="28"/>
              </w:rPr>
              <w:t>染</w:t>
            </w:r>
          </w:p>
          <w:p>
            <w:pPr>
              <w:spacing w:line="360" w:lineRule="auto"/>
              <w:jc w:val="center"/>
              <w:rPr>
                <w:b/>
                <w:sz w:val="28"/>
              </w:rPr>
            </w:pPr>
            <w:r>
              <w:rPr>
                <w:rFonts w:hAnsi="宋体"/>
                <w:b/>
                <w:sz w:val="28"/>
              </w:rPr>
              <w:t>物</w:t>
            </w:r>
          </w:p>
          <w:p>
            <w:pPr>
              <w:spacing w:line="360" w:lineRule="auto"/>
              <w:jc w:val="center"/>
              <w:rPr>
                <w:b/>
                <w:sz w:val="28"/>
              </w:rPr>
            </w:pPr>
            <w:r>
              <w:rPr>
                <w:rFonts w:hAnsi="宋体"/>
                <w:b/>
                <w:sz w:val="28"/>
              </w:rPr>
              <w:t>排</w:t>
            </w:r>
          </w:p>
          <w:p>
            <w:pPr>
              <w:spacing w:line="360" w:lineRule="auto"/>
              <w:jc w:val="center"/>
              <w:rPr>
                <w:b/>
                <w:sz w:val="28"/>
              </w:rPr>
            </w:pPr>
            <w:r>
              <w:rPr>
                <w:rFonts w:hAnsi="宋体"/>
                <w:b/>
                <w:sz w:val="28"/>
              </w:rPr>
              <w:t>放</w:t>
            </w:r>
          </w:p>
          <w:p>
            <w:pPr>
              <w:spacing w:line="360" w:lineRule="auto"/>
              <w:jc w:val="center"/>
              <w:rPr>
                <w:b/>
                <w:sz w:val="28"/>
              </w:rPr>
            </w:pPr>
            <w:r>
              <w:rPr>
                <w:rFonts w:hAnsi="宋体"/>
                <w:b/>
                <w:sz w:val="28"/>
              </w:rPr>
              <w:t>标</w:t>
            </w:r>
          </w:p>
          <w:p>
            <w:pPr>
              <w:spacing w:line="360" w:lineRule="auto"/>
              <w:jc w:val="center"/>
              <w:rPr>
                <w:color w:val="FF0000"/>
                <w:sz w:val="28"/>
              </w:rPr>
            </w:pPr>
            <w:r>
              <w:rPr>
                <w:rFonts w:hAnsi="宋体"/>
                <w:b/>
                <w:sz w:val="28"/>
              </w:rPr>
              <w:t>准</w:t>
            </w:r>
          </w:p>
        </w:tc>
        <w:tc>
          <w:tcPr>
            <w:tcW w:w="8673" w:type="dxa"/>
            <w:noWrap w:val="0"/>
            <w:vAlign w:val="top"/>
          </w:tcPr>
          <w:p>
            <w:pPr>
              <w:spacing w:line="360" w:lineRule="auto"/>
              <w:rPr>
                <w:sz w:val="24"/>
              </w:rPr>
            </w:pPr>
            <w:r>
              <w:rPr>
                <w:b/>
                <w:sz w:val="24"/>
              </w:rPr>
              <w:t>1</w:t>
            </w:r>
            <w:r>
              <w:rPr>
                <w:rFonts w:hAnsi="宋体"/>
                <w:b/>
                <w:sz w:val="24"/>
              </w:rPr>
              <w:t>、大气污染物</w:t>
            </w:r>
          </w:p>
          <w:p>
            <w:pPr>
              <w:spacing w:line="360" w:lineRule="auto"/>
              <w:ind w:firstLine="465"/>
              <w:jc w:val="left"/>
              <w:rPr>
                <w:sz w:val="24"/>
              </w:rPr>
            </w:pPr>
            <w:r>
              <w:rPr>
                <w:sz w:val="24"/>
              </w:rPr>
              <w:t>（1）施工期颗粒物排放执行《大气污染物综合排放标准》（GB16297-1996）表2无组织排放监控浓度限值，见表</w:t>
            </w:r>
            <w:r>
              <w:rPr>
                <w:rFonts w:hint="eastAsia"/>
                <w:sz w:val="24"/>
              </w:rPr>
              <w:t>4-6</w:t>
            </w:r>
            <w:r>
              <w:rPr>
                <w:sz w:val="24"/>
              </w:rPr>
              <w:t>。</w:t>
            </w:r>
          </w:p>
          <w:p>
            <w:pPr>
              <w:spacing w:line="360" w:lineRule="auto"/>
              <w:ind w:firstLine="465"/>
              <w:jc w:val="center"/>
              <w:rPr>
                <w:b/>
                <w:sz w:val="24"/>
              </w:rPr>
            </w:pPr>
            <w:r>
              <w:rPr>
                <w:b/>
                <w:sz w:val="24"/>
              </w:rPr>
              <w:t>表</w:t>
            </w:r>
            <w:r>
              <w:rPr>
                <w:rFonts w:hint="eastAsia"/>
                <w:b/>
                <w:sz w:val="24"/>
              </w:rPr>
              <w:t>4-6</w:t>
            </w:r>
            <w:r>
              <w:rPr>
                <w:b/>
                <w:sz w:val="24"/>
              </w:rPr>
              <w:t xml:space="preserve">  颗粒物无组织排放监控浓度限值    单位：mg/m</w:t>
            </w:r>
            <w:r>
              <w:rPr>
                <w:b/>
                <w:sz w:val="24"/>
                <w:vertAlign w:val="superscript"/>
              </w:rPr>
              <w:t>3</w:t>
            </w:r>
          </w:p>
          <w:tbl>
            <w:tblPr>
              <w:tblStyle w:val="3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24"/>
              <w:gridCol w:w="39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339" w:hRule="atLeast"/>
                <w:jc w:val="center"/>
              </w:trPr>
              <w:tc>
                <w:tcPr>
                  <w:tcW w:w="4524" w:type="dxa"/>
                  <w:noWrap w:val="0"/>
                  <w:vAlign w:val="center"/>
                </w:tcPr>
                <w:p>
                  <w:pPr>
                    <w:ind w:firstLine="465"/>
                    <w:jc w:val="left"/>
                    <w:rPr>
                      <w:szCs w:val="21"/>
                    </w:rPr>
                  </w:pPr>
                  <w:r>
                    <w:rPr>
                      <w:szCs w:val="21"/>
                    </w:rPr>
                    <w:t>污染物</w:t>
                  </w:r>
                </w:p>
              </w:tc>
              <w:tc>
                <w:tcPr>
                  <w:tcW w:w="3917" w:type="dxa"/>
                  <w:noWrap w:val="0"/>
                  <w:vAlign w:val="center"/>
                </w:tcPr>
                <w:p>
                  <w:pPr>
                    <w:ind w:firstLine="465"/>
                    <w:jc w:val="left"/>
                    <w:rPr>
                      <w:szCs w:val="21"/>
                    </w:rPr>
                  </w:pPr>
                  <w:r>
                    <w:rPr>
                      <w:szCs w:val="21"/>
                    </w:rPr>
                    <w:t>颗粒物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58" w:hRule="atLeast"/>
                <w:jc w:val="center"/>
              </w:trPr>
              <w:tc>
                <w:tcPr>
                  <w:tcW w:w="4524" w:type="dxa"/>
                  <w:noWrap w:val="0"/>
                  <w:vAlign w:val="center"/>
                </w:tcPr>
                <w:p>
                  <w:pPr>
                    <w:ind w:firstLine="465"/>
                    <w:jc w:val="left"/>
                    <w:rPr>
                      <w:szCs w:val="21"/>
                    </w:rPr>
                  </w:pPr>
                  <w:r>
                    <w:rPr>
                      <w:position w:val="6"/>
                      <w:szCs w:val="21"/>
                    </w:rPr>
                    <w:t>无组织排放监控浓度</w:t>
                  </w:r>
                  <w:r>
                    <w:rPr>
                      <w:rFonts w:hint="eastAsia"/>
                      <w:position w:val="6"/>
                      <w:szCs w:val="21"/>
                    </w:rPr>
                    <w:t>限值</w:t>
                  </w:r>
                </w:p>
              </w:tc>
              <w:tc>
                <w:tcPr>
                  <w:tcW w:w="3917" w:type="dxa"/>
                  <w:noWrap w:val="0"/>
                  <w:vAlign w:val="center"/>
                </w:tcPr>
                <w:p>
                  <w:pPr>
                    <w:ind w:firstLine="465"/>
                    <w:jc w:val="left"/>
                    <w:rPr>
                      <w:rFonts w:ascii="宋体" w:hAnsi="宋体"/>
                      <w:szCs w:val="21"/>
                    </w:rPr>
                  </w:pPr>
                  <w:r>
                    <w:rPr>
                      <w:rFonts w:ascii="宋体" w:hAnsi="宋体"/>
                      <w:szCs w:val="21"/>
                    </w:rPr>
                    <w:t>≤</w:t>
                  </w:r>
                  <w:r>
                    <w:rPr>
                      <w:rFonts w:ascii="宋体" w:hAnsi="宋体"/>
                      <w:szCs w:val="21"/>
                    </w:rPr>
                    <w:cr/>
                  </w:r>
                  <w:r>
                    <w:rPr>
                      <w:rFonts w:ascii="宋体" w:hAnsi="宋体"/>
                      <w:szCs w:val="21"/>
                    </w:rPr>
                    <w:t>.0</w:t>
                  </w:r>
                </w:p>
              </w:tc>
            </w:tr>
          </w:tbl>
          <w:p>
            <w:pPr>
              <w:spacing w:before="156" w:beforeLines="50" w:line="360" w:lineRule="auto"/>
              <w:ind w:left="120" w:leftChars="57" w:firstLine="343" w:firstLineChars="143"/>
              <w:jc w:val="left"/>
              <w:rPr>
                <w:sz w:val="24"/>
              </w:rPr>
            </w:pPr>
            <w:r>
              <w:rPr>
                <w:sz w:val="24"/>
              </w:rPr>
              <w:t>（2）营运期大气污染物排放执行《大气污染物综合排放标准》（GB16297-1996）表2二级标准；</w:t>
            </w:r>
            <w:r>
              <w:rPr>
                <w:rFonts w:hint="eastAsia"/>
                <w:sz w:val="24"/>
              </w:rPr>
              <w:t xml:space="preserve"> </w:t>
            </w:r>
            <w:r>
              <w:rPr>
                <w:sz w:val="24"/>
              </w:rPr>
              <w:t>具体标准限值见表</w:t>
            </w:r>
            <w:r>
              <w:rPr>
                <w:rFonts w:hint="eastAsia"/>
                <w:sz w:val="24"/>
              </w:rPr>
              <w:t>4-7。</w:t>
            </w:r>
          </w:p>
          <w:p>
            <w:pPr>
              <w:spacing w:line="360" w:lineRule="auto"/>
              <w:ind w:firstLine="465"/>
              <w:jc w:val="center"/>
              <w:rPr>
                <w:b/>
                <w:sz w:val="24"/>
              </w:rPr>
            </w:pPr>
            <w:r>
              <w:rPr>
                <w:b/>
                <w:sz w:val="24"/>
              </w:rPr>
              <w:t>表</w:t>
            </w:r>
            <w:r>
              <w:rPr>
                <w:rFonts w:hint="eastAsia"/>
                <w:b/>
                <w:sz w:val="24"/>
              </w:rPr>
              <w:t xml:space="preserve">4-7  </w:t>
            </w:r>
            <w:r>
              <w:rPr>
                <w:b/>
                <w:sz w:val="24"/>
              </w:rPr>
              <w:t>大气污染物综合排放标准限值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1847"/>
              <w:gridCol w:w="2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05" w:hRule="atLeast"/>
                <w:jc w:val="center"/>
              </w:trPr>
              <w:tc>
                <w:tcPr>
                  <w:tcW w:w="3650" w:type="dxa"/>
                  <w:noWrap w:val="0"/>
                  <w:vAlign w:val="center"/>
                </w:tcPr>
                <w:p>
                  <w:pPr>
                    <w:adjustRightInd w:val="0"/>
                    <w:jc w:val="center"/>
                    <w:rPr>
                      <w:szCs w:val="21"/>
                    </w:rPr>
                  </w:pPr>
                  <w:r>
                    <w:rPr>
                      <w:rFonts w:hAnsi="宋体"/>
                      <w:szCs w:val="21"/>
                    </w:rPr>
                    <w:t>标准类别</w:t>
                  </w:r>
                </w:p>
              </w:tc>
              <w:tc>
                <w:tcPr>
                  <w:tcW w:w="4797" w:type="dxa"/>
                  <w:gridSpan w:val="2"/>
                  <w:noWrap w:val="0"/>
                  <w:vAlign w:val="center"/>
                </w:tcPr>
                <w:p>
                  <w:pPr>
                    <w:adjustRightInd w:val="0"/>
                    <w:jc w:val="center"/>
                    <w:rPr>
                      <w:szCs w:val="21"/>
                    </w:rPr>
                  </w:pPr>
                  <w:r>
                    <w:rPr>
                      <w:rFonts w:hAnsi="宋体"/>
                      <w:szCs w:val="21"/>
                    </w:rPr>
                    <w:t>颗粒物（</w:t>
                  </w:r>
                  <w:r>
                    <w:rPr>
                      <w:szCs w:val="21"/>
                    </w:rPr>
                    <w:t>mg/</w:t>
                  </w:r>
                  <w:r>
                    <w:rPr>
                      <w:rFonts w:hAnsi="宋体"/>
                      <w:szCs w:val="21"/>
                    </w:rPr>
                    <w:t>标</w:t>
                  </w:r>
                  <w:r>
                    <w:rPr>
                      <w:szCs w:val="21"/>
                    </w:rPr>
                    <w:t>m</w:t>
                  </w:r>
                  <w:r>
                    <w:rPr>
                      <w:szCs w:val="21"/>
                      <w:vertAlign w:val="superscript"/>
                    </w:rPr>
                    <w:t>3</w:t>
                  </w:r>
                  <w:r>
                    <w:rPr>
                      <w:rFonts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11" w:hRule="atLeast"/>
                <w:jc w:val="center"/>
              </w:trPr>
              <w:tc>
                <w:tcPr>
                  <w:tcW w:w="3650" w:type="dxa"/>
                  <w:noWrap w:val="0"/>
                  <w:vAlign w:val="center"/>
                </w:tcPr>
                <w:p>
                  <w:pPr>
                    <w:adjustRightInd w:val="0"/>
                    <w:jc w:val="center"/>
                    <w:rPr>
                      <w:szCs w:val="21"/>
                    </w:rPr>
                  </w:pPr>
                  <w:r>
                    <w:rPr>
                      <w:rFonts w:hAnsi="宋体"/>
                      <w:szCs w:val="21"/>
                    </w:rPr>
                    <w:t>二级标准</w:t>
                  </w:r>
                </w:p>
              </w:tc>
              <w:tc>
                <w:tcPr>
                  <w:tcW w:w="1847" w:type="dxa"/>
                  <w:noWrap w:val="0"/>
                  <w:vAlign w:val="center"/>
                </w:tcPr>
                <w:p>
                  <w:pPr>
                    <w:adjustRightInd w:val="0"/>
                    <w:jc w:val="center"/>
                    <w:rPr>
                      <w:szCs w:val="21"/>
                    </w:rPr>
                  </w:pPr>
                  <w:r>
                    <w:rPr>
                      <w:rFonts w:ascii="宋体" w:hAnsi="宋体"/>
                      <w:szCs w:val="21"/>
                    </w:rPr>
                    <w:t>≤</w:t>
                  </w:r>
                  <w:r>
                    <w:rPr>
                      <w:szCs w:val="21"/>
                    </w:rPr>
                    <w:t>120</w:t>
                  </w:r>
                </w:p>
              </w:tc>
              <w:tc>
                <w:tcPr>
                  <w:tcW w:w="2950" w:type="dxa"/>
                  <w:noWrap w:val="0"/>
                  <w:vAlign w:val="center"/>
                </w:tcPr>
                <w:p>
                  <w:pPr>
                    <w:adjustRightInd w:val="0"/>
                    <w:jc w:val="center"/>
                    <w:rPr>
                      <w:szCs w:val="21"/>
                    </w:rPr>
                  </w:pPr>
                  <w:r>
                    <w:rPr>
                      <w:rFonts w:ascii="宋体" w:hAnsi="宋体"/>
                      <w:szCs w:val="21"/>
                    </w:rPr>
                    <w:t>≤</w:t>
                  </w:r>
                  <w:r>
                    <w:rPr>
                      <w:szCs w:val="21"/>
                    </w:rPr>
                    <w:t>1.0</w:t>
                  </w:r>
                  <w:r>
                    <w:rPr>
                      <w:rFonts w:hAnsi="宋体"/>
                      <w:szCs w:val="21"/>
                    </w:rPr>
                    <w:t>（无组织排放浓度限值）</w:t>
                  </w:r>
                </w:p>
              </w:tc>
            </w:tr>
          </w:tbl>
          <w:p>
            <w:pPr>
              <w:spacing w:line="360" w:lineRule="auto"/>
              <w:ind w:firstLine="470" w:firstLineChars="196"/>
              <w:rPr>
                <w:sz w:val="24"/>
              </w:rPr>
            </w:pPr>
            <w:r>
              <w:rPr>
                <w:rFonts w:hint="eastAsia"/>
                <w:sz w:val="24"/>
              </w:rPr>
              <w:t>（3）恶臭排放</w:t>
            </w:r>
          </w:p>
          <w:p>
            <w:pPr>
              <w:spacing w:line="360" w:lineRule="auto"/>
              <w:ind w:firstLine="470" w:firstLineChars="196"/>
              <w:rPr>
                <w:sz w:val="24"/>
                <w:lang w:val="zh-CN"/>
              </w:rPr>
            </w:pPr>
            <w:r>
              <w:rPr>
                <w:rFonts w:hint="eastAsia"/>
                <w:sz w:val="24"/>
              </w:rPr>
              <w:t>本项目的恶臭气体主要来自于垃圾堆放、菜蔬腐烂臭气、化粪池等，恶臭气体排放执行</w:t>
            </w:r>
            <w:r>
              <w:rPr>
                <w:sz w:val="24"/>
                <w:lang w:val="zh-CN"/>
              </w:rPr>
              <w:t>《</w:t>
            </w:r>
            <w:r>
              <w:rPr>
                <w:rFonts w:hint="eastAsia"/>
                <w:sz w:val="24"/>
                <w:lang w:val="zh-CN"/>
              </w:rPr>
              <w:t>恶臭污染物排放标准</w:t>
            </w:r>
            <w:r>
              <w:rPr>
                <w:sz w:val="24"/>
                <w:lang w:val="zh-CN"/>
              </w:rPr>
              <w:t>》</w:t>
            </w:r>
            <w:r>
              <w:rPr>
                <w:rFonts w:hint="eastAsia"/>
                <w:sz w:val="24"/>
                <w:lang w:val="zh-CN"/>
              </w:rPr>
              <w:t>（</w:t>
            </w:r>
            <w:r>
              <w:rPr>
                <w:sz w:val="24"/>
                <w:lang w:val="zh-CN"/>
              </w:rPr>
              <w:t>GB1</w:t>
            </w:r>
            <w:r>
              <w:rPr>
                <w:rFonts w:hint="eastAsia"/>
                <w:sz w:val="24"/>
                <w:lang w:val="zh-CN"/>
              </w:rPr>
              <w:t>4554</w:t>
            </w:r>
            <w:r>
              <w:rPr>
                <w:sz w:val="24"/>
                <w:lang w:val="zh-CN"/>
              </w:rPr>
              <w:t>-</w:t>
            </w:r>
            <w:r>
              <w:rPr>
                <w:rFonts w:hint="eastAsia"/>
                <w:sz w:val="24"/>
                <w:lang w:val="zh-CN"/>
              </w:rPr>
              <w:t>93）中二级标准；具体指标见表4-9。</w:t>
            </w:r>
          </w:p>
          <w:p>
            <w:pPr>
              <w:spacing w:line="360" w:lineRule="auto"/>
              <w:ind w:firstLine="472" w:firstLineChars="196"/>
              <w:jc w:val="center"/>
              <w:rPr>
                <w:b/>
                <w:sz w:val="24"/>
                <w:lang w:val="zh-CN"/>
              </w:rPr>
            </w:pPr>
            <w:r>
              <w:rPr>
                <w:rFonts w:hint="eastAsia"/>
                <w:b/>
                <w:sz w:val="24"/>
                <w:lang w:val="zh-CN"/>
              </w:rPr>
              <w:t>表4-9 恶臭污染物排放标准限值</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5"/>
              <w:gridCol w:w="2816"/>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41" w:hRule="atLeast"/>
              </w:trPr>
              <w:tc>
                <w:tcPr>
                  <w:tcW w:w="2815" w:type="dxa"/>
                  <w:noWrap w:val="0"/>
                  <w:vAlign w:val="center"/>
                </w:tcPr>
                <w:p>
                  <w:pPr>
                    <w:jc w:val="center"/>
                    <w:rPr>
                      <w:szCs w:val="21"/>
                    </w:rPr>
                  </w:pPr>
                  <w:r>
                    <w:rPr>
                      <w:rFonts w:hint="eastAsia"/>
                      <w:szCs w:val="21"/>
                    </w:rPr>
                    <w:t>序号</w:t>
                  </w:r>
                </w:p>
              </w:tc>
              <w:tc>
                <w:tcPr>
                  <w:tcW w:w="2816" w:type="dxa"/>
                  <w:noWrap w:val="0"/>
                  <w:vAlign w:val="center"/>
                </w:tcPr>
                <w:p>
                  <w:pPr>
                    <w:jc w:val="center"/>
                    <w:rPr>
                      <w:szCs w:val="21"/>
                    </w:rPr>
                  </w:pPr>
                  <w:r>
                    <w:rPr>
                      <w:rFonts w:hint="eastAsia"/>
                      <w:szCs w:val="21"/>
                    </w:rPr>
                    <w:t>污染物</w:t>
                  </w:r>
                </w:p>
              </w:tc>
              <w:tc>
                <w:tcPr>
                  <w:tcW w:w="2816" w:type="dxa"/>
                  <w:noWrap w:val="0"/>
                  <w:vAlign w:val="center"/>
                </w:tcPr>
                <w:p>
                  <w:pPr>
                    <w:jc w:val="center"/>
                    <w:rPr>
                      <w:szCs w:val="21"/>
                    </w:rPr>
                  </w:pPr>
                  <w:r>
                    <w:rPr>
                      <w:rFonts w:hint="eastAsia"/>
                      <w:szCs w:val="21"/>
                    </w:rPr>
                    <w:t>标准值（mg/m</w:t>
                  </w:r>
                  <w:r>
                    <w:rPr>
                      <w:rFonts w:hint="eastAsia"/>
                      <w:szCs w:val="21"/>
                      <w:vertAlign w:val="superscript"/>
                    </w:rPr>
                    <w:t>3</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1" w:hRule="atLeast"/>
              </w:trPr>
              <w:tc>
                <w:tcPr>
                  <w:tcW w:w="2815" w:type="dxa"/>
                  <w:noWrap w:val="0"/>
                  <w:vAlign w:val="center"/>
                </w:tcPr>
                <w:p>
                  <w:pPr>
                    <w:jc w:val="center"/>
                    <w:rPr>
                      <w:szCs w:val="21"/>
                    </w:rPr>
                  </w:pPr>
                  <w:r>
                    <w:rPr>
                      <w:rFonts w:hint="eastAsia"/>
                      <w:szCs w:val="21"/>
                    </w:rPr>
                    <w:t>1</w:t>
                  </w:r>
                </w:p>
              </w:tc>
              <w:tc>
                <w:tcPr>
                  <w:tcW w:w="2816" w:type="dxa"/>
                  <w:noWrap w:val="0"/>
                  <w:vAlign w:val="center"/>
                </w:tcPr>
                <w:p>
                  <w:pPr>
                    <w:jc w:val="center"/>
                    <w:rPr>
                      <w:szCs w:val="21"/>
                    </w:rPr>
                  </w:pPr>
                  <w:r>
                    <w:rPr>
                      <w:rFonts w:hint="eastAsia"/>
                      <w:szCs w:val="21"/>
                    </w:rPr>
                    <w:t>氨</w:t>
                  </w:r>
                </w:p>
              </w:tc>
              <w:tc>
                <w:tcPr>
                  <w:tcW w:w="2816" w:type="dxa"/>
                  <w:noWrap w:val="0"/>
                  <w:vAlign w:val="center"/>
                </w:tcPr>
                <w:p>
                  <w:pPr>
                    <w:jc w:val="center"/>
                    <w:rPr>
                      <w:szCs w:val="21"/>
                    </w:rPr>
                  </w:pPr>
                  <w:r>
                    <w:rPr>
                      <w:rFonts w:hint="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93" w:hRule="atLeast"/>
              </w:trPr>
              <w:tc>
                <w:tcPr>
                  <w:tcW w:w="2815" w:type="dxa"/>
                  <w:noWrap w:val="0"/>
                  <w:vAlign w:val="center"/>
                </w:tcPr>
                <w:p>
                  <w:pPr>
                    <w:jc w:val="center"/>
                    <w:rPr>
                      <w:szCs w:val="21"/>
                    </w:rPr>
                  </w:pPr>
                  <w:r>
                    <w:rPr>
                      <w:rFonts w:hint="eastAsia"/>
                      <w:szCs w:val="21"/>
                    </w:rPr>
                    <w:t>2</w:t>
                  </w:r>
                </w:p>
              </w:tc>
              <w:tc>
                <w:tcPr>
                  <w:tcW w:w="2816" w:type="dxa"/>
                  <w:noWrap w:val="0"/>
                  <w:vAlign w:val="center"/>
                </w:tcPr>
                <w:p>
                  <w:pPr>
                    <w:jc w:val="center"/>
                    <w:rPr>
                      <w:szCs w:val="21"/>
                    </w:rPr>
                  </w:pPr>
                  <w:r>
                    <w:rPr>
                      <w:rFonts w:hint="eastAsia"/>
                      <w:szCs w:val="21"/>
                    </w:rPr>
                    <w:t>硫化氢</w:t>
                  </w:r>
                </w:p>
              </w:tc>
              <w:tc>
                <w:tcPr>
                  <w:tcW w:w="2816" w:type="dxa"/>
                  <w:noWrap w:val="0"/>
                  <w:vAlign w:val="center"/>
                </w:tcPr>
                <w:p>
                  <w:pPr>
                    <w:jc w:val="center"/>
                    <w:rPr>
                      <w:szCs w:val="21"/>
                    </w:rPr>
                  </w:pPr>
                  <w:r>
                    <w:rPr>
                      <w:rFonts w:hint="eastAsia"/>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41" w:hRule="atLeast"/>
              </w:trPr>
              <w:tc>
                <w:tcPr>
                  <w:tcW w:w="2815" w:type="dxa"/>
                  <w:noWrap w:val="0"/>
                  <w:vAlign w:val="center"/>
                </w:tcPr>
                <w:p>
                  <w:pPr>
                    <w:jc w:val="center"/>
                    <w:rPr>
                      <w:szCs w:val="21"/>
                    </w:rPr>
                  </w:pPr>
                  <w:r>
                    <w:rPr>
                      <w:rFonts w:hint="eastAsia"/>
                      <w:szCs w:val="21"/>
                    </w:rPr>
                    <w:t>3</w:t>
                  </w:r>
                </w:p>
              </w:tc>
              <w:tc>
                <w:tcPr>
                  <w:tcW w:w="2816" w:type="dxa"/>
                  <w:noWrap w:val="0"/>
                  <w:vAlign w:val="center"/>
                </w:tcPr>
                <w:p>
                  <w:pPr>
                    <w:jc w:val="center"/>
                    <w:rPr>
                      <w:szCs w:val="21"/>
                    </w:rPr>
                  </w:pPr>
                  <w:r>
                    <w:rPr>
                      <w:rFonts w:hint="eastAsia"/>
                      <w:szCs w:val="21"/>
                    </w:rPr>
                    <w:t>臭气浓度</w:t>
                  </w:r>
                </w:p>
              </w:tc>
              <w:tc>
                <w:tcPr>
                  <w:tcW w:w="2816" w:type="dxa"/>
                  <w:noWrap w:val="0"/>
                  <w:vAlign w:val="center"/>
                </w:tcPr>
                <w:p>
                  <w:pPr>
                    <w:jc w:val="center"/>
                    <w:rPr>
                      <w:szCs w:val="21"/>
                    </w:rPr>
                  </w:pPr>
                  <w:r>
                    <w:rPr>
                      <w:rFonts w:hint="eastAsia"/>
                      <w:szCs w:val="21"/>
                    </w:rPr>
                    <w:t>20（无量纲）</w:t>
                  </w:r>
                </w:p>
              </w:tc>
            </w:tr>
          </w:tbl>
          <w:p>
            <w:pPr>
              <w:spacing w:before="156" w:beforeLines="50" w:line="360" w:lineRule="auto"/>
              <w:rPr>
                <w:b/>
                <w:sz w:val="24"/>
              </w:rPr>
            </w:pPr>
            <w:r>
              <w:rPr>
                <w:b/>
                <w:sz w:val="24"/>
              </w:rPr>
              <w:t>2</w:t>
            </w:r>
            <w:r>
              <w:rPr>
                <w:rFonts w:hAnsi="宋体"/>
                <w:b/>
                <w:sz w:val="24"/>
              </w:rPr>
              <w:t>、水污染物</w:t>
            </w:r>
          </w:p>
          <w:p>
            <w:pPr>
              <w:spacing w:line="360" w:lineRule="auto"/>
              <w:ind w:firstLine="480" w:firstLineChars="200"/>
              <w:rPr>
                <w:rFonts w:hint="eastAsia"/>
                <w:sz w:val="24"/>
              </w:rPr>
            </w:pPr>
            <w:r>
              <w:rPr>
                <w:sz w:val="24"/>
              </w:rPr>
              <w:t>本项目采用雨污分流的排水体制。项目产生的污水经化粪池处理后排入市政污水管网，最终排入</w:t>
            </w:r>
            <w:r>
              <w:rPr>
                <w:rFonts w:hint="eastAsia"/>
                <w:sz w:val="24"/>
              </w:rPr>
              <w:t>维西县</w:t>
            </w:r>
            <w:r>
              <w:rPr>
                <w:sz w:val="24"/>
              </w:rPr>
              <w:t>污水处理厂处理。项目污水排放</w:t>
            </w:r>
            <w:r>
              <w:rPr>
                <w:rFonts w:hint="eastAsia"/>
                <w:sz w:val="24"/>
              </w:rPr>
              <w:t>执行《污水综合排放标准》（GB8978-1996）三级排放标准及</w:t>
            </w:r>
            <w:r>
              <w:rPr>
                <w:rFonts w:hAnsi="宋体"/>
                <w:sz w:val="24"/>
              </w:rPr>
              <w:t>《污水排入</w:t>
            </w:r>
            <w:r>
              <w:rPr>
                <w:rFonts w:hint="eastAsia" w:hAnsi="宋体"/>
                <w:sz w:val="24"/>
              </w:rPr>
              <w:t>城镇</w:t>
            </w:r>
            <w:r>
              <w:rPr>
                <w:rFonts w:hAnsi="宋体"/>
                <w:sz w:val="24"/>
              </w:rPr>
              <w:t>下水道水质标准》（</w:t>
            </w:r>
            <w:r>
              <w:rPr>
                <w:sz w:val="24"/>
              </w:rPr>
              <w:t>CJ</w:t>
            </w:r>
            <w:r>
              <w:rPr>
                <w:rFonts w:hint="eastAsia"/>
                <w:sz w:val="24"/>
              </w:rPr>
              <w:t>343</w:t>
            </w:r>
            <w:r>
              <w:rPr>
                <w:sz w:val="24"/>
              </w:rPr>
              <w:t>-</w:t>
            </w:r>
            <w:r>
              <w:rPr>
                <w:rFonts w:hint="eastAsia"/>
                <w:sz w:val="24"/>
              </w:rPr>
              <w:t>2010</w:t>
            </w:r>
            <w:r>
              <w:rPr>
                <w:rFonts w:hAnsi="宋体"/>
                <w:sz w:val="24"/>
              </w:rPr>
              <w:t>）表</w:t>
            </w:r>
            <w:r>
              <w:rPr>
                <w:rFonts w:hint="eastAsia"/>
                <w:sz w:val="24"/>
              </w:rPr>
              <w:t>1中B</w:t>
            </w:r>
            <w:r>
              <w:rPr>
                <w:rFonts w:hint="eastAsia" w:hAnsi="宋体"/>
                <w:sz w:val="24"/>
              </w:rPr>
              <w:t>等</w:t>
            </w:r>
            <w:r>
              <w:rPr>
                <w:rFonts w:hAnsi="宋体"/>
                <w:sz w:val="24"/>
              </w:rPr>
              <w:t>级标准。</w:t>
            </w:r>
            <w:r>
              <w:rPr>
                <w:sz w:val="24"/>
              </w:rPr>
              <w:t>两个标准中，pH值、COD、BOD</w:t>
            </w:r>
            <w:r>
              <w:rPr>
                <w:sz w:val="24"/>
                <w:vertAlign w:val="subscript"/>
              </w:rPr>
              <w:t>5</w:t>
            </w:r>
            <w:r>
              <w:rPr>
                <w:sz w:val="24"/>
              </w:rPr>
              <w:t>等</w:t>
            </w:r>
            <w:r>
              <w:rPr>
                <w:rFonts w:hint="eastAsia"/>
                <w:sz w:val="24"/>
              </w:rPr>
              <w:t>污染物的排放浓度</w:t>
            </w:r>
            <w:r>
              <w:rPr>
                <w:sz w:val="24"/>
              </w:rPr>
              <w:t>标准值不一致的按最严格的执行。</w:t>
            </w:r>
            <w:r>
              <w:rPr>
                <w:rFonts w:hint="eastAsia"/>
                <w:sz w:val="24"/>
              </w:rPr>
              <w:t>由于</w:t>
            </w:r>
            <w:r>
              <w:rPr>
                <w:sz w:val="24"/>
              </w:rPr>
              <w:t>《污水综合排放标准》</w:t>
            </w:r>
            <w:r>
              <w:rPr>
                <w:rFonts w:hint="eastAsia"/>
                <w:sz w:val="24"/>
              </w:rPr>
              <w:t>（</w:t>
            </w:r>
            <w:r>
              <w:rPr>
                <w:sz w:val="24"/>
              </w:rPr>
              <w:t>GB8978-1996</w:t>
            </w:r>
            <w:r>
              <w:rPr>
                <w:rFonts w:hint="eastAsia"/>
                <w:sz w:val="24"/>
              </w:rPr>
              <w:t>）</w:t>
            </w:r>
            <w:r>
              <w:rPr>
                <w:sz w:val="24"/>
              </w:rPr>
              <w:t>表4中</w:t>
            </w:r>
            <w:r>
              <w:rPr>
                <w:rFonts w:hint="eastAsia"/>
                <w:sz w:val="24"/>
              </w:rPr>
              <w:t>无</w:t>
            </w:r>
            <w:r>
              <w:rPr>
                <w:sz w:val="24"/>
              </w:rPr>
              <w:t>总磷、总氮、氨氮等</w:t>
            </w:r>
            <w:r>
              <w:rPr>
                <w:rFonts w:hint="eastAsia"/>
                <w:sz w:val="24"/>
              </w:rPr>
              <w:t>的排放浓度，其标准值</w:t>
            </w:r>
            <w:r>
              <w:rPr>
                <w:sz w:val="24"/>
              </w:rPr>
              <w:t>按《污水排入城</w:t>
            </w:r>
            <w:r>
              <w:rPr>
                <w:rFonts w:hint="eastAsia"/>
                <w:sz w:val="24"/>
              </w:rPr>
              <w:t>镇</w:t>
            </w:r>
            <w:r>
              <w:rPr>
                <w:sz w:val="24"/>
              </w:rPr>
              <w:t>下水道水质标准》</w:t>
            </w:r>
            <w:r>
              <w:rPr>
                <w:rFonts w:hint="eastAsia"/>
                <w:sz w:val="24"/>
              </w:rPr>
              <w:t>（</w:t>
            </w:r>
            <w:r>
              <w:rPr>
                <w:sz w:val="24"/>
              </w:rPr>
              <w:t>CJ</w:t>
            </w:r>
            <w:r>
              <w:rPr>
                <w:rFonts w:hint="eastAsia"/>
                <w:sz w:val="24"/>
              </w:rPr>
              <w:t>343</w:t>
            </w:r>
            <w:r>
              <w:rPr>
                <w:sz w:val="24"/>
              </w:rPr>
              <w:t>-2010</w:t>
            </w:r>
            <w:r>
              <w:rPr>
                <w:rFonts w:hint="eastAsia"/>
                <w:sz w:val="24"/>
              </w:rPr>
              <w:t>）</w:t>
            </w:r>
            <w:r>
              <w:rPr>
                <w:sz w:val="24"/>
              </w:rPr>
              <w:t>中B等级标准执行。</w:t>
            </w:r>
            <w:r>
              <w:rPr>
                <w:rFonts w:hint="eastAsia"/>
                <w:sz w:val="24"/>
              </w:rPr>
              <w:t>具体指标见表</w:t>
            </w:r>
            <w:r>
              <w:rPr>
                <w:sz w:val="24"/>
              </w:rPr>
              <w:t>4-</w:t>
            </w:r>
            <w:r>
              <w:rPr>
                <w:rFonts w:hint="eastAsia"/>
                <w:sz w:val="24"/>
              </w:rPr>
              <w:t>10。</w:t>
            </w:r>
          </w:p>
          <w:p>
            <w:pPr>
              <w:spacing w:before="156" w:beforeLines="50" w:line="360" w:lineRule="auto"/>
              <w:jc w:val="center"/>
              <w:rPr>
                <w:rFonts w:hint="eastAsia" w:hAnsi="宋体"/>
                <w:b/>
                <w:sz w:val="24"/>
              </w:rPr>
            </w:pPr>
          </w:p>
          <w:p>
            <w:pPr>
              <w:spacing w:before="156" w:beforeLines="50" w:line="360" w:lineRule="auto"/>
              <w:jc w:val="center"/>
              <w:rPr>
                <w:rFonts w:hint="eastAsia" w:hAnsi="宋体"/>
                <w:b/>
                <w:color w:val="FF0000"/>
                <w:sz w:val="24"/>
              </w:rPr>
            </w:pPr>
          </w:p>
          <w:p>
            <w:pPr>
              <w:spacing w:before="156" w:beforeLines="50" w:line="360" w:lineRule="auto"/>
              <w:jc w:val="center"/>
              <w:rPr>
                <w:b/>
                <w:sz w:val="24"/>
              </w:rPr>
            </w:pPr>
            <w:r>
              <w:rPr>
                <w:rFonts w:hAnsi="宋体"/>
                <w:b/>
                <w:sz w:val="24"/>
              </w:rPr>
              <w:t>表</w:t>
            </w:r>
            <w:r>
              <w:rPr>
                <w:rFonts w:hint="eastAsia"/>
                <w:b/>
                <w:sz w:val="24"/>
              </w:rPr>
              <w:t xml:space="preserve">4-10  </w:t>
            </w:r>
            <w:r>
              <w:rPr>
                <w:rFonts w:hint="eastAsia" w:hAnsi="宋体"/>
                <w:b/>
                <w:sz w:val="24"/>
              </w:rPr>
              <w:t>污水排放标准限值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3347"/>
              <w:gridCol w:w="211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Height w:val="397" w:hRule="atLeast"/>
                <w:jc w:val="center"/>
              </w:trPr>
              <w:tc>
                <w:tcPr>
                  <w:tcW w:w="1256" w:type="dxa"/>
                  <w:vMerge w:val="restart"/>
                  <w:noWrap w:val="0"/>
                  <w:vAlign w:val="center"/>
                </w:tcPr>
                <w:p>
                  <w:pPr>
                    <w:pStyle w:val="115"/>
                  </w:pPr>
                  <w:r>
                    <w:rPr>
                      <w:rFonts w:hint="eastAsia"/>
                    </w:rPr>
                    <w:t>序号</w:t>
                  </w:r>
                </w:p>
              </w:tc>
              <w:tc>
                <w:tcPr>
                  <w:tcW w:w="3347" w:type="dxa"/>
                  <w:vMerge w:val="restart"/>
                  <w:noWrap w:val="0"/>
                  <w:vAlign w:val="center"/>
                </w:tcPr>
                <w:p>
                  <w:pPr>
                    <w:pStyle w:val="115"/>
                  </w:pPr>
                  <w:r>
                    <w:rPr>
                      <w:rFonts w:hint="eastAsia"/>
                    </w:rPr>
                    <w:t>项目</w:t>
                  </w:r>
                </w:p>
              </w:tc>
              <w:tc>
                <w:tcPr>
                  <w:tcW w:w="3844" w:type="dxa"/>
                  <w:gridSpan w:val="2"/>
                  <w:noWrap w:val="0"/>
                  <w:vAlign w:val="center"/>
                </w:tcPr>
                <w:p>
                  <w:pPr>
                    <w:pStyle w:val="115"/>
                  </w:pPr>
                  <w:r>
                    <w:rPr>
                      <w:rFonts w:hint="eastAsia"/>
                    </w:rPr>
                    <w:t>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1256" w:type="dxa"/>
                  <w:vMerge w:val="continue"/>
                  <w:noWrap w:val="0"/>
                  <w:vAlign w:val="center"/>
                </w:tcPr>
                <w:p>
                  <w:pPr>
                    <w:pStyle w:val="115"/>
                  </w:pPr>
                </w:p>
              </w:tc>
              <w:tc>
                <w:tcPr>
                  <w:tcW w:w="3347" w:type="dxa"/>
                  <w:vMerge w:val="continue"/>
                  <w:noWrap w:val="0"/>
                  <w:vAlign w:val="center"/>
                </w:tcPr>
                <w:p>
                  <w:pPr>
                    <w:pStyle w:val="115"/>
                  </w:pPr>
                </w:p>
              </w:tc>
              <w:tc>
                <w:tcPr>
                  <w:tcW w:w="2112" w:type="dxa"/>
                  <w:noWrap w:val="0"/>
                  <w:vAlign w:val="center"/>
                </w:tcPr>
                <w:p>
                  <w:pPr>
                    <w:pStyle w:val="115"/>
                  </w:pPr>
                  <w:r>
                    <w:rPr>
                      <w:rFonts w:hint="eastAsia"/>
                    </w:rPr>
                    <w:t>GB8978-1996，三级</w:t>
                  </w:r>
                </w:p>
              </w:tc>
              <w:tc>
                <w:tcPr>
                  <w:tcW w:w="1732" w:type="dxa"/>
                  <w:noWrap w:val="0"/>
                  <w:vAlign w:val="center"/>
                </w:tcPr>
                <w:p>
                  <w:pPr>
                    <w:pStyle w:val="115"/>
                  </w:pPr>
                  <w:r>
                    <w:rPr>
                      <w:rFonts w:hint="eastAsia"/>
                    </w:rPr>
                    <w:t>B等级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1256" w:type="dxa"/>
                  <w:noWrap w:val="0"/>
                  <w:vAlign w:val="center"/>
                </w:tcPr>
                <w:p>
                  <w:pPr>
                    <w:adjustRightInd w:val="0"/>
                    <w:jc w:val="center"/>
                    <w:rPr>
                      <w:szCs w:val="21"/>
                    </w:rPr>
                  </w:pPr>
                  <w:r>
                    <w:rPr>
                      <w:rFonts w:hint="eastAsia"/>
                      <w:szCs w:val="21"/>
                    </w:rPr>
                    <w:t>1</w:t>
                  </w:r>
                </w:p>
              </w:tc>
              <w:tc>
                <w:tcPr>
                  <w:tcW w:w="3347" w:type="dxa"/>
                  <w:noWrap w:val="0"/>
                  <w:vAlign w:val="center"/>
                </w:tcPr>
                <w:p>
                  <w:pPr>
                    <w:adjustRightInd w:val="0"/>
                    <w:jc w:val="center"/>
                    <w:rPr>
                      <w:szCs w:val="21"/>
                    </w:rPr>
                  </w:pPr>
                  <w:r>
                    <w:rPr>
                      <w:szCs w:val="21"/>
                    </w:rPr>
                    <w:t>p</w:t>
                  </w:r>
                  <w:r>
                    <w:rPr>
                      <w:rFonts w:hint="eastAsia"/>
                      <w:szCs w:val="21"/>
                    </w:rPr>
                    <w:t>H</w:t>
                  </w:r>
                </w:p>
              </w:tc>
              <w:tc>
                <w:tcPr>
                  <w:tcW w:w="2112" w:type="dxa"/>
                  <w:noWrap w:val="0"/>
                  <w:vAlign w:val="center"/>
                </w:tcPr>
                <w:p>
                  <w:pPr>
                    <w:adjustRightInd w:val="0"/>
                    <w:jc w:val="center"/>
                    <w:rPr>
                      <w:szCs w:val="21"/>
                    </w:rPr>
                  </w:pPr>
                  <w:r>
                    <w:rPr>
                      <w:rFonts w:hint="eastAsia"/>
                      <w:szCs w:val="21"/>
                    </w:rPr>
                    <w:t>6~9</w:t>
                  </w:r>
                </w:p>
              </w:tc>
              <w:tc>
                <w:tcPr>
                  <w:tcW w:w="1732" w:type="dxa"/>
                  <w:noWrap w:val="0"/>
                  <w:vAlign w:val="center"/>
                </w:tcPr>
                <w:p>
                  <w:pPr>
                    <w:adjustRightInd w:val="0"/>
                    <w:jc w:val="center"/>
                    <w:rPr>
                      <w:szCs w:val="21"/>
                    </w:rPr>
                  </w:pPr>
                  <w:r>
                    <w:rPr>
                      <w:rFonts w:hint="eastAsia"/>
                      <w:szCs w:val="21"/>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1256" w:type="dxa"/>
                  <w:noWrap w:val="0"/>
                  <w:vAlign w:val="center"/>
                </w:tcPr>
                <w:p>
                  <w:pPr>
                    <w:adjustRightInd w:val="0"/>
                    <w:jc w:val="center"/>
                    <w:rPr>
                      <w:szCs w:val="21"/>
                    </w:rPr>
                  </w:pPr>
                  <w:r>
                    <w:rPr>
                      <w:rFonts w:hint="eastAsia"/>
                      <w:szCs w:val="21"/>
                    </w:rPr>
                    <w:t>2</w:t>
                  </w:r>
                </w:p>
              </w:tc>
              <w:tc>
                <w:tcPr>
                  <w:tcW w:w="3347" w:type="dxa"/>
                  <w:noWrap w:val="0"/>
                  <w:vAlign w:val="center"/>
                </w:tcPr>
                <w:p>
                  <w:pPr>
                    <w:adjustRightInd w:val="0"/>
                    <w:jc w:val="center"/>
                    <w:rPr>
                      <w:szCs w:val="21"/>
                    </w:rPr>
                  </w:pPr>
                  <w:r>
                    <w:rPr>
                      <w:rFonts w:hint="eastAsia"/>
                      <w:szCs w:val="21"/>
                    </w:rPr>
                    <w:t>SS（</w:t>
                  </w:r>
                  <w:r>
                    <w:rPr>
                      <w:szCs w:val="21"/>
                    </w:rPr>
                    <w:t>mg/</w:t>
                  </w:r>
                  <w:r>
                    <w:rPr>
                      <w:rFonts w:hint="eastAsia"/>
                      <w:szCs w:val="21"/>
                    </w:rPr>
                    <w:t>L）</w:t>
                  </w:r>
                </w:p>
              </w:tc>
              <w:tc>
                <w:tcPr>
                  <w:tcW w:w="2112" w:type="dxa"/>
                  <w:noWrap w:val="0"/>
                  <w:vAlign w:val="center"/>
                </w:tcPr>
                <w:p>
                  <w:pPr>
                    <w:adjustRightInd w:val="0"/>
                    <w:jc w:val="center"/>
                    <w:rPr>
                      <w:szCs w:val="21"/>
                    </w:rPr>
                  </w:pPr>
                  <w:r>
                    <w:rPr>
                      <w:rFonts w:hint="eastAsia"/>
                      <w:szCs w:val="21"/>
                    </w:rPr>
                    <w:t>400</w:t>
                  </w:r>
                </w:p>
              </w:tc>
              <w:tc>
                <w:tcPr>
                  <w:tcW w:w="1732" w:type="dxa"/>
                  <w:noWrap w:val="0"/>
                  <w:vAlign w:val="center"/>
                </w:tcPr>
                <w:p>
                  <w:pPr>
                    <w:adjustRightInd w:val="0"/>
                    <w:jc w:val="center"/>
                    <w:rPr>
                      <w:szCs w:val="21"/>
                    </w:rPr>
                  </w:pPr>
                  <w:r>
                    <w:rPr>
                      <w:rFonts w:hint="eastAsia"/>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1256" w:type="dxa"/>
                  <w:noWrap w:val="0"/>
                  <w:vAlign w:val="center"/>
                </w:tcPr>
                <w:p>
                  <w:pPr>
                    <w:adjustRightInd w:val="0"/>
                    <w:jc w:val="center"/>
                    <w:rPr>
                      <w:szCs w:val="21"/>
                    </w:rPr>
                  </w:pPr>
                  <w:r>
                    <w:rPr>
                      <w:rFonts w:hint="eastAsia"/>
                      <w:szCs w:val="21"/>
                    </w:rPr>
                    <w:t>3</w:t>
                  </w:r>
                </w:p>
              </w:tc>
              <w:tc>
                <w:tcPr>
                  <w:tcW w:w="3347" w:type="dxa"/>
                  <w:noWrap w:val="0"/>
                  <w:vAlign w:val="center"/>
                </w:tcPr>
                <w:p>
                  <w:pPr>
                    <w:adjustRightInd w:val="0"/>
                    <w:jc w:val="center"/>
                    <w:rPr>
                      <w:szCs w:val="21"/>
                    </w:rPr>
                  </w:pPr>
                  <w:r>
                    <w:rPr>
                      <w:rFonts w:hint="eastAsia"/>
                      <w:szCs w:val="21"/>
                    </w:rPr>
                    <w:t>COD</w:t>
                  </w:r>
                  <w:r>
                    <w:rPr>
                      <w:rFonts w:hint="eastAsia"/>
                      <w:szCs w:val="21"/>
                      <w:vertAlign w:val="subscript"/>
                    </w:rPr>
                    <w:t>Cr</w:t>
                  </w:r>
                  <w:r>
                    <w:rPr>
                      <w:rFonts w:hint="eastAsia"/>
                      <w:szCs w:val="21"/>
                    </w:rPr>
                    <w:t>（</w:t>
                  </w:r>
                  <w:r>
                    <w:rPr>
                      <w:szCs w:val="21"/>
                    </w:rPr>
                    <w:t>mg/</w:t>
                  </w:r>
                  <w:r>
                    <w:rPr>
                      <w:rFonts w:hint="eastAsia"/>
                      <w:szCs w:val="21"/>
                    </w:rPr>
                    <w:t>L）</w:t>
                  </w:r>
                </w:p>
              </w:tc>
              <w:tc>
                <w:tcPr>
                  <w:tcW w:w="2112" w:type="dxa"/>
                  <w:noWrap w:val="0"/>
                  <w:vAlign w:val="center"/>
                </w:tcPr>
                <w:p>
                  <w:pPr>
                    <w:adjustRightInd w:val="0"/>
                    <w:jc w:val="center"/>
                    <w:rPr>
                      <w:szCs w:val="21"/>
                    </w:rPr>
                  </w:pPr>
                  <w:r>
                    <w:rPr>
                      <w:rFonts w:hint="eastAsia"/>
                      <w:szCs w:val="21"/>
                    </w:rPr>
                    <w:t>500</w:t>
                  </w:r>
                </w:p>
              </w:tc>
              <w:tc>
                <w:tcPr>
                  <w:tcW w:w="1732" w:type="dxa"/>
                  <w:noWrap w:val="0"/>
                  <w:vAlign w:val="center"/>
                </w:tcPr>
                <w:p>
                  <w:pPr>
                    <w:adjustRightInd w:val="0"/>
                    <w:jc w:val="center"/>
                    <w:rPr>
                      <w:szCs w:val="21"/>
                    </w:rPr>
                  </w:pPr>
                  <w:r>
                    <w:rPr>
                      <w:rFonts w:hint="eastAsia"/>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1256" w:type="dxa"/>
                  <w:noWrap w:val="0"/>
                  <w:vAlign w:val="center"/>
                </w:tcPr>
                <w:p>
                  <w:pPr>
                    <w:adjustRightInd w:val="0"/>
                    <w:jc w:val="center"/>
                    <w:rPr>
                      <w:szCs w:val="21"/>
                    </w:rPr>
                  </w:pPr>
                  <w:r>
                    <w:rPr>
                      <w:rFonts w:hint="eastAsia"/>
                      <w:szCs w:val="21"/>
                    </w:rPr>
                    <w:t>4</w:t>
                  </w:r>
                </w:p>
              </w:tc>
              <w:tc>
                <w:tcPr>
                  <w:tcW w:w="3347" w:type="dxa"/>
                  <w:noWrap w:val="0"/>
                  <w:vAlign w:val="center"/>
                </w:tcPr>
                <w:p>
                  <w:pPr>
                    <w:adjustRightInd w:val="0"/>
                    <w:jc w:val="center"/>
                    <w:rPr>
                      <w:szCs w:val="21"/>
                    </w:rPr>
                  </w:pPr>
                  <w:r>
                    <w:rPr>
                      <w:szCs w:val="21"/>
                    </w:rPr>
                    <w:t>B</w:t>
                  </w:r>
                  <w:r>
                    <w:rPr>
                      <w:rFonts w:hint="eastAsia"/>
                      <w:szCs w:val="21"/>
                    </w:rPr>
                    <w:t>OD</w:t>
                  </w:r>
                  <w:r>
                    <w:rPr>
                      <w:szCs w:val="21"/>
                      <w:vertAlign w:val="subscript"/>
                    </w:rPr>
                    <w:t>5</w:t>
                  </w:r>
                  <w:r>
                    <w:rPr>
                      <w:rFonts w:hint="eastAsia"/>
                      <w:szCs w:val="21"/>
                    </w:rPr>
                    <w:t>（</w:t>
                  </w:r>
                  <w:r>
                    <w:rPr>
                      <w:szCs w:val="21"/>
                    </w:rPr>
                    <w:t>mg/</w:t>
                  </w:r>
                  <w:r>
                    <w:rPr>
                      <w:rFonts w:hint="eastAsia"/>
                      <w:szCs w:val="21"/>
                    </w:rPr>
                    <w:t>L）</w:t>
                  </w:r>
                </w:p>
              </w:tc>
              <w:tc>
                <w:tcPr>
                  <w:tcW w:w="2112" w:type="dxa"/>
                  <w:noWrap w:val="0"/>
                  <w:vAlign w:val="center"/>
                </w:tcPr>
                <w:p>
                  <w:pPr>
                    <w:adjustRightInd w:val="0"/>
                    <w:jc w:val="center"/>
                    <w:rPr>
                      <w:szCs w:val="21"/>
                    </w:rPr>
                  </w:pPr>
                  <w:r>
                    <w:rPr>
                      <w:rFonts w:hint="eastAsia"/>
                      <w:szCs w:val="21"/>
                    </w:rPr>
                    <w:t>300</w:t>
                  </w:r>
                </w:p>
              </w:tc>
              <w:tc>
                <w:tcPr>
                  <w:tcW w:w="1732" w:type="dxa"/>
                  <w:noWrap w:val="0"/>
                  <w:vAlign w:val="center"/>
                </w:tcPr>
                <w:p>
                  <w:pPr>
                    <w:adjustRightInd w:val="0"/>
                    <w:jc w:val="center"/>
                    <w:rPr>
                      <w:szCs w:val="21"/>
                    </w:rPr>
                  </w:pPr>
                  <w:r>
                    <w:rPr>
                      <w:rFonts w:hint="eastAsia"/>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1256" w:type="dxa"/>
                  <w:noWrap w:val="0"/>
                  <w:vAlign w:val="center"/>
                </w:tcPr>
                <w:p>
                  <w:pPr>
                    <w:adjustRightInd w:val="0"/>
                    <w:jc w:val="center"/>
                    <w:rPr>
                      <w:szCs w:val="21"/>
                    </w:rPr>
                  </w:pPr>
                  <w:r>
                    <w:rPr>
                      <w:rFonts w:hint="eastAsia"/>
                      <w:szCs w:val="21"/>
                    </w:rPr>
                    <w:t>5</w:t>
                  </w:r>
                </w:p>
              </w:tc>
              <w:tc>
                <w:tcPr>
                  <w:tcW w:w="3347" w:type="dxa"/>
                  <w:noWrap w:val="0"/>
                  <w:vAlign w:val="center"/>
                </w:tcPr>
                <w:p>
                  <w:pPr>
                    <w:adjustRightInd w:val="0"/>
                    <w:jc w:val="center"/>
                    <w:rPr>
                      <w:szCs w:val="21"/>
                    </w:rPr>
                  </w:pPr>
                  <w:r>
                    <w:rPr>
                      <w:rFonts w:hint="eastAsia"/>
                      <w:szCs w:val="21"/>
                    </w:rPr>
                    <w:t>氨氮（</w:t>
                  </w:r>
                  <w:r>
                    <w:rPr>
                      <w:szCs w:val="21"/>
                    </w:rPr>
                    <w:t>mg/</w:t>
                  </w:r>
                  <w:r>
                    <w:rPr>
                      <w:rFonts w:hint="eastAsia"/>
                      <w:szCs w:val="21"/>
                    </w:rPr>
                    <w:t>L）</w:t>
                  </w:r>
                </w:p>
              </w:tc>
              <w:tc>
                <w:tcPr>
                  <w:tcW w:w="2112" w:type="dxa"/>
                  <w:noWrap w:val="0"/>
                  <w:vAlign w:val="center"/>
                </w:tcPr>
                <w:p>
                  <w:pPr>
                    <w:adjustRightInd w:val="0"/>
                    <w:jc w:val="center"/>
                    <w:rPr>
                      <w:szCs w:val="21"/>
                    </w:rPr>
                  </w:pPr>
                  <w:r>
                    <w:rPr>
                      <w:rFonts w:hint="eastAsia"/>
                      <w:szCs w:val="21"/>
                    </w:rPr>
                    <w:t>—</w:t>
                  </w:r>
                </w:p>
              </w:tc>
              <w:tc>
                <w:tcPr>
                  <w:tcW w:w="1732" w:type="dxa"/>
                  <w:noWrap w:val="0"/>
                  <w:vAlign w:val="center"/>
                </w:tcPr>
                <w:p>
                  <w:pPr>
                    <w:adjustRightInd w:val="0"/>
                    <w:jc w:val="center"/>
                    <w:rPr>
                      <w:szCs w:val="21"/>
                    </w:rPr>
                  </w:pPr>
                  <w:r>
                    <w:rPr>
                      <w:rFonts w:hint="eastAsia"/>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1256" w:type="dxa"/>
                  <w:noWrap w:val="0"/>
                  <w:vAlign w:val="center"/>
                </w:tcPr>
                <w:p>
                  <w:pPr>
                    <w:adjustRightInd w:val="0"/>
                    <w:jc w:val="center"/>
                    <w:rPr>
                      <w:szCs w:val="21"/>
                    </w:rPr>
                  </w:pPr>
                  <w:r>
                    <w:rPr>
                      <w:rFonts w:hint="eastAsia"/>
                      <w:szCs w:val="21"/>
                    </w:rPr>
                    <w:t>6</w:t>
                  </w:r>
                </w:p>
              </w:tc>
              <w:tc>
                <w:tcPr>
                  <w:tcW w:w="3347" w:type="dxa"/>
                  <w:noWrap w:val="0"/>
                  <w:vAlign w:val="center"/>
                </w:tcPr>
                <w:p>
                  <w:pPr>
                    <w:adjustRightInd w:val="0"/>
                    <w:jc w:val="center"/>
                    <w:rPr>
                      <w:szCs w:val="21"/>
                    </w:rPr>
                  </w:pPr>
                  <w:r>
                    <w:rPr>
                      <w:rFonts w:hint="eastAsia"/>
                      <w:szCs w:val="21"/>
                    </w:rPr>
                    <w:t>总磷（以P计）</w:t>
                  </w:r>
                </w:p>
              </w:tc>
              <w:tc>
                <w:tcPr>
                  <w:tcW w:w="2112" w:type="dxa"/>
                  <w:noWrap w:val="0"/>
                  <w:vAlign w:val="center"/>
                </w:tcPr>
                <w:p>
                  <w:pPr>
                    <w:adjustRightInd w:val="0"/>
                    <w:jc w:val="center"/>
                    <w:rPr>
                      <w:szCs w:val="21"/>
                    </w:rPr>
                  </w:pPr>
                  <w:r>
                    <w:rPr>
                      <w:rFonts w:hint="eastAsia"/>
                      <w:szCs w:val="21"/>
                    </w:rPr>
                    <w:t>—</w:t>
                  </w:r>
                </w:p>
              </w:tc>
              <w:tc>
                <w:tcPr>
                  <w:tcW w:w="1732" w:type="dxa"/>
                  <w:noWrap w:val="0"/>
                  <w:vAlign w:val="center"/>
                </w:tcPr>
                <w:p>
                  <w:pPr>
                    <w:adjustRightInd w:val="0"/>
                    <w:jc w:val="center"/>
                    <w:rPr>
                      <w:szCs w:val="21"/>
                    </w:rPr>
                  </w:pPr>
                  <w:r>
                    <w:rPr>
                      <w:rFonts w:hint="eastAsia"/>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1256" w:type="dxa"/>
                  <w:noWrap w:val="0"/>
                  <w:vAlign w:val="center"/>
                </w:tcPr>
                <w:p>
                  <w:pPr>
                    <w:adjustRightInd w:val="0"/>
                    <w:jc w:val="center"/>
                    <w:rPr>
                      <w:szCs w:val="21"/>
                    </w:rPr>
                  </w:pPr>
                  <w:r>
                    <w:rPr>
                      <w:rFonts w:hint="eastAsia"/>
                      <w:szCs w:val="21"/>
                    </w:rPr>
                    <w:t>7</w:t>
                  </w:r>
                </w:p>
              </w:tc>
              <w:tc>
                <w:tcPr>
                  <w:tcW w:w="3347" w:type="dxa"/>
                  <w:noWrap w:val="0"/>
                  <w:vAlign w:val="center"/>
                </w:tcPr>
                <w:p>
                  <w:pPr>
                    <w:adjustRightInd w:val="0"/>
                    <w:jc w:val="center"/>
                    <w:rPr>
                      <w:szCs w:val="21"/>
                    </w:rPr>
                  </w:pPr>
                  <w:r>
                    <w:rPr>
                      <w:rFonts w:hint="eastAsia"/>
                      <w:szCs w:val="21"/>
                    </w:rPr>
                    <w:t>阴离子表面活性剂（LAS）（</w:t>
                  </w:r>
                  <w:r>
                    <w:rPr>
                      <w:szCs w:val="21"/>
                    </w:rPr>
                    <w:t>mg/</w:t>
                  </w:r>
                  <w:r>
                    <w:rPr>
                      <w:rFonts w:hint="eastAsia"/>
                      <w:szCs w:val="21"/>
                    </w:rPr>
                    <w:t>L）</w:t>
                  </w:r>
                </w:p>
              </w:tc>
              <w:tc>
                <w:tcPr>
                  <w:tcW w:w="2112" w:type="dxa"/>
                  <w:noWrap w:val="0"/>
                  <w:vAlign w:val="center"/>
                </w:tcPr>
                <w:p>
                  <w:pPr>
                    <w:adjustRightInd w:val="0"/>
                    <w:jc w:val="center"/>
                    <w:rPr>
                      <w:szCs w:val="21"/>
                    </w:rPr>
                  </w:pPr>
                  <w:r>
                    <w:rPr>
                      <w:rFonts w:hint="eastAsia"/>
                      <w:szCs w:val="21"/>
                    </w:rPr>
                    <w:t>20</w:t>
                  </w:r>
                </w:p>
              </w:tc>
              <w:tc>
                <w:tcPr>
                  <w:tcW w:w="1732" w:type="dxa"/>
                  <w:noWrap w:val="0"/>
                  <w:vAlign w:val="center"/>
                </w:tcPr>
                <w:p>
                  <w:pPr>
                    <w:adjustRightInd w:val="0"/>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1256" w:type="dxa"/>
                  <w:noWrap w:val="0"/>
                  <w:vAlign w:val="center"/>
                </w:tcPr>
                <w:p>
                  <w:pPr>
                    <w:adjustRightInd w:val="0"/>
                    <w:jc w:val="center"/>
                    <w:rPr>
                      <w:szCs w:val="21"/>
                    </w:rPr>
                  </w:pPr>
                  <w:r>
                    <w:rPr>
                      <w:rFonts w:hint="eastAsia"/>
                      <w:szCs w:val="21"/>
                    </w:rPr>
                    <w:t>8</w:t>
                  </w:r>
                </w:p>
              </w:tc>
              <w:tc>
                <w:tcPr>
                  <w:tcW w:w="3347" w:type="dxa"/>
                  <w:noWrap w:val="0"/>
                  <w:vAlign w:val="center"/>
                </w:tcPr>
                <w:p>
                  <w:pPr>
                    <w:adjustRightInd w:val="0"/>
                    <w:jc w:val="center"/>
                    <w:rPr>
                      <w:szCs w:val="21"/>
                    </w:rPr>
                  </w:pPr>
                  <w:r>
                    <w:rPr>
                      <w:rFonts w:hint="eastAsia"/>
                      <w:szCs w:val="21"/>
                    </w:rPr>
                    <w:t>动植物油（</w:t>
                  </w:r>
                  <w:r>
                    <w:rPr>
                      <w:szCs w:val="21"/>
                    </w:rPr>
                    <w:t>mg/</w:t>
                  </w:r>
                  <w:r>
                    <w:rPr>
                      <w:rFonts w:hint="eastAsia"/>
                      <w:szCs w:val="21"/>
                    </w:rPr>
                    <w:t>L）</w:t>
                  </w:r>
                </w:p>
              </w:tc>
              <w:tc>
                <w:tcPr>
                  <w:tcW w:w="2112" w:type="dxa"/>
                  <w:noWrap w:val="0"/>
                  <w:vAlign w:val="center"/>
                </w:tcPr>
                <w:p>
                  <w:pPr>
                    <w:adjustRightInd w:val="0"/>
                    <w:jc w:val="center"/>
                    <w:rPr>
                      <w:szCs w:val="21"/>
                    </w:rPr>
                  </w:pPr>
                  <w:r>
                    <w:rPr>
                      <w:rFonts w:hint="eastAsia"/>
                      <w:szCs w:val="21"/>
                    </w:rPr>
                    <w:t>100</w:t>
                  </w:r>
                </w:p>
              </w:tc>
              <w:tc>
                <w:tcPr>
                  <w:tcW w:w="1732" w:type="dxa"/>
                  <w:noWrap w:val="0"/>
                  <w:vAlign w:val="center"/>
                </w:tcPr>
                <w:p>
                  <w:pPr>
                    <w:adjustRightInd w:val="0"/>
                    <w:jc w:val="center"/>
                    <w:rPr>
                      <w:szCs w:val="21"/>
                    </w:rPr>
                  </w:pPr>
                  <w:r>
                    <w:rPr>
                      <w:rFonts w:hint="eastAsia"/>
                      <w:szCs w:val="21"/>
                    </w:rPr>
                    <w:t>100</w:t>
                  </w:r>
                </w:p>
              </w:tc>
            </w:tr>
          </w:tbl>
          <w:p>
            <w:pPr>
              <w:spacing w:before="156" w:beforeLines="50" w:line="360" w:lineRule="auto"/>
              <w:rPr>
                <w:b/>
                <w:sz w:val="24"/>
              </w:rPr>
            </w:pPr>
            <w:r>
              <w:rPr>
                <w:b/>
                <w:sz w:val="24"/>
              </w:rPr>
              <w:t>3、噪声</w:t>
            </w:r>
          </w:p>
          <w:p>
            <w:pPr>
              <w:pStyle w:val="12"/>
              <w:adjustRightInd w:val="0"/>
              <w:snapToGrid w:val="0"/>
              <w:spacing w:line="360" w:lineRule="auto"/>
              <w:ind w:firstLine="480"/>
              <w:rPr>
                <w:rFonts w:hAnsi="宋体"/>
                <w:sz w:val="24"/>
              </w:rPr>
            </w:pPr>
            <w:r>
              <w:rPr>
                <w:rFonts w:hint="eastAsia" w:hAnsi="宋体"/>
                <w:sz w:val="24"/>
              </w:rPr>
              <w:t>（1）</w:t>
            </w:r>
            <w:r>
              <w:rPr>
                <w:rFonts w:hAnsi="宋体"/>
                <w:sz w:val="24"/>
              </w:rPr>
              <w:t>施工期</w:t>
            </w:r>
            <w:r>
              <w:rPr>
                <w:rFonts w:hint="eastAsia" w:hAnsi="宋体"/>
                <w:sz w:val="24"/>
              </w:rPr>
              <w:t>：本项目</w:t>
            </w:r>
            <w:r>
              <w:rPr>
                <w:rFonts w:hAnsi="宋体"/>
                <w:sz w:val="24"/>
              </w:rPr>
              <w:t>执行《建筑施工场界</w:t>
            </w:r>
            <w:r>
              <w:rPr>
                <w:rFonts w:hint="eastAsia" w:hAnsi="宋体"/>
                <w:sz w:val="24"/>
              </w:rPr>
              <w:t>环境</w:t>
            </w:r>
            <w:r>
              <w:rPr>
                <w:rFonts w:hAnsi="宋体"/>
                <w:sz w:val="24"/>
              </w:rPr>
              <w:t>噪声</w:t>
            </w:r>
            <w:r>
              <w:rPr>
                <w:rFonts w:hint="eastAsia" w:hAnsi="宋体"/>
                <w:sz w:val="24"/>
              </w:rPr>
              <w:t>排放标准</w:t>
            </w:r>
            <w:r>
              <w:rPr>
                <w:rFonts w:hAnsi="宋体"/>
                <w:sz w:val="24"/>
              </w:rPr>
              <w:t>》（</w:t>
            </w:r>
            <w:r>
              <w:rPr>
                <w:sz w:val="24"/>
              </w:rPr>
              <w:t>GB12523-</w:t>
            </w:r>
            <w:r>
              <w:rPr>
                <w:rFonts w:hint="eastAsia"/>
                <w:sz w:val="24"/>
              </w:rPr>
              <w:t>2011</w:t>
            </w:r>
            <w:r>
              <w:rPr>
                <w:rFonts w:hAnsi="宋体"/>
                <w:sz w:val="24"/>
              </w:rPr>
              <w:t>）</w:t>
            </w:r>
            <w:r>
              <w:rPr>
                <w:rFonts w:hint="eastAsia" w:hAnsi="宋体"/>
                <w:sz w:val="24"/>
              </w:rPr>
              <w:t>中不同施工阶段噪声限值，见表4-11。</w:t>
            </w:r>
          </w:p>
          <w:p>
            <w:pPr>
              <w:pStyle w:val="12"/>
              <w:adjustRightInd w:val="0"/>
              <w:snapToGrid w:val="0"/>
              <w:spacing w:line="360" w:lineRule="auto"/>
              <w:ind w:left="527" w:firstLine="0" w:firstLineChars="0"/>
              <w:jc w:val="center"/>
              <w:rPr>
                <w:b/>
                <w:sz w:val="24"/>
              </w:rPr>
            </w:pPr>
            <w:r>
              <w:rPr>
                <w:rFonts w:hAnsi="宋体"/>
                <w:b/>
                <w:sz w:val="24"/>
              </w:rPr>
              <w:t>表</w:t>
            </w:r>
            <w:r>
              <w:rPr>
                <w:rFonts w:hint="eastAsia"/>
                <w:b/>
                <w:sz w:val="24"/>
              </w:rPr>
              <w:t xml:space="preserve">4-11 </w:t>
            </w:r>
            <w:r>
              <w:rPr>
                <w:rFonts w:hAnsi="宋体"/>
                <w:b/>
                <w:sz w:val="24"/>
              </w:rPr>
              <w:t>建筑施工场界</w:t>
            </w:r>
            <w:r>
              <w:rPr>
                <w:rFonts w:hint="eastAsia" w:hAnsi="宋体"/>
                <w:b/>
                <w:sz w:val="24"/>
              </w:rPr>
              <w:t>环境</w:t>
            </w:r>
            <w:r>
              <w:rPr>
                <w:rFonts w:hAnsi="宋体"/>
                <w:b/>
                <w:sz w:val="24"/>
              </w:rPr>
              <w:t>噪声</w:t>
            </w:r>
            <w:r>
              <w:rPr>
                <w:rFonts w:hint="eastAsia" w:hAnsi="宋体"/>
                <w:b/>
                <w:sz w:val="24"/>
              </w:rPr>
              <w:t>排放标准</w:t>
            </w:r>
            <w:r>
              <w:rPr>
                <w:b/>
                <w:sz w:val="24"/>
              </w:rPr>
              <w:t>[Leq</w:t>
            </w:r>
            <w:r>
              <w:rPr>
                <w:rFonts w:hAnsi="宋体"/>
                <w:b/>
                <w:sz w:val="24"/>
              </w:rPr>
              <w:t>：</w:t>
            </w:r>
            <w:r>
              <w:rPr>
                <w:b/>
                <w:sz w:val="24"/>
              </w:rPr>
              <w:t>dB</w:t>
            </w:r>
            <w:r>
              <w:rPr>
                <w:rFonts w:hAnsi="宋体"/>
                <w:b/>
                <w:sz w:val="24"/>
              </w:rPr>
              <w:t>（</w:t>
            </w:r>
            <w:r>
              <w:rPr>
                <w:b/>
                <w:sz w:val="24"/>
              </w:rPr>
              <w:t>A</w:t>
            </w:r>
            <w:r>
              <w:rPr>
                <w:rFonts w:hAnsi="宋体"/>
                <w:b/>
                <w:sz w:val="24"/>
              </w:rPr>
              <w:t>）</w:t>
            </w:r>
            <w:r>
              <w:rPr>
                <w:b/>
                <w:sz w:val="24"/>
              </w:rPr>
              <w:t>]</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325"/>
              <w:gridCol w:w="41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trHeight w:val="228" w:hRule="atLeast"/>
                <w:jc w:val="center"/>
              </w:trPr>
              <w:tc>
                <w:tcPr>
                  <w:tcW w:w="4325" w:type="dxa"/>
                  <w:noWrap w:val="0"/>
                  <w:vAlign w:val="center"/>
                </w:tcPr>
                <w:p>
                  <w:pPr>
                    <w:jc w:val="center"/>
                    <w:rPr>
                      <w:szCs w:val="21"/>
                    </w:rPr>
                  </w:pPr>
                  <w:r>
                    <w:rPr>
                      <w:rFonts w:hint="eastAsia" w:hAnsi="宋体"/>
                      <w:szCs w:val="21"/>
                    </w:rPr>
                    <w:t>昼间</w:t>
                  </w:r>
                </w:p>
              </w:tc>
              <w:tc>
                <w:tcPr>
                  <w:tcW w:w="4112" w:type="dxa"/>
                  <w:noWrap w:val="0"/>
                  <w:vAlign w:val="center"/>
                </w:tcPr>
                <w:p>
                  <w:pPr>
                    <w:jc w:val="center"/>
                    <w:rPr>
                      <w:szCs w:val="21"/>
                    </w:rPr>
                  </w:pPr>
                  <w:r>
                    <w:rPr>
                      <w:rFonts w:hint="eastAsia" w:hAnsi="宋体"/>
                      <w:szCs w:val="21"/>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trHeight w:val="323" w:hRule="atLeast"/>
                <w:jc w:val="center"/>
              </w:trPr>
              <w:tc>
                <w:tcPr>
                  <w:tcW w:w="4325" w:type="dxa"/>
                  <w:noWrap w:val="0"/>
                  <w:vAlign w:val="center"/>
                </w:tcPr>
                <w:p>
                  <w:pPr>
                    <w:jc w:val="center"/>
                    <w:rPr>
                      <w:szCs w:val="21"/>
                    </w:rPr>
                  </w:pPr>
                  <w:r>
                    <w:rPr>
                      <w:rFonts w:hint="eastAsia" w:hAnsi="宋体"/>
                      <w:szCs w:val="21"/>
                    </w:rPr>
                    <w:t>70</w:t>
                  </w:r>
                </w:p>
              </w:tc>
              <w:tc>
                <w:tcPr>
                  <w:tcW w:w="4112" w:type="dxa"/>
                  <w:noWrap w:val="0"/>
                  <w:vAlign w:val="center"/>
                </w:tcPr>
                <w:p>
                  <w:pPr>
                    <w:jc w:val="center"/>
                    <w:rPr>
                      <w:szCs w:val="21"/>
                    </w:rPr>
                  </w:pPr>
                  <w:r>
                    <w:rPr>
                      <w:rFonts w:hint="eastAsia" w:hAnsi="宋体"/>
                      <w:szCs w:val="21"/>
                    </w:rPr>
                    <w:t>55</w:t>
                  </w:r>
                </w:p>
              </w:tc>
            </w:tr>
          </w:tbl>
          <w:p>
            <w:pPr>
              <w:pStyle w:val="12"/>
              <w:adjustRightInd w:val="0"/>
              <w:snapToGrid w:val="0"/>
              <w:spacing w:before="156" w:beforeLines="50" w:line="360" w:lineRule="auto"/>
              <w:ind w:firstLine="480"/>
              <w:rPr>
                <w:rFonts w:hAnsi="宋体"/>
                <w:sz w:val="24"/>
              </w:rPr>
            </w:pPr>
            <w:r>
              <w:rPr>
                <w:rFonts w:hint="eastAsia" w:hAnsi="宋体"/>
                <w:sz w:val="24"/>
              </w:rPr>
              <w:t>（2）营运期：社会商业活动噪声执行《社会生活环境噪声排放标准》（GB22337-2008）的2类标准和4类标准。标准值见表4-12。</w:t>
            </w:r>
          </w:p>
          <w:p>
            <w:pPr>
              <w:pStyle w:val="81"/>
              <w:spacing w:before="0" w:beforeLines="0" w:line="360" w:lineRule="auto"/>
              <w:ind w:firstLine="482"/>
              <w:rPr>
                <w:rFonts w:ascii="Times New Roman"/>
                <w:b/>
              </w:rPr>
            </w:pPr>
            <w:r>
              <w:rPr>
                <w:b/>
                <w:lang w:val="zh-CN"/>
              </w:rPr>
              <w:t>表</w:t>
            </w:r>
            <w:r>
              <w:rPr>
                <w:rFonts w:hint="eastAsia"/>
                <w:b/>
                <w:lang w:val="zh-CN"/>
              </w:rPr>
              <w:t>4-12  社会生活环境噪声排放标准</w:t>
            </w:r>
            <w:r>
              <w:rPr>
                <w:rFonts w:ascii="Times New Roman"/>
                <w:b/>
              </w:rPr>
              <w:t xml:space="preserve">   （单位：dB（A））</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9"/>
              <w:gridCol w:w="2203"/>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3679" w:type="dxa"/>
                  <w:noWrap/>
                  <w:vAlign w:val="center"/>
                </w:tcPr>
                <w:p>
                  <w:pPr>
                    <w:tabs>
                      <w:tab w:val="left" w:pos="1050"/>
                    </w:tabs>
                    <w:spacing w:line="340" w:lineRule="exact"/>
                    <w:jc w:val="center"/>
                    <w:rPr>
                      <w:rFonts w:hAnsi="宋体"/>
                      <w:szCs w:val="21"/>
                    </w:rPr>
                  </w:pPr>
                  <w:r>
                    <w:rPr>
                      <w:rFonts w:hAnsi="宋体"/>
                      <w:szCs w:val="21"/>
                    </w:rPr>
                    <w:t>执行类</w:t>
                  </w:r>
                  <w:r>
                    <w:rPr>
                      <w:rFonts w:hAnsi="宋体"/>
                      <w:szCs w:val="21"/>
                    </w:rPr>
                    <w:cr/>
                  </w:r>
                </w:p>
              </w:tc>
              <w:tc>
                <w:tcPr>
                  <w:tcW w:w="2203" w:type="dxa"/>
                  <w:noWrap/>
                  <w:vAlign w:val="center"/>
                </w:tcPr>
                <w:p>
                  <w:pPr>
                    <w:tabs>
                      <w:tab w:val="left" w:pos="1050"/>
                    </w:tabs>
                    <w:spacing w:line="340" w:lineRule="exact"/>
                    <w:jc w:val="center"/>
                    <w:rPr>
                      <w:rFonts w:hAnsi="宋体"/>
                      <w:szCs w:val="21"/>
                    </w:rPr>
                  </w:pPr>
                  <w:r>
                    <w:rPr>
                      <w:rFonts w:hAnsi="宋体"/>
                      <w:szCs w:val="21"/>
                    </w:rPr>
                    <w:t>昼</w:t>
                  </w:r>
                  <w:r>
                    <w:rPr>
                      <w:rFonts w:hAnsi="宋体"/>
                      <w:szCs w:val="21"/>
                    </w:rPr>
                    <w:cr/>
                  </w:r>
                </w:p>
              </w:tc>
              <w:tc>
                <w:tcPr>
                  <w:tcW w:w="2565" w:type="dxa"/>
                  <w:noWrap/>
                  <w:vAlign w:val="center"/>
                </w:tcPr>
                <w:p>
                  <w:pPr>
                    <w:tabs>
                      <w:tab w:val="left" w:pos="1050"/>
                    </w:tabs>
                    <w:spacing w:line="340" w:lineRule="exact"/>
                    <w:jc w:val="center"/>
                    <w:rPr>
                      <w:rFonts w:hAnsi="宋体"/>
                      <w:szCs w:val="21"/>
                    </w:rPr>
                  </w:pPr>
                  <w:r>
                    <w:rPr>
                      <w:rFonts w:hAnsi="宋体"/>
                      <w:szCs w:val="21"/>
                    </w:rPr>
                    <w:t>夜</w:t>
                  </w:r>
                  <w:r>
                    <w:rPr>
                      <w:rFonts w:hAnsi="宋体"/>
                      <w:szCs w:val="21"/>
                    </w:rPr>
                    <w:c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3679" w:type="dxa"/>
                  <w:noWrap/>
                  <w:vAlign w:val="center"/>
                </w:tcPr>
                <w:p>
                  <w:pPr>
                    <w:tabs>
                      <w:tab w:val="left" w:pos="1050"/>
                    </w:tabs>
                    <w:spacing w:line="340" w:lineRule="exact"/>
                    <w:jc w:val="center"/>
                    <w:rPr>
                      <w:rFonts w:hAnsi="宋体"/>
                      <w:szCs w:val="21"/>
                    </w:rPr>
                  </w:pPr>
                  <w:r>
                    <w:rPr>
                      <w:rFonts w:hAnsi="宋体"/>
                      <w:szCs w:val="21"/>
                    </w:rPr>
                    <w:t>2类</w:t>
                  </w:r>
                </w:p>
              </w:tc>
              <w:tc>
                <w:tcPr>
                  <w:tcW w:w="2203" w:type="dxa"/>
                  <w:noWrap/>
                  <w:vAlign w:val="center"/>
                </w:tcPr>
                <w:p>
                  <w:pPr>
                    <w:tabs>
                      <w:tab w:val="left" w:pos="1050"/>
                    </w:tabs>
                    <w:spacing w:line="340" w:lineRule="exact"/>
                    <w:jc w:val="center"/>
                    <w:rPr>
                      <w:rFonts w:hAnsi="宋体"/>
                      <w:szCs w:val="21"/>
                    </w:rPr>
                  </w:pPr>
                  <w:r>
                    <w:rPr>
                      <w:rFonts w:hint="eastAsia" w:hAnsi="宋体"/>
                      <w:szCs w:val="21"/>
                    </w:rPr>
                    <w:t>60</w:t>
                  </w:r>
                </w:p>
              </w:tc>
              <w:tc>
                <w:tcPr>
                  <w:tcW w:w="2565" w:type="dxa"/>
                  <w:noWrap/>
                  <w:vAlign w:val="center"/>
                </w:tcPr>
                <w:p>
                  <w:pPr>
                    <w:tabs>
                      <w:tab w:val="left" w:pos="1050"/>
                    </w:tabs>
                    <w:spacing w:line="340" w:lineRule="exact"/>
                    <w:jc w:val="center"/>
                    <w:rPr>
                      <w:rFonts w:hAnsi="宋体"/>
                      <w:szCs w:val="21"/>
                    </w:rPr>
                  </w:pPr>
                  <w:r>
                    <w:rPr>
                      <w:rFonts w:hint="eastAsia" w:hAnsi="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3679" w:type="dxa"/>
                  <w:noWrap/>
                  <w:vAlign w:val="center"/>
                </w:tcPr>
                <w:p>
                  <w:pPr>
                    <w:tabs>
                      <w:tab w:val="left" w:pos="1050"/>
                    </w:tabs>
                    <w:spacing w:line="340" w:lineRule="exact"/>
                    <w:jc w:val="center"/>
                    <w:rPr>
                      <w:rFonts w:hAnsi="宋体"/>
                      <w:szCs w:val="21"/>
                    </w:rPr>
                  </w:pPr>
                  <w:r>
                    <w:rPr>
                      <w:rFonts w:hint="eastAsia" w:hAnsi="宋体"/>
                      <w:szCs w:val="21"/>
                    </w:rPr>
                    <w:t>4类</w:t>
                  </w:r>
                </w:p>
              </w:tc>
              <w:tc>
                <w:tcPr>
                  <w:tcW w:w="2203" w:type="dxa"/>
                  <w:noWrap/>
                  <w:vAlign w:val="center"/>
                </w:tcPr>
                <w:p>
                  <w:pPr>
                    <w:tabs>
                      <w:tab w:val="left" w:pos="1050"/>
                    </w:tabs>
                    <w:spacing w:line="340" w:lineRule="exact"/>
                    <w:jc w:val="center"/>
                    <w:rPr>
                      <w:rFonts w:hint="eastAsia" w:hAnsi="宋体"/>
                      <w:szCs w:val="21"/>
                    </w:rPr>
                  </w:pPr>
                  <w:r>
                    <w:rPr>
                      <w:rFonts w:hint="eastAsia" w:hAnsi="宋体"/>
                      <w:szCs w:val="21"/>
                    </w:rPr>
                    <w:t>70</w:t>
                  </w:r>
                </w:p>
              </w:tc>
              <w:tc>
                <w:tcPr>
                  <w:tcW w:w="2565" w:type="dxa"/>
                  <w:noWrap/>
                  <w:vAlign w:val="center"/>
                </w:tcPr>
                <w:p>
                  <w:pPr>
                    <w:tabs>
                      <w:tab w:val="left" w:pos="1050"/>
                    </w:tabs>
                    <w:spacing w:line="340" w:lineRule="exact"/>
                    <w:jc w:val="center"/>
                    <w:rPr>
                      <w:rFonts w:hint="eastAsia" w:hAnsi="宋体"/>
                      <w:szCs w:val="21"/>
                    </w:rPr>
                  </w:pPr>
                  <w:r>
                    <w:rPr>
                      <w:rFonts w:hint="eastAsia" w:hAnsi="宋体"/>
                      <w:szCs w:val="21"/>
                    </w:rPr>
                    <w:t>55</w:t>
                  </w:r>
                </w:p>
              </w:tc>
            </w:tr>
          </w:tbl>
          <w:p>
            <w:pPr>
              <w:spacing w:before="156" w:beforeLines="50" w:line="360" w:lineRule="auto"/>
              <w:rPr>
                <w:b/>
                <w:sz w:val="24"/>
              </w:rPr>
            </w:pPr>
            <w:r>
              <w:rPr>
                <w:rFonts w:hint="eastAsia"/>
                <w:b/>
                <w:sz w:val="24"/>
              </w:rPr>
              <w:t>4、固体废弃物</w:t>
            </w:r>
          </w:p>
          <w:p>
            <w:pPr>
              <w:spacing w:line="360" w:lineRule="auto"/>
              <w:ind w:firstLine="480" w:firstLineChars="200"/>
              <w:rPr>
                <w:rFonts w:hint="eastAsia"/>
                <w:sz w:val="24"/>
              </w:rPr>
            </w:pPr>
            <w:r>
              <w:rPr>
                <w:rFonts w:hint="eastAsia"/>
                <w:sz w:val="24"/>
              </w:rPr>
              <w:t>生活垃圾收集后统一清运。</w:t>
            </w:r>
          </w:p>
          <w:p>
            <w:pPr>
              <w:spacing w:line="360" w:lineRule="auto"/>
              <w:ind w:firstLine="480" w:firstLineChars="200"/>
              <w:rPr>
                <w:rFonts w:hint="eastAsia"/>
                <w:color w:val="FF0000"/>
                <w:sz w:val="24"/>
              </w:rPr>
            </w:pPr>
          </w:p>
          <w:p>
            <w:pPr>
              <w:spacing w:line="360" w:lineRule="auto"/>
              <w:ind w:firstLine="480" w:firstLineChars="200"/>
              <w:rPr>
                <w:rFonts w:hint="eastAsia"/>
                <w:color w:val="FF0000"/>
                <w:sz w:val="24"/>
              </w:rPr>
            </w:pPr>
          </w:p>
          <w:p>
            <w:pPr>
              <w:spacing w:line="360" w:lineRule="auto"/>
              <w:ind w:firstLine="480" w:firstLineChars="200"/>
              <w:rPr>
                <w:rFonts w:hint="eastAsia"/>
                <w:color w:val="FF0000"/>
                <w:sz w:val="24"/>
              </w:rPr>
            </w:pPr>
          </w:p>
          <w:p>
            <w:pPr>
              <w:spacing w:line="360" w:lineRule="auto"/>
              <w:ind w:firstLine="480" w:firstLineChars="200"/>
              <w:rPr>
                <w:rFonts w:hint="eastAsia"/>
                <w:color w:val="FF0000"/>
                <w:sz w:val="24"/>
              </w:rPr>
            </w:pPr>
          </w:p>
          <w:p>
            <w:pPr>
              <w:spacing w:line="360" w:lineRule="auto"/>
              <w:ind w:firstLine="480" w:firstLineChars="200"/>
              <w:rPr>
                <w:rFonts w:hint="eastAsia"/>
                <w:color w:val="FF0000"/>
                <w:sz w:val="24"/>
              </w:rPr>
            </w:pPr>
          </w:p>
          <w:p>
            <w:pPr>
              <w:spacing w:line="360" w:lineRule="auto"/>
              <w:ind w:firstLine="480" w:firstLineChars="200"/>
              <w:rPr>
                <w:bCs/>
                <w:color w:val="FF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322" w:hRule="atLeast"/>
          <w:jc w:val="center"/>
        </w:trPr>
        <w:tc>
          <w:tcPr>
            <w:tcW w:w="613" w:type="dxa"/>
            <w:noWrap w:val="0"/>
            <w:vAlign w:val="top"/>
          </w:tcPr>
          <w:p>
            <w:pPr>
              <w:spacing w:line="360" w:lineRule="auto"/>
              <w:jc w:val="center"/>
              <w:rPr>
                <w:rFonts w:hint="eastAsia" w:hAnsi="宋体"/>
                <w:b/>
                <w:sz w:val="24"/>
              </w:rPr>
            </w:pPr>
          </w:p>
          <w:p>
            <w:pPr>
              <w:spacing w:line="360" w:lineRule="auto"/>
              <w:jc w:val="center"/>
              <w:rPr>
                <w:rFonts w:hint="eastAsia" w:hAnsi="宋体"/>
                <w:b/>
                <w:sz w:val="24"/>
              </w:rPr>
            </w:pPr>
          </w:p>
          <w:p>
            <w:pPr>
              <w:spacing w:line="360" w:lineRule="auto"/>
              <w:jc w:val="center"/>
              <w:rPr>
                <w:rFonts w:hint="eastAsia" w:hAnsi="宋体"/>
                <w:b/>
                <w:sz w:val="24"/>
              </w:rPr>
            </w:pPr>
          </w:p>
          <w:p>
            <w:pPr>
              <w:spacing w:line="360" w:lineRule="auto"/>
              <w:jc w:val="center"/>
              <w:rPr>
                <w:rFonts w:hint="eastAsia" w:hAnsi="宋体"/>
                <w:b/>
                <w:sz w:val="24"/>
              </w:rPr>
            </w:pPr>
          </w:p>
          <w:p>
            <w:pPr>
              <w:spacing w:line="360" w:lineRule="auto"/>
              <w:jc w:val="center"/>
              <w:rPr>
                <w:rFonts w:hint="eastAsia" w:hAnsi="宋体"/>
                <w:b/>
                <w:sz w:val="24"/>
              </w:rPr>
            </w:pPr>
          </w:p>
          <w:p>
            <w:pPr>
              <w:spacing w:line="360" w:lineRule="auto"/>
              <w:jc w:val="center"/>
              <w:rPr>
                <w:rFonts w:hint="eastAsia" w:hAnsi="宋体"/>
                <w:b/>
                <w:sz w:val="24"/>
              </w:rPr>
            </w:pPr>
          </w:p>
          <w:p>
            <w:pPr>
              <w:spacing w:line="360" w:lineRule="auto"/>
              <w:jc w:val="center"/>
              <w:rPr>
                <w:rFonts w:hint="eastAsia" w:hAnsi="宋体"/>
                <w:b/>
                <w:sz w:val="24"/>
              </w:rPr>
            </w:pPr>
          </w:p>
          <w:p>
            <w:pPr>
              <w:spacing w:line="360" w:lineRule="auto"/>
              <w:jc w:val="center"/>
              <w:rPr>
                <w:b/>
                <w:sz w:val="24"/>
              </w:rPr>
            </w:pPr>
            <w:r>
              <w:rPr>
                <w:rFonts w:hAnsi="宋体"/>
                <w:b/>
                <w:sz w:val="24"/>
              </w:rPr>
              <w:t>总量控制指标</w:t>
            </w:r>
          </w:p>
        </w:tc>
        <w:tc>
          <w:tcPr>
            <w:tcW w:w="8673" w:type="dxa"/>
            <w:noWrap w:val="0"/>
            <w:vAlign w:val="top"/>
          </w:tcPr>
          <w:p>
            <w:pPr>
              <w:spacing w:line="480" w:lineRule="exact"/>
              <w:ind w:firstLine="482" w:firstLineChars="200"/>
              <w:rPr>
                <w:b/>
                <w:sz w:val="24"/>
              </w:rPr>
            </w:pPr>
            <w:r>
              <w:rPr>
                <w:rFonts w:hAnsi="宋体"/>
                <w:b/>
                <w:sz w:val="24"/>
              </w:rPr>
              <w:t>根据本工程的具体情况，结合国家污染物排放总量控制原则，列出本工程需执行的总量控制指标：</w:t>
            </w:r>
          </w:p>
          <w:p>
            <w:pPr>
              <w:pStyle w:val="15"/>
              <w:adjustRightInd w:val="0"/>
              <w:snapToGrid w:val="0"/>
              <w:spacing w:line="360" w:lineRule="auto"/>
              <w:ind w:firstLine="480" w:firstLineChars="200"/>
              <w:rPr>
                <w:sz w:val="24"/>
                <w:highlight w:val="yellow"/>
              </w:rPr>
            </w:pPr>
            <w:r>
              <w:rPr>
                <w:sz w:val="24"/>
              </w:rPr>
              <w:t>1、废气：本项目营运期产生的废气主要来源于汽车进出时产生的尾气</w:t>
            </w:r>
            <w:r>
              <w:rPr>
                <w:rFonts w:hint="eastAsia"/>
                <w:sz w:val="24"/>
              </w:rPr>
              <w:t>等</w:t>
            </w:r>
            <w:r>
              <w:rPr>
                <w:sz w:val="24"/>
              </w:rPr>
              <w:t>，均为无组织排放，排放量较小。</w:t>
            </w:r>
          </w:p>
          <w:p>
            <w:pPr>
              <w:spacing w:line="360" w:lineRule="auto"/>
              <w:ind w:firstLine="480" w:firstLineChars="200"/>
              <w:rPr>
                <w:sz w:val="24"/>
              </w:rPr>
            </w:pPr>
            <w:r>
              <w:rPr>
                <w:sz w:val="24"/>
              </w:rPr>
              <w:t>2、废水：本项目废水主要为生活污水，废水</w:t>
            </w:r>
            <w:r>
              <w:rPr>
                <w:rFonts w:hint="eastAsia"/>
                <w:sz w:val="24"/>
              </w:rPr>
              <w:t>排放量</w:t>
            </w:r>
            <w:r>
              <w:rPr>
                <w:sz w:val="24"/>
              </w:rPr>
              <w:t>为162.67m</w:t>
            </w:r>
            <w:r>
              <w:rPr>
                <w:sz w:val="24"/>
                <w:vertAlign w:val="superscript"/>
              </w:rPr>
              <w:t>3</w:t>
            </w:r>
            <w:r>
              <w:rPr>
                <w:sz w:val="24"/>
              </w:rPr>
              <w:t xml:space="preserve">/d。 </w:t>
            </w:r>
            <w:r>
              <w:rPr>
                <w:rFonts w:hint="eastAsia" w:hAnsi="宋体"/>
                <w:sz w:val="24"/>
              </w:rPr>
              <w:t>CODcr排放总量</w:t>
            </w:r>
            <w:r>
              <w:rPr>
                <w:rFonts w:hAnsi="宋体"/>
                <w:sz w:val="24"/>
              </w:rPr>
              <w:t>25.23</w:t>
            </w:r>
            <w:r>
              <w:rPr>
                <w:rFonts w:hint="eastAsia" w:hAnsi="宋体"/>
                <w:sz w:val="24"/>
              </w:rPr>
              <w:t>t/a，氨氮排放总量</w:t>
            </w:r>
            <w:r>
              <w:rPr>
                <w:rFonts w:hAnsi="宋体"/>
                <w:sz w:val="24"/>
              </w:rPr>
              <w:t>2.57</w:t>
            </w:r>
            <w:r>
              <w:rPr>
                <w:rFonts w:hint="eastAsia" w:hAnsi="宋体"/>
                <w:sz w:val="24"/>
              </w:rPr>
              <w:t>t/a。</w:t>
            </w:r>
          </w:p>
          <w:p>
            <w:pPr>
              <w:adjustRightInd w:val="0"/>
              <w:snapToGrid w:val="0"/>
              <w:spacing w:line="360" w:lineRule="auto"/>
              <w:ind w:firstLine="480" w:firstLineChars="200"/>
              <w:rPr>
                <w:rFonts w:hint="eastAsia"/>
                <w:sz w:val="24"/>
              </w:rPr>
            </w:pPr>
            <w:r>
              <w:rPr>
                <w:rFonts w:hint="eastAsia" w:hAnsi="宋体"/>
                <w:sz w:val="24"/>
              </w:rPr>
              <w:t>本项目废水</w:t>
            </w:r>
            <w:r>
              <w:rPr>
                <w:rFonts w:hint="eastAsia"/>
                <w:sz w:val="24"/>
              </w:rPr>
              <w:t>产生量为2</w:t>
            </w:r>
            <w:r>
              <w:rPr>
                <w:sz w:val="24"/>
              </w:rPr>
              <w:t>63.94</w:t>
            </w:r>
            <w:r>
              <w:rPr>
                <w:rFonts w:eastAsia="新宋体"/>
                <w:bCs/>
                <w:sz w:val="24"/>
              </w:rPr>
              <w:t xml:space="preserve"> m</w:t>
            </w:r>
            <w:r>
              <w:rPr>
                <w:rFonts w:eastAsia="新宋体"/>
                <w:bCs/>
                <w:sz w:val="24"/>
                <w:vertAlign w:val="superscript"/>
              </w:rPr>
              <w:t>3</w:t>
            </w:r>
            <w:r>
              <w:rPr>
                <w:rFonts w:eastAsia="新宋体"/>
                <w:bCs/>
                <w:sz w:val="24"/>
              </w:rPr>
              <w:t>/d，</w:t>
            </w:r>
            <w:r>
              <w:rPr>
                <w:rFonts w:hint="eastAsia" w:eastAsia="新宋体"/>
                <w:bCs/>
                <w:sz w:val="24"/>
              </w:rPr>
              <w:t>其中</w:t>
            </w:r>
            <w:r>
              <w:rPr>
                <w:rFonts w:hint="eastAsia"/>
                <w:sz w:val="24"/>
              </w:rPr>
              <w:t>101.27m</w:t>
            </w:r>
            <w:r>
              <w:rPr>
                <w:rFonts w:hint="eastAsia"/>
                <w:sz w:val="24"/>
                <w:vertAlign w:val="superscript"/>
              </w:rPr>
              <w:t>3</w:t>
            </w:r>
            <w:r>
              <w:rPr>
                <w:rFonts w:hint="eastAsia"/>
                <w:sz w:val="24"/>
              </w:rPr>
              <w:t>/d进入中水处理站处理后回用，剩余</w:t>
            </w:r>
            <w:r>
              <w:rPr>
                <w:sz w:val="24"/>
              </w:rPr>
              <w:t>162.67m</w:t>
            </w:r>
            <w:r>
              <w:rPr>
                <w:sz w:val="24"/>
                <w:vertAlign w:val="superscript"/>
              </w:rPr>
              <w:t>3</w:t>
            </w:r>
            <w:r>
              <w:rPr>
                <w:sz w:val="24"/>
              </w:rPr>
              <w:t>/d</w:t>
            </w:r>
            <w:r>
              <w:rPr>
                <w:rFonts w:hint="eastAsia"/>
                <w:sz w:val="24"/>
              </w:rPr>
              <w:t>废水</w:t>
            </w:r>
            <w:r>
              <w:rPr>
                <w:rFonts w:hint="eastAsia" w:hAnsi="宋体"/>
                <w:sz w:val="24"/>
              </w:rPr>
              <w:t>经化粪池处理达到</w:t>
            </w:r>
            <w:r>
              <w:rPr>
                <w:rFonts w:hAnsi="宋体"/>
                <w:sz w:val="24"/>
              </w:rPr>
              <w:t>《污水综合排放标准》三级</w:t>
            </w:r>
            <w:r>
              <w:rPr>
                <w:rFonts w:hint="eastAsia" w:hAnsi="宋体"/>
                <w:sz w:val="24"/>
              </w:rPr>
              <w:t>排放</w:t>
            </w:r>
            <w:r>
              <w:rPr>
                <w:rFonts w:hAnsi="宋体"/>
                <w:sz w:val="24"/>
              </w:rPr>
              <w:t>标准</w:t>
            </w:r>
            <w:r>
              <w:rPr>
                <w:rFonts w:hint="eastAsia" w:hAnsi="宋体"/>
                <w:sz w:val="24"/>
              </w:rPr>
              <w:t>及</w:t>
            </w:r>
            <w:r>
              <w:rPr>
                <w:rFonts w:hAnsi="宋体"/>
                <w:sz w:val="24"/>
              </w:rPr>
              <w:t>《污水排入</w:t>
            </w:r>
            <w:r>
              <w:rPr>
                <w:rFonts w:hint="eastAsia" w:hAnsi="宋体"/>
                <w:sz w:val="24"/>
              </w:rPr>
              <w:t>城镇</w:t>
            </w:r>
            <w:r>
              <w:rPr>
                <w:rFonts w:hAnsi="宋体"/>
                <w:sz w:val="24"/>
              </w:rPr>
              <w:t>下水道水质标准》（</w:t>
            </w:r>
            <w:r>
              <w:rPr>
                <w:sz w:val="24"/>
              </w:rPr>
              <w:t>CJ</w:t>
            </w:r>
            <w:r>
              <w:rPr>
                <w:rFonts w:hint="eastAsia"/>
                <w:sz w:val="24"/>
              </w:rPr>
              <w:t>343</w:t>
            </w:r>
            <w:r>
              <w:rPr>
                <w:sz w:val="24"/>
              </w:rPr>
              <w:t>-</w:t>
            </w:r>
            <w:r>
              <w:rPr>
                <w:rFonts w:hint="eastAsia"/>
                <w:sz w:val="24"/>
              </w:rPr>
              <w:t>2010</w:t>
            </w:r>
            <w:r>
              <w:rPr>
                <w:rFonts w:hAnsi="宋体"/>
                <w:sz w:val="24"/>
              </w:rPr>
              <w:t>）</w:t>
            </w:r>
            <w:r>
              <w:rPr>
                <w:rFonts w:hint="eastAsia" w:hAnsi="宋体"/>
                <w:sz w:val="24"/>
              </w:rPr>
              <w:t>标准后排入市政污水管网，进入</w:t>
            </w:r>
            <w:r>
              <w:rPr>
                <w:rFonts w:hint="eastAsia"/>
                <w:sz w:val="24"/>
              </w:rPr>
              <w:t>维西县</w:t>
            </w:r>
            <w:r>
              <w:rPr>
                <w:sz w:val="24"/>
              </w:rPr>
              <w:t>污水处理厂处理。</w:t>
            </w:r>
          </w:p>
          <w:p>
            <w:pPr>
              <w:adjustRightInd w:val="0"/>
              <w:snapToGrid w:val="0"/>
              <w:spacing w:line="360" w:lineRule="auto"/>
              <w:ind w:firstLine="480" w:firstLineChars="200"/>
              <w:rPr>
                <w:sz w:val="24"/>
              </w:rPr>
            </w:pPr>
            <w:r>
              <w:rPr>
                <w:sz w:val="24"/>
              </w:rPr>
              <w:t>3</w:t>
            </w:r>
            <w:r>
              <w:rPr>
                <w:rFonts w:hAnsi="宋体"/>
                <w:sz w:val="24"/>
              </w:rPr>
              <w:t>、固体废弃物：</w:t>
            </w:r>
            <w:r>
              <w:rPr>
                <w:rFonts w:hint="eastAsia" w:hAnsi="宋体"/>
                <w:sz w:val="24"/>
              </w:rPr>
              <w:t>生活垃圾委托环卫部门清运处置，不随意丢弃。固体废物处置率100%，不设外排总量。</w:t>
            </w:r>
          </w:p>
          <w:p>
            <w:pPr>
              <w:spacing w:line="360" w:lineRule="auto"/>
              <w:ind w:firstLine="480" w:firstLineChars="200"/>
              <w:rPr>
                <w:sz w:val="24"/>
              </w:rPr>
            </w:pPr>
          </w:p>
          <w:p>
            <w:pPr>
              <w:spacing w:line="480" w:lineRule="exact"/>
              <w:ind w:firstLine="480" w:firstLineChars="200"/>
              <w:rPr>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sz w:val="24"/>
              </w:rPr>
            </w:pPr>
          </w:p>
        </w:tc>
      </w:tr>
    </w:tbl>
    <w:p>
      <w:pPr>
        <w:pStyle w:val="3"/>
        <w:keepNext w:val="0"/>
        <w:pageBreakBefore/>
        <w:widowControl/>
        <w:autoSpaceDE w:val="0"/>
        <w:autoSpaceDN w:val="0"/>
        <w:adjustRightInd w:val="0"/>
        <w:jc w:val="left"/>
        <w:rPr>
          <w:b/>
          <w:spacing w:val="20"/>
          <w:kern w:val="0"/>
          <w:sz w:val="32"/>
          <w:szCs w:val="30"/>
        </w:rPr>
      </w:pPr>
      <w:bookmarkStart w:id="22" w:name="_Toc57972429"/>
      <w:r>
        <w:rPr>
          <w:rFonts w:hint="eastAsia" w:hAnsi="宋体"/>
          <w:b/>
          <w:spacing w:val="20"/>
          <w:kern w:val="0"/>
          <w:sz w:val="32"/>
          <w:szCs w:val="30"/>
          <w:lang/>
        </w:rPr>
        <mc:AlternateContent>
          <mc:Choice Requires="wps">
            <w:drawing>
              <wp:anchor distT="0" distB="0" distL="114300" distR="114300" simplePos="0" relativeHeight="251724800" behindDoc="0" locked="0" layoutInCell="1" allowOverlap="1">
                <wp:simplePos x="0" y="0"/>
                <wp:positionH relativeFrom="column">
                  <wp:posOffset>106680</wp:posOffset>
                </wp:positionH>
                <wp:positionV relativeFrom="paragraph">
                  <wp:posOffset>6413500</wp:posOffset>
                </wp:positionV>
                <wp:extent cx="266700" cy="666750"/>
                <wp:effectExtent l="4445" t="4445" r="14605" b="14605"/>
                <wp:wrapNone/>
                <wp:docPr id="91" name="矩形 685"/>
                <wp:cNvGraphicFramePr/>
                <a:graphic xmlns:a="http://schemas.openxmlformats.org/drawingml/2006/main">
                  <a:graphicData uri="http://schemas.microsoft.com/office/word/2010/wordprocessingShape">
                    <wps:wsp>
                      <wps:cNvSpPr/>
                      <wps:spPr>
                        <a:xfrm>
                          <a:off x="0" y="0"/>
                          <a:ext cx="266700" cy="666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运营期</w:t>
                            </w:r>
                          </w:p>
                        </w:txbxContent>
                      </wps:txbx>
                      <wps:bodyPr wrap="square" upright="1"/>
                    </wps:wsp>
                  </a:graphicData>
                </a:graphic>
              </wp:anchor>
            </w:drawing>
          </mc:Choice>
          <mc:Fallback>
            <w:pict>
              <v:rect id="矩形 685" o:spid="_x0000_s1026" o:spt="1" style="position:absolute;left:0pt;margin-left:8.4pt;margin-top:505pt;height:52.5pt;width:21pt;z-index:251724800;mso-width-relative:page;mso-height-relative:page;" fillcolor="#FFFFFF" filled="t" stroked="t" coordsize="21600,21600" o:gfxdata="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F5lA1wAAAAsBAAAPAAAAAAAAAAEAIAAA&#10;ACIAAABkcnMvZG93bnJldi54bWxQSwECFAAUAAAACACHTuJAGnFDnQ0CAAA5BAAADgAAAAAAAAAB&#10;ACAAAAAmAQAAZHJzL2Uyb0RvYy54bWxQSwUGAAAAAAYABgBZAQAApQUAAAAA&#10;">
                <v:fill on="t" focussize="0,0"/>
                <v:stroke color="#000000" joinstyle="miter"/>
                <v:imagedata o:title=""/>
                <o:lock v:ext="edit" aspectratio="f"/>
                <v:textbox>
                  <w:txbxContent>
                    <w:p>
                      <w:r>
                        <w:rPr>
                          <w:rFonts w:hint="eastAsia"/>
                        </w:rPr>
                        <w:t>运营期</w:t>
                      </w:r>
                    </w:p>
                  </w:txbxContent>
                </v:textbox>
              </v:rect>
            </w:pict>
          </mc:Fallback>
        </mc:AlternateContent>
      </w:r>
      <w:r>
        <w:rPr>
          <w:rFonts w:hint="eastAsia" w:hAnsi="宋体"/>
          <w:b/>
          <w:spacing w:val="20"/>
          <w:kern w:val="0"/>
          <w:sz w:val="32"/>
          <w:szCs w:val="30"/>
        </w:rPr>
        <w:t xml:space="preserve">表五 </w:t>
      </w:r>
      <w:r>
        <w:rPr>
          <w:rFonts w:hAnsi="宋体"/>
          <w:b/>
          <w:spacing w:val="20"/>
          <w:kern w:val="0"/>
          <w:sz w:val="32"/>
          <w:szCs w:val="30"/>
        </w:rPr>
        <w:t>建设项目工程分析</w:t>
      </w:r>
      <w:bookmarkEnd w:id="22"/>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trHeight w:val="13147" w:hRule="atLeast"/>
          <w:jc w:val="center"/>
        </w:trPr>
        <w:tc>
          <w:tcPr>
            <w:tcW w:w="8740" w:type="dxa"/>
            <w:noWrap w:val="0"/>
            <w:vAlign w:val="top"/>
          </w:tcPr>
          <w:p>
            <w:pPr>
              <w:tabs>
                <w:tab w:val="center" w:pos="4153"/>
                <w:tab w:val="right" w:pos="8306"/>
              </w:tabs>
              <w:snapToGrid w:val="0"/>
              <w:spacing w:line="360" w:lineRule="auto"/>
              <w:rPr>
                <w:b/>
                <w:sz w:val="24"/>
              </w:rPr>
            </w:pPr>
            <w:r>
              <w:rPr>
                <w:rFonts w:hAnsi="宋体"/>
                <w:b/>
                <w:sz w:val="24"/>
              </w:rPr>
              <w:t>工艺流程简述</w:t>
            </w:r>
          </w:p>
          <w:p>
            <w:pPr>
              <w:tabs>
                <w:tab w:val="center" w:pos="4153"/>
                <w:tab w:val="right" w:pos="8306"/>
              </w:tabs>
              <w:snapToGrid w:val="0"/>
              <w:spacing w:line="360" w:lineRule="auto"/>
              <w:rPr>
                <w:rFonts w:hint="eastAsia" w:hAnsi="宋体"/>
                <w:b/>
                <w:sz w:val="24"/>
              </w:rPr>
            </w:pPr>
            <w:r>
              <w:rPr>
                <w:rFonts w:hAnsi="宋体"/>
                <w:b/>
                <w:sz w:val="24"/>
              </w:rPr>
              <w:t>一、施工期</w:t>
            </w:r>
          </w:p>
          <w:p>
            <w:pPr>
              <w:adjustRightInd w:val="0"/>
              <w:spacing w:line="360" w:lineRule="auto"/>
              <w:ind w:firstLine="480" w:firstLineChars="200"/>
              <w:jc w:val="left"/>
              <w:rPr>
                <w:sz w:val="24"/>
              </w:rPr>
            </w:pPr>
            <w:r>
              <w:rPr>
                <w:rFonts w:hAnsi="宋体"/>
                <w:sz w:val="24"/>
              </w:rPr>
              <w:t>施工期主要是对拟建厂址进行清理、厂地平整、</w:t>
            </w:r>
            <w:r>
              <w:rPr>
                <w:rFonts w:hint="eastAsia" w:hAnsi="宋体"/>
                <w:sz w:val="24"/>
              </w:rPr>
              <w:t>新建筑及道路</w:t>
            </w:r>
            <w:r>
              <w:rPr>
                <w:rFonts w:hAnsi="宋体"/>
                <w:sz w:val="24"/>
              </w:rPr>
              <w:t>建设、厂区清理及绿化等。</w:t>
            </w:r>
          </w:p>
          <w:p>
            <w:pPr>
              <w:adjustRightInd w:val="0"/>
              <w:spacing w:before="156" w:beforeLines="50" w:line="420" w:lineRule="exact"/>
              <w:jc w:val="left"/>
              <w:rPr>
                <w:rFonts w:hint="eastAsia" w:ascii="新宋体" w:hAnsi="新宋体" w:eastAsia="新宋体"/>
                <w:sz w:val="24"/>
              </w:rPr>
            </w:pPr>
            <w:r>
              <w:rPr>
                <w:rFonts w:ascii="新宋体" w:hAnsi="新宋体" w:eastAsia="新宋体"/>
                <w:sz w:val="24"/>
                <w:lang/>
              </w:rPr>
              <mc:AlternateContent>
                <mc:Choice Requires="wpg">
                  <w:drawing>
                    <wp:anchor distT="0" distB="0" distL="114300" distR="114300" simplePos="0" relativeHeight="251662336" behindDoc="0" locked="0" layoutInCell="1" allowOverlap="1">
                      <wp:simplePos x="0" y="0"/>
                      <wp:positionH relativeFrom="column">
                        <wp:posOffset>128270</wp:posOffset>
                      </wp:positionH>
                      <wp:positionV relativeFrom="paragraph">
                        <wp:posOffset>6350</wp:posOffset>
                      </wp:positionV>
                      <wp:extent cx="5506720" cy="2809875"/>
                      <wp:effectExtent l="0" t="0" r="17780" b="9525"/>
                      <wp:wrapNone/>
                      <wp:docPr id="31" name="组合 958"/>
                      <wp:cNvGraphicFramePr/>
                      <a:graphic xmlns:a="http://schemas.openxmlformats.org/drawingml/2006/main">
                        <a:graphicData uri="http://schemas.microsoft.com/office/word/2010/wordprocessingGroup">
                          <wpg:wgp>
                            <wpg:cNvGrpSpPr/>
                            <wpg:grpSpPr>
                              <a:xfrm>
                                <a:off x="0" y="0"/>
                                <a:ext cx="5506720" cy="2809875"/>
                                <a:chOff x="1392" y="6149"/>
                                <a:chExt cx="8672" cy="4425"/>
                              </a:xfrm>
                            </wpg:grpSpPr>
                            <wps:wsp>
                              <wps:cNvPr id="4" name="文本框 959"/>
                              <wps:cNvSpPr txBox="1"/>
                              <wps:spPr>
                                <a:xfrm>
                                  <a:off x="2442" y="8475"/>
                                  <a:ext cx="1893" cy="794"/>
                                </a:xfrm>
                                <a:prstGeom prst="rect">
                                  <a:avLst/>
                                </a:prstGeom>
                                <a:solidFill>
                                  <a:srgbClr val="FFFFFF"/>
                                </a:solidFill>
                                <a:ln>
                                  <a:noFill/>
                                </a:ln>
                              </wps:spPr>
                              <wps:txbx>
                                <w:txbxContent>
                                  <w:p>
                                    <w:pPr>
                                      <w:jc w:val="left"/>
                                      <w:rPr>
                                        <w:szCs w:val="21"/>
                                      </w:rPr>
                                    </w:pPr>
                                    <w:r>
                                      <w:rPr>
                                        <w:rFonts w:hint="eastAsia"/>
                                        <w:szCs w:val="21"/>
                                      </w:rPr>
                                      <w:t>扬尘、尾气、噪声</w:t>
                                    </w:r>
                                  </w:p>
                                  <w:p>
                                    <w:pPr>
                                      <w:jc w:val="left"/>
                                      <w:rPr>
                                        <w:szCs w:val="21"/>
                                      </w:rPr>
                                    </w:pPr>
                                    <w:r>
                                      <w:rPr>
                                        <w:rFonts w:hint="eastAsia"/>
                                        <w:szCs w:val="21"/>
                                      </w:rPr>
                                      <w:t>固体废物</w:t>
                                    </w:r>
                                  </w:p>
                                </w:txbxContent>
                              </wps:txbx>
                              <wps:bodyPr wrap="square" lIns="18000" rIns="18000" upright="1"/>
                            </wps:wsp>
                            <wps:wsp>
                              <wps:cNvPr id="5" name="文本框 960"/>
                              <wps:cNvSpPr txBox="1"/>
                              <wps:spPr>
                                <a:xfrm>
                                  <a:off x="1986" y="7423"/>
                                  <a:ext cx="124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场地平整</w:t>
                                    </w:r>
                                  </w:p>
                                </w:txbxContent>
                              </wps:txbx>
                              <wps:bodyPr wrap="square" lIns="18000" rIns="18000" upright="1"/>
                            </wps:wsp>
                            <wps:wsp>
                              <wps:cNvPr id="6" name="直线 961"/>
                              <wps:cNvSpPr/>
                              <wps:spPr>
                                <a:xfrm>
                                  <a:off x="3233" y="7663"/>
                                  <a:ext cx="1102" cy="0"/>
                                </a:xfrm>
                                <a:prstGeom prst="line">
                                  <a:avLst/>
                                </a:prstGeom>
                                <a:ln w="9525" cap="flat" cmpd="sng">
                                  <a:solidFill>
                                    <a:srgbClr val="000000"/>
                                  </a:solidFill>
                                  <a:prstDash val="solid"/>
                                  <a:headEnd type="none" w="med" len="med"/>
                                  <a:tailEnd type="triangle" w="med" len="med"/>
                                </a:ln>
                              </wps:spPr>
                              <wps:bodyPr upright="1"/>
                            </wps:wsp>
                            <wps:wsp>
                              <wps:cNvPr id="7" name="直线 962"/>
                              <wps:cNvSpPr/>
                              <wps:spPr>
                                <a:xfrm flipV="1">
                                  <a:off x="2610" y="6943"/>
                                  <a:ext cx="0" cy="480"/>
                                </a:xfrm>
                                <a:prstGeom prst="line">
                                  <a:avLst/>
                                </a:prstGeom>
                                <a:ln w="9525" cap="flat" cmpd="sng">
                                  <a:solidFill>
                                    <a:srgbClr val="000000"/>
                                  </a:solidFill>
                                  <a:prstDash val="dash"/>
                                  <a:headEnd type="none" w="med" len="med"/>
                                  <a:tailEnd type="triangle" w="med" len="med"/>
                                </a:ln>
                              </wps:spPr>
                              <wps:bodyPr upright="1"/>
                            </wps:wsp>
                            <wps:wsp>
                              <wps:cNvPr id="8" name="文本框 963"/>
                              <wps:cNvSpPr txBox="1"/>
                              <wps:spPr>
                                <a:xfrm>
                                  <a:off x="3233" y="10106"/>
                                  <a:ext cx="5752" cy="468"/>
                                </a:xfrm>
                                <a:prstGeom prst="rect">
                                  <a:avLst/>
                                </a:prstGeom>
                                <a:solidFill>
                                  <a:srgbClr val="FFFFFF"/>
                                </a:solidFill>
                                <a:ln>
                                  <a:noFill/>
                                </a:ln>
                              </wps:spPr>
                              <wps:txbx>
                                <w:txbxContent>
                                  <w:p>
                                    <w:pPr>
                                      <w:spacing w:line="340" w:lineRule="exact"/>
                                      <w:jc w:val="center"/>
                                      <w:rPr>
                                        <w:b/>
                                        <w:sz w:val="24"/>
                                      </w:rPr>
                                    </w:pPr>
                                    <w:r>
                                      <w:rPr>
                                        <w:rFonts w:hint="eastAsia"/>
                                        <w:b/>
                                        <w:sz w:val="24"/>
                                      </w:rPr>
                                      <w:t>图5-1 施工期施工流程及主要污染源情况简图</w:t>
                                    </w:r>
                                  </w:p>
                                </w:txbxContent>
                              </wps:txbx>
                              <wps:bodyPr wrap="square" lIns="18000" rIns="18000" upright="1"/>
                            </wps:wsp>
                            <wps:wsp>
                              <wps:cNvPr id="9" name="文本框 964"/>
                              <wps:cNvSpPr txBox="1"/>
                              <wps:spPr>
                                <a:xfrm>
                                  <a:off x="1392" y="6149"/>
                                  <a:ext cx="2438" cy="794"/>
                                </a:xfrm>
                                <a:prstGeom prst="rect">
                                  <a:avLst/>
                                </a:prstGeom>
                                <a:solidFill>
                                  <a:srgbClr val="FFFFFF"/>
                                </a:solidFill>
                                <a:ln>
                                  <a:noFill/>
                                </a:ln>
                              </wps:spPr>
                              <wps:txbx>
                                <w:txbxContent>
                                  <w:p>
                                    <w:pPr>
                                      <w:jc w:val="left"/>
                                      <w:rPr>
                                        <w:szCs w:val="21"/>
                                      </w:rPr>
                                    </w:pPr>
                                    <w:r>
                                      <w:rPr>
                                        <w:rFonts w:hint="eastAsia"/>
                                        <w:szCs w:val="21"/>
                                      </w:rPr>
                                      <w:t>扬尘、尾气、噪声、土石方、植被破坏及水土流失</w:t>
                                    </w:r>
                                  </w:p>
                                </w:txbxContent>
                              </wps:txbx>
                              <wps:bodyPr wrap="square" lIns="18000" rIns="18000" upright="1"/>
                            </wps:wsp>
                            <wps:wsp>
                              <wps:cNvPr id="10" name="文本框 965"/>
                              <wps:cNvSpPr txBox="1"/>
                              <wps:spPr>
                                <a:xfrm>
                                  <a:off x="4335" y="7423"/>
                                  <a:ext cx="124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基础施工</w:t>
                                    </w:r>
                                  </w:p>
                                </w:txbxContent>
                              </wps:txbx>
                              <wps:bodyPr wrap="square" lIns="18000" rIns="18000" upright="1"/>
                            </wps:wsp>
                            <wps:wsp>
                              <wps:cNvPr id="11" name="直线 966"/>
                              <wps:cNvSpPr/>
                              <wps:spPr>
                                <a:xfrm flipV="1">
                                  <a:off x="5007" y="6943"/>
                                  <a:ext cx="0" cy="480"/>
                                </a:xfrm>
                                <a:prstGeom prst="line">
                                  <a:avLst/>
                                </a:prstGeom>
                                <a:ln w="9525" cap="flat" cmpd="sng">
                                  <a:solidFill>
                                    <a:srgbClr val="000000"/>
                                  </a:solidFill>
                                  <a:prstDash val="dash"/>
                                  <a:headEnd type="none" w="med" len="med"/>
                                  <a:tailEnd type="triangle" w="med" len="med"/>
                                </a:ln>
                              </wps:spPr>
                              <wps:bodyPr upright="1"/>
                            </wps:wsp>
                            <wps:wsp>
                              <wps:cNvPr id="12" name="文本框 967"/>
                              <wps:cNvSpPr txBox="1"/>
                              <wps:spPr>
                                <a:xfrm>
                                  <a:off x="4129" y="6149"/>
                                  <a:ext cx="1984" cy="794"/>
                                </a:xfrm>
                                <a:prstGeom prst="rect">
                                  <a:avLst/>
                                </a:prstGeom>
                                <a:solidFill>
                                  <a:srgbClr val="FFFFFF"/>
                                </a:solidFill>
                                <a:ln>
                                  <a:noFill/>
                                </a:ln>
                              </wps:spPr>
                              <wps:txbx>
                                <w:txbxContent>
                                  <w:p>
                                    <w:pPr>
                                      <w:jc w:val="left"/>
                                      <w:rPr>
                                        <w:szCs w:val="21"/>
                                      </w:rPr>
                                    </w:pPr>
                                    <w:r>
                                      <w:rPr>
                                        <w:rFonts w:hint="eastAsia"/>
                                        <w:szCs w:val="21"/>
                                      </w:rPr>
                                      <w:t>扬尘、尾气、噪声、固体废物、废水</w:t>
                                    </w:r>
                                  </w:p>
                                </w:txbxContent>
                              </wps:txbx>
                              <wps:bodyPr wrap="square" lIns="18000" rIns="18000" upright="1"/>
                            </wps:wsp>
                            <wps:wsp>
                              <wps:cNvPr id="13" name="直线 968"/>
                              <wps:cNvSpPr/>
                              <wps:spPr>
                                <a:xfrm>
                                  <a:off x="5582" y="7663"/>
                                  <a:ext cx="1102" cy="0"/>
                                </a:xfrm>
                                <a:prstGeom prst="line">
                                  <a:avLst/>
                                </a:prstGeom>
                                <a:ln w="9525" cap="flat" cmpd="sng">
                                  <a:solidFill>
                                    <a:srgbClr val="000000"/>
                                  </a:solidFill>
                                  <a:prstDash val="solid"/>
                                  <a:headEnd type="none" w="med" len="med"/>
                                  <a:tailEnd type="triangle" w="med" len="med"/>
                                </a:ln>
                              </wps:spPr>
                              <wps:bodyPr upright="1"/>
                            </wps:wsp>
                            <wps:wsp>
                              <wps:cNvPr id="14" name="文本框 969"/>
                              <wps:cNvSpPr txBox="1"/>
                              <wps:spPr>
                                <a:xfrm>
                                  <a:off x="6684" y="7423"/>
                                  <a:ext cx="124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结构施工</w:t>
                                    </w:r>
                                  </w:p>
                                </w:txbxContent>
                              </wps:txbx>
                              <wps:bodyPr wrap="square" lIns="18000" rIns="18000" upright="1"/>
                            </wps:wsp>
                            <wps:wsp>
                              <wps:cNvPr id="15" name="直线 970"/>
                              <wps:cNvSpPr/>
                              <wps:spPr>
                                <a:xfrm flipV="1">
                                  <a:off x="7335" y="6943"/>
                                  <a:ext cx="0" cy="480"/>
                                </a:xfrm>
                                <a:prstGeom prst="line">
                                  <a:avLst/>
                                </a:prstGeom>
                                <a:ln w="9525" cap="flat" cmpd="sng">
                                  <a:solidFill>
                                    <a:srgbClr val="000000"/>
                                  </a:solidFill>
                                  <a:prstDash val="dash"/>
                                  <a:headEnd type="none" w="med" len="med"/>
                                  <a:tailEnd type="triangle" w="med" len="med"/>
                                </a:ln>
                              </wps:spPr>
                              <wps:bodyPr upright="1"/>
                            </wps:wsp>
                            <wps:wsp>
                              <wps:cNvPr id="16" name="文本框 971"/>
                              <wps:cNvSpPr txBox="1"/>
                              <wps:spPr>
                                <a:xfrm>
                                  <a:off x="6392" y="6149"/>
                                  <a:ext cx="1701" cy="794"/>
                                </a:xfrm>
                                <a:prstGeom prst="rect">
                                  <a:avLst/>
                                </a:prstGeom>
                                <a:solidFill>
                                  <a:srgbClr val="FFFFFF"/>
                                </a:solidFill>
                                <a:ln>
                                  <a:noFill/>
                                </a:ln>
                              </wps:spPr>
                              <wps:txbx>
                                <w:txbxContent>
                                  <w:p>
                                    <w:pPr>
                                      <w:jc w:val="left"/>
                                      <w:rPr>
                                        <w:szCs w:val="21"/>
                                      </w:rPr>
                                    </w:pPr>
                                    <w:r>
                                      <w:rPr>
                                        <w:rFonts w:hint="eastAsia"/>
                                        <w:szCs w:val="21"/>
                                      </w:rPr>
                                      <w:t>噪声、废水、</w:t>
                                    </w:r>
                                  </w:p>
                                  <w:p>
                                    <w:pPr>
                                      <w:jc w:val="left"/>
                                      <w:rPr>
                                        <w:szCs w:val="21"/>
                                      </w:rPr>
                                    </w:pPr>
                                    <w:r>
                                      <w:rPr>
                                        <w:rFonts w:hint="eastAsia"/>
                                        <w:szCs w:val="21"/>
                                      </w:rPr>
                                      <w:t>扬尘、固体废物</w:t>
                                    </w:r>
                                  </w:p>
                                </w:txbxContent>
                              </wps:txbx>
                              <wps:bodyPr wrap="square" lIns="18000" rIns="18000" upright="1"/>
                            </wps:wsp>
                            <wps:wsp>
                              <wps:cNvPr id="17" name="直线 972"/>
                              <wps:cNvSpPr/>
                              <wps:spPr>
                                <a:xfrm>
                                  <a:off x="7931" y="7663"/>
                                  <a:ext cx="829" cy="0"/>
                                </a:xfrm>
                                <a:prstGeom prst="line">
                                  <a:avLst/>
                                </a:prstGeom>
                                <a:ln w="9525" cap="flat" cmpd="sng">
                                  <a:solidFill>
                                    <a:srgbClr val="000000"/>
                                  </a:solidFill>
                                  <a:prstDash val="solid"/>
                                  <a:headEnd type="none" w="med" len="med"/>
                                  <a:tailEnd type="triangle" w="med" len="med"/>
                                </a:ln>
                              </wps:spPr>
                              <wps:bodyPr upright="1"/>
                            </wps:wsp>
                            <wps:wsp>
                              <wps:cNvPr id="18" name="文本框 973"/>
                              <wps:cNvSpPr txBox="1"/>
                              <wps:spPr>
                                <a:xfrm>
                                  <a:off x="8760" y="7423"/>
                                  <a:ext cx="124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装修</w:t>
                                    </w:r>
                                  </w:p>
                                </w:txbxContent>
                              </wps:txbx>
                              <wps:bodyPr wrap="square" lIns="18000" rIns="18000" upright="1"/>
                            </wps:wsp>
                            <wps:wsp>
                              <wps:cNvPr id="19" name="直线 974"/>
                              <wps:cNvSpPr/>
                              <wps:spPr>
                                <a:xfrm flipV="1">
                                  <a:off x="9375" y="6943"/>
                                  <a:ext cx="0" cy="480"/>
                                </a:xfrm>
                                <a:prstGeom prst="line">
                                  <a:avLst/>
                                </a:prstGeom>
                                <a:ln w="9525" cap="flat" cmpd="sng">
                                  <a:solidFill>
                                    <a:srgbClr val="000000"/>
                                  </a:solidFill>
                                  <a:prstDash val="dash"/>
                                  <a:headEnd type="none" w="med" len="med"/>
                                  <a:tailEnd type="triangle" w="med" len="med"/>
                                </a:ln>
                              </wps:spPr>
                              <wps:bodyPr upright="1"/>
                            </wps:wsp>
                            <wps:wsp>
                              <wps:cNvPr id="20" name="文本框 975"/>
                              <wps:cNvSpPr txBox="1"/>
                              <wps:spPr>
                                <a:xfrm>
                                  <a:off x="8760" y="6149"/>
                                  <a:ext cx="1304" cy="794"/>
                                </a:xfrm>
                                <a:prstGeom prst="rect">
                                  <a:avLst/>
                                </a:prstGeom>
                                <a:solidFill>
                                  <a:srgbClr val="FFFFFF"/>
                                </a:solidFill>
                                <a:ln>
                                  <a:noFill/>
                                </a:ln>
                              </wps:spPr>
                              <wps:txbx>
                                <w:txbxContent>
                                  <w:p>
                                    <w:pPr>
                                      <w:jc w:val="left"/>
                                      <w:rPr>
                                        <w:szCs w:val="21"/>
                                      </w:rPr>
                                    </w:pPr>
                                    <w:r>
                                      <w:rPr>
                                        <w:rFonts w:hint="eastAsia"/>
                                        <w:szCs w:val="21"/>
                                      </w:rPr>
                                      <w:t>噪声、扬尘、</w:t>
                                    </w:r>
                                  </w:p>
                                  <w:p>
                                    <w:pPr>
                                      <w:jc w:val="left"/>
                                      <w:rPr>
                                        <w:szCs w:val="21"/>
                                      </w:rPr>
                                    </w:pPr>
                                    <w:r>
                                      <w:rPr>
                                        <w:rFonts w:hint="eastAsia"/>
                                        <w:szCs w:val="21"/>
                                      </w:rPr>
                                      <w:t>固体废物</w:t>
                                    </w:r>
                                  </w:p>
                                </w:txbxContent>
                              </wps:txbx>
                              <wps:bodyPr wrap="square" lIns="18000" rIns="18000" upright="1"/>
                            </wps:wsp>
                            <wps:wsp>
                              <wps:cNvPr id="21" name="自选图形 976"/>
                              <wps:cNvCnPr/>
                              <wps:spPr>
                                <a:xfrm>
                                  <a:off x="9356" y="7877"/>
                                  <a:ext cx="0" cy="598"/>
                                </a:xfrm>
                                <a:prstGeom prst="straightConnector1">
                                  <a:avLst/>
                                </a:prstGeom>
                                <a:ln w="9525" cap="flat" cmpd="sng">
                                  <a:solidFill>
                                    <a:srgbClr val="000000"/>
                                  </a:solidFill>
                                  <a:prstDash val="solid"/>
                                  <a:headEnd type="none" w="med" len="med"/>
                                  <a:tailEnd type="triangle" w="med" len="med"/>
                                </a:ln>
                              </wps:spPr>
                              <wps:bodyPr/>
                            </wps:wsp>
                            <wps:wsp>
                              <wps:cNvPr id="22" name="文本框 977"/>
                              <wps:cNvSpPr txBox="1"/>
                              <wps:spPr>
                                <a:xfrm>
                                  <a:off x="8760" y="8475"/>
                                  <a:ext cx="124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竣工验收</w:t>
                                    </w:r>
                                  </w:p>
                                </w:txbxContent>
                              </wps:txbx>
                              <wps:bodyPr wrap="square" lIns="18000" rIns="18000" upright="1"/>
                            </wps:wsp>
                            <wps:wsp>
                              <wps:cNvPr id="23" name="自选图形 978"/>
                              <wps:cNvCnPr/>
                              <wps:spPr>
                                <a:xfrm>
                                  <a:off x="9353" y="8929"/>
                                  <a:ext cx="0" cy="598"/>
                                </a:xfrm>
                                <a:prstGeom prst="straightConnector1">
                                  <a:avLst/>
                                </a:prstGeom>
                                <a:ln w="9525" cap="flat" cmpd="sng">
                                  <a:solidFill>
                                    <a:srgbClr val="000000"/>
                                  </a:solidFill>
                                  <a:prstDash val="solid"/>
                                  <a:headEnd type="none" w="med" len="med"/>
                                  <a:tailEnd type="triangle" w="med" len="med"/>
                                </a:ln>
                              </wps:spPr>
                              <wps:bodyPr/>
                            </wps:wsp>
                            <wps:wsp>
                              <wps:cNvPr id="24" name="文本框 979"/>
                              <wps:cNvSpPr txBox="1"/>
                              <wps:spPr>
                                <a:xfrm>
                                  <a:off x="8817" y="9527"/>
                                  <a:ext cx="124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投入使用</w:t>
                                    </w:r>
                                  </w:p>
                                </w:txbxContent>
                              </wps:txbx>
                              <wps:bodyPr wrap="square" lIns="18000" rIns="18000" upright="1"/>
                            </wps:wsp>
                            <wps:wsp>
                              <wps:cNvPr id="25" name="文本框 980"/>
                              <wps:cNvSpPr txBox="1"/>
                              <wps:spPr>
                                <a:xfrm>
                                  <a:off x="4887" y="8689"/>
                                  <a:ext cx="254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建筑材料等堆放、运输</w:t>
                                    </w:r>
                                  </w:p>
                                </w:txbxContent>
                              </wps:txbx>
                              <wps:bodyPr wrap="square" lIns="18000" rIns="18000" upright="1"/>
                            </wps:wsp>
                            <wps:wsp>
                              <wps:cNvPr id="26" name="自选图形 981"/>
                              <wps:cNvCnPr/>
                              <wps:spPr>
                                <a:xfrm flipH="1">
                                  <a:off x="4229" y="8929"/>
                                  <a:ext cx="658" cy="0"/>
                                </a:xfrm>
                                <a:prstGeom prst="straightConnector1">
                                  <a:avLst/>
                                </a:prstGeom>
                                <a:ln w="9525" cap="flat" cmpd="sng">
                                  <a:solidFill>
                                    <a:srgbClr val="000000"/>
                                  </a:solidFill>
                                  <a:prstDash val="dash"/>
                                  <a:headEnd type="none" w="med" len="med"/>
                                  <a:tailEnd type="triangle" w="med" len="med"/>
                                </a:ln>
                              </wps:spPr>
                              <wps:bodyPr/>
                            </wps:wsp>
                            <wps:wsp>
                              <wps:cNvPr id="27" name="自选图形 982"/>
                              <wps:cNvCnPr/>
                              <wps:spPr>
                                <a:xfrm flipV="1">
                                  <a:off x="6113" y="8325"/>
                                  <a:ext cx="0" cy="364"/>
                                </a:xfrm>
                                <a:prstGeom prst="straightConnector1">
                                  <a:avLst/>
                                </a:prstGeom>
                                <a:ln w="9525" cap="flat" cmpd="sng">
                                  <a:solidFill>
                                    <a:srgbClr val="000000"/>
                                  </a:solidFill>
                                  <a:prstDash val="solid"/>
                                  <a:headEnd type="none" w="med" len="med"/>
                                  <a:tailEnd type="none" w="med" len="med"/>
                                </a:ln>
                              </wps:spPr>
                              <wps:bodyPr/>
                            </wps:wsp>
                            <wps:wsp>
                              <wps:cNvPr id="28" name="自选图形 983"/>
                              <wps:cNvCnPr/>
                              <wps:spPr>
                                <a:xfrm>
                                  <a:off x="4887" y="8325"/>
                                  <a:ext cx="2448" cy="0"/>
                                </a:xfrm>
                                <a:prstGeom prst="straightConnector1">
                                  <a:avLst/>
                                </a:prstGeom>
                                <a:ln w="9525" cap="flat" cmpd="sng">
                                  <a:solidFill>
                                    <a:srgbClr val="000000"/>
                                  </a:solidFill>
                                  <a:prstDash val="solid"/>
                                  <a:headEnd type="none" w="med" len="med"/>
                                  <a:tailEnd type="none" w="med" len="med"/>
                                </a:ln>
                              </wps:spPr>
                              <wps:bodyPr/>
                            </wps:wsp>
                            <wps:wsp>
                              <wps:cNvPr id="29" name="自选图形 984"/>
                              <wps:cNvCnPr/>
                              <wps:spPr>
                                <a:xfrm flipV="1">
                                  <a:off x="4887" y="7877"/>
                                  <a:ext cx="0" cy="448"/>
                                </a:xfrm>
                                <a:prstGeom prst="straightConnector1">
                                  <a:avLst/>
                                </a:prstGeom>
                                <a:ln w="9525" cap="flat" cmpd="sng">
                                  <a:solidFill>
                                    <a:srgbClr val="000000"/>
                                  </a:solidFill>
                                  <a:prstDash val="solid"/>
                                  <a:headEnd type="none" w="med" len="med"/>
                                  <a:tailEnd type="triangle" w="med" len="med"/>
                                </a:ln>
                              </wps:spPr>
                              <wps:bodyPr/>
                            </wps:wsp>
                            <wps:wsp>
                              <wps:cNvPr id="30" name="自选图形 985"/>
                              <wps:cNvCnPr/>
                              <wps:spPr>
                                <a:xfrm flipV="1">
                                  <a:off x="7335" y="7877"/>
                                  <a:ext cx="0" cy="44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958" o:spid="_x0000_s1026" o:spt="203" style="position:absolute;left:0pt;margin-left:10.1pt;margin-top:0.5pt;height:221.25pt;width:433.6pt;z-index:251662336;mso-width-relative:page;mso-height-relative:page;" coordorigin="1392,6149" coordsize="8672,4425" o:gfxdata="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">
                      <o:lock v:ext="edit" aspectratio="f"/>
                      <v:shape id="文本框 959" o:spid="_x0000_s1026" o:spt="202" type="#_x0000_t202" style="position:absolute;left:2442;top:8475;height:794;width:1893;" fillcolor="#FFFFFF" filled="t" stroked="f" coordsize="21600,21600" o:gfxdata="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6ekwvQAA&#10;ANoAAAAPAAAAAAAAAAEAIAAAACIAAABkcnMvZG93bnJldi54bWxQSwECFAAUAAAACACHTuJAMy8F&#10;njsAAAA5AAAAEAAAAAAAAAABACAAAAAMAQAAZHJzL3NoYXBleG1sLnhtbFBLBQYAAAAABgAGAFsB&#10;AAC2AwAAAAA=&#10;">
                        <v:fill on="t" focussize="0,0"/>
                        <v:stroke on="f"/>
                        <v:imagedata o:title=""/>
                        <o:lock v:ext="edit" aspectratio="f"/>
                        <v:textbox inset="0.5mm,1.27mm,0.5mm,1.27mm">
                          <w:txbxContent>
                            <w:p>
                              <w:pPr>
                                <w:jc w:val="left"/>
                                <w:rPr>
                                  <w:szCs w:val="21"/>
                                </w:rPr>
                              </w:pPr>
                              <w:r>
                                <w:rPr>
                                  <w:rFonts w:hint="eastAsia"/>
                                  <w:szCs w:val="21"/>
                                </w:rPr>
                                <w:t>扬尘、尾气、噪声</w:t>
                              </w:r>
                            </w:p>
                            <w:p>
                              <w:pPr>
                                <w:jc w:val="left"/>
                                <w:rPr>
                                  <w:szCs w:val="21"/>
                                </w:rPr>
                              </w:pPr>
                              <w:r>
                                <w:rPr>
                                  <w:rFonts w:hint="eastAsia"/>
                                  <w:szCs w:val="21"/>
                                </w:rPr>
                                <w:t>固体废物</w:t>
                              </w:r>
                            </w:p>
                          </w:txbxContent>
                        </v:textbox>
                      </v:shape>
                      <v:shape id="文本框 960" o:spid="_x0000_s1026" o:spt="202" type="#_x0000_t202" style="position:absolute;left:1986;top:7423;height:454;width:1247;" fillcolor="#FFFFFF" filled="t" stroked="t" coordsize="21600,21600" o:gfxdata="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pAkq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5mm,1.27mm,0.5mm,1.27mm">
                          <w:txbxContent>
                            <w:p>
                              <w:pPr>
                                <w:jc w:val="center"/>
                                <w:rPr>
                                  <w:szCs w:val="21"/>
                                </w:rPr>
                              </w:pPr>
                              <w:r>
                                <w:rPr>
                                  <w:rFonts w:hint="eastAsia"/>
                                  <w:szCs w:val="21"/>
                                </w:rPr>
                                <w:t>场地平整</w:t>
                              </w:r>
                            </w:p>
                          </w:txbxContent>
                        </v:textbox>
                      </v:shape>
                      <v:line id="直线 961" o:spid="_x0000_s1026" o:spt="20" style="position:absolute;left:3233;top:7663;height:0;width:1102;" filled="f" stroked="t" coordsize="21600,21600" o:gfxdata="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2Bq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962" o:spid="_x0000_s1026" o:spt="20" style="position:absolute;left:2610;top:6943;flip:y;height:480;width:0;" filled="f" stroked="t" coordsize="21600,21600" o:gfxdata="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2pPna5AAAA2g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文本框 963" o:spid="_x0000_s1026" o:spt="202" type="#_x0000_t202" style="position:absolute;left:3233;top:10106;height:468;width:5752;" fillcolor="#FFFFFF" filled="t" stroked="f" coordsize="21600,21600" o:gfxdata="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k4zW5AAAA2gAA&#10;AA8AAAAAAAAAAQAgAAAAIgAAAGRycy9kb3ducmV2LnhtbFBLAQIUABQAAAAIAIdO4kAzLwWeOwAA&#10;ADkAAAAQAAAAAAAAAAEAIAAAAAgBAABkcnMvc2hhcGV4bWwueG1sUEsFBgAAAAAGAAYAWwEAALID&#10;AAAAAA==&#10;">
                        <v:fill on="t" focussize="0,0"/>
                        <v:stroke on="f"/>
                        <v:imagedata o:title=""/>
                        <o:lock v:ext="edit" aspectratio="f"/>
                        <v:textbox inset="0.5mm,1.27mm,0.5mm,1.27mm">
                          <w:txbxContent>
                            <w:p>
                              <w:pPr>
                                <w:spacing w:line="340" w:lineRule="exact"/>
                                <w:jc w:val="center"/>
                                <w:rPr>
                                  <w:b/>
                                  <w:sz w:val="24"/>
                                </w:rPr>
                              </w:pPr>
                              <w:r>
                                <w:rPr>
                                  <w:rFonts w:hint="eastAsia"/>
                                  <w:b/>
                                  <w:sz w:val="24"/>
                                </w:rPr>
                                <w:t>图5-1 施工期施工流程及主要污染源情况简图</w:t>
                              </w:r>
                            </w:p>
                          </w:txbxContent>
                        </v:textbox>
                      </v:shape>
                      <v:shape id="文本框 964" o:spid="_x0000_s1026" o:spt="202" type="#_x0000_t202" style="position:absolute;left:1392;top:6149;height:794;width:2438;" fillcolor="#FFFFFF" filled="t" stroked="f" coordsize="21600,21600" o:gfxdata="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oRq68AAAA&#10;2gAAAA8AAAAAAAAAAQAgAAAAIgAAAGRycy9kb3ducmV2LnhtbFBLAQIUABQAAAAIAIdO4kAzLwWe&#10;OwAAADkAAAAQAAAAAAAAAAEAIAAAAAsBAABkcnMvc2hhcGV4bWwueG1sUEsFBgAAAAAGAAYAWwEA&#10;ALUDAAAAAA==&#10;">
                        <v:fill on="t" focussize="0,0"/>
                        <v:stroke on="f"/>
                        <v:imagedata o:title=""/>
                        <o:lock v:ext="edit" aspectratio="f"/>
                        <v:textbox inset="0.5mm,1.27mm,0.5mm,1.27mm">
                          <w:txbxContent>
                            <w:p>
                              <w:pPr>
                                <w:jc w:val="left"/>
                                <w:rPr>
                                  <w:szCs w:val="21"/>
                                </w:rPr>
                              </w:pPr>
                              <w:r>
                                <w:rPr>
                                  <w:rFonts w:hint="eastAsia"/>
                                  <w:szCs w:val="21"/>
                                </w:rPr>
                                <w:t>扬尘、尾气、噪声、土石方、植被破坏及水土流失</w:t>
                              </w:r>
                            </w:p>
                          </w:txbxContent>
                        </v:textbox>
                      </v:shape>
                      <v:shape id="文本框 965" o:spid="_x0000_s1026" o:spt="202" type="#_x0000_t202" style="position:absolute;left:4335;top:7423;height:454;width:1247;" fillcolor="#FFFFFF" filled="t" stroked="t" coordsize="21600,21600" o:gfxdata="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635O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1.27mm,0.5mm,1.27mm">
                          <w:txbxContent>
                            <w:p>
                              <w:pPr>
                                <w:jc w:val="center"/>
                                <w:rPr>
                                  <w:szCs w:val="21"/>
                                </w:rPr>
                              </w:pPr>
                              <w:r>
                                <w:rPr>
                                  <w:rFonts w:hint="eastAsia"/>
                                  <w:szCs w:val="21"/>
                                </w:rPr>
                                <w:t>基础施工</w:t>
                              </w:r>
                            </w:p>
                          </w:txbxContent>
                        </v:textbox>
                      </v:shape>
                      <v:line id="直线 966" o:spid="_x0000_s1026" o:spt="20" style="position:absolute;left:5007;top:6943;flip:y;height:480;width:0;" filled="f" stroked="t" coordsize="21600,21600" o:gfxdata="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QhgsbgAAADb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shape id="文本框 967" o:spid="_x0000_s1026" o:spt="202" type="#_x0000_t202" style="position:absolute;left:4129;top:6149;height:794;width:1984;" fillcolor="#FFFFFF" filled="t" stroked="f" coordsize="21600,21600" o:gfxdata="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euCLsAAADb&#10;AAAADwAAAAAAAAABACAAAAAiAAAAZHJzL2Rvd25yZXYueG1sUEsBAhQAFAAAAAgAh07iQDMvBZ47&#10;AAAAOQAAABAAAAAAAAAAAQAgAAAACgEAAGRycy9zaGFwZXhtbC54bWxQSwUGAAAAAAYABgBbAQAA&#10;tAMAAAAA&#10;">
                        <v:fill on="t" focussize="0,0"/>
                        <v:stroke on="f"/>
                        <v:imagedata o:title=""/>
                        <o:lock v:ext="edit" aspectratio="f"/>
                        <v:textbox inset="0.5mm,1.27mm,0.5mm,1.27mm">
                          <w:txbxContent>
                            <w:p>
                              <w:pPr>
                                <w:jc w:val="left"/>
                                <w:rPr>
                                  <w:szCs w:val="21"/>
                                </w:rPr>
                              </w:pPr>
                              <w:r>
                                <w:rPr>
                                  <w:rFonts w:hint="eastAsia"/>
                                  <w:szCs w:val="21"/>
                                </w:rPr>
                                <w:t>扬尘、尾气、噪声、固体废物、废水</w:t>
                              </w:r>
                            </w:p>
                          </w:txbxContent>
                        </v:textbox>
                      </v:shape>
                      <v:line id="直线 968" o:spid="_x0000_s1026" o:spt="20" style="position:absolute;left:5582;top:7663;height:0;width:1102;"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969" o:spid="_x0000_s1026" o:spt="202" type="#_x0000_t202" style="position:absolute;left:6684;top:7423;height:454;width:1247;" fillcolor="#FFFFFF" filled="t" stroked="t" coordsize="21600,21600" o:gfxdata="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QeE2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5mm,1.27mm,0.5mm,1.27mm">
                          <w:txbxContent>
                            <w:p>
                              <w:pPr>
                                <w:jc w:val="center"/>
                                <w:rPr>
                                  <w:szCs w:val="21"/>
                                </w:rPr>
                              </w:pPr>
                              <w:r>
                                <w:rPr>
                                  <w:rFonts w:hint="eastAsia"/>
                                  <w:szCs w:val="21"/>
                                </w:rPr>
                                <w:t>结构施工</w:t>
                              </w:r>
                            </w:p>
                          </w:txbxContent>
                        </v:textbox>
                      </v:shape>
                      <v:line id="直线 970" o:spid="_x0000_s1026" o:spt="20" style="position:absolute;left:7335;top:6943;flip:y;height:480;width:0;" filled="f" stroked="t" coordsize="21600,21600" o:gfxdata="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NmsrgAAADb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shape id="文本框 971" o:spid="_x0000_s1026" o:spt="202" type="#_x0000_t202" style="position:absolute;left:6392;top:6149;height:794;width:1701;" fillcolor="#FFFFFF" filled="t" stroked="f" coordsize="21600,21600" o:gfxdata="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TKgLugAAANsA&#10;AAAPAAAAAAAAAAEAIAAAACIAAABkcnMvZG93bnJldi54bWxQSwECFAAUAAAACACHTuJAMy8FnjsA&#10;AAA5AAAAEAAAAAAAAAABACAAAAAJAQAAZHJzL3NoYXBleG1sLnhtbFBLBQYAAAAABgAGAFsBAACz&#10;AwAAAAA=&#10;">
                        <v:fill on="t" focussize="0,0"/>
                        <v:stroke on="f"/>
                        <v:imagedata o:title=""/>
                        <o:lock v:ext="edit" aspectratio="f"/>
                        <v:textbox inset="0.5mm,1.27mm,0.5mm,1.27mm">
                          <w:txbxContent>
                            <w:p>
                              <w:pPr>
                                <w:jc w:val="left"/>
                                <w:rPr>
                                  <w:szCs w:val="21"/>
                                </w:rPr>
                              </w:pPr>
                              <w:r>
                                <w:rPr>
                                  <w:rFonts w:hint="eastAsia"/>
                                  <w:szCs w:val="21"/>
                                </w:rPr>
                                <w:t>噪声、废水、</w:t>
                              </w:r>
                            </w:p>
                            <w:p>
                              <w:pPr>
                                <w:jc w:val="left"/>
                                <w:rPr>
                                  <w:szCs w:val="21"/>
                                </w:rPr>
                              </w:pPr>
                              <w:r>
                                <w:rPr>
                                  <w:rFonts w:hint="eastAsia"/>
                                  <w:szCs w:val="21"/>
                                </w:rPr>
                                <w:t>扬尘、固体废物</w:t>
                              </w:r>
                            </w:p>
                          </w:txbxContent>
                        </v:textbox>
                      </v:shape>
                      <v:line id="直线 972" o:spid="_x0000_s1026" o:spt="20" style="position:absolute;left:7931;top:7663;height:0;width:829;"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973" o:spid="_x0000_s1026" o:spt="202" type="#_x0000_t202" style="position:absolute;left:8760;top:7423;height:454;width:1247;" fillcolor="#FFFFFF" filled="t" stroked="t" coordsize="21600,21600" o:gfxdata="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XJ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5mm,1.27mm,0.5mm,1.27mm">
                          <w:txbxContent>
                            <w:p>
                              <w:pPr>
                                <w:jc w:val="center"/>
                                <w:rPr>
                                  <w:szCs w:val="21"/>
                                </w:rPr>
                              </w:pPr>
                              <w:r>
                                <w:rPr>
                                  <w:rFonts w:hint="eastAsia"/>
                                  <w:szCs w:val="21"/>
                                </w:rPr>
                                <w:t>装修</w:t>
                              </w:r>
                            </w:p>
                          </w:txbxContent>
                        </v:textbox>
                      </v:shape>
                      <v:line id="直线 974" o:spid="_x0000_s1026" o:spt="20" style="position:absolute;left:9375;top:6943;flip:y;height:480;width:0;" filled="f" stroked="t" coordsize="21600,21600" o:gfxdata="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35st7gAAADb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shape id="文本框 975" o:spid="_x0000_s1026" o:spt="202" type="#_x0000_t202" style="position:absolute;left:8760;top:6149;height:794;width:1304;" fillcolor="#FFFFFF" filled="t" stroked="f" coordsize="21600,21600" o:gfxdata="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hV9ZugAAANsA&#10;AAAPAAAAAAAAAAEAIAAAACIAAABkcnMvZG93bnJldi54bWxQSwECFAAUAAAACACHTuJAMy8FnjsA&#10;AAA5AAAAEAAAAAAAAAABACAAAAAJAQAAZHJzL3NoYXBleG1sLnhtbFBLBQYAAAAABgAGAFsBAACz&#10;AwAAAAA=&#10;">
                        <v:fill on="t" focussize="0,0"/>
                        <v:stroke on="f"/>
                        <v:imagedata o:title=""/>
                        <o:lock v:ext="edit" aspectratio="f"/>
                        <v:textbox inset="0.5mm,1.27mm,0.5mm,1.27mm">
                          <w:txbxContent>
                            <w:p>
                              <w:pPr>
                                <w:jc w:val="left"/>
                                <w:rPr>
                                  <w:szCs w:val="21"/>
                                </w:rPr>
                              </w:pPr>
                              <w:r>
                                <w:rPr>
                                  <w:rFonts w:hint="eastAsia"/>
                                  <w:szCs w:val="21"/>
                                </w:rPr>
                                <w:t>噪声、扬尘、</w:t>
                              </w:r>
                            </w:p>
                            <w:p>
                              <w:pPr>
                                <w:jc w:val="left"/>
                                <w:rPr>
                                  <w:szCs w:val="21"/>
                                </w:rPr>
                              </w:pPr>
                              <w:r>
                                <w:rPr>
                                  <w:rFonts w:hint="eastAsia"/>
                                  <w:szCs w:val="21"/>
                                </w:rPr>
                                <w:t>固体废物</w:t>
                              </w:r>
                            </w:p>
                          </w:txbxContent>
                        </v:textbox>
                      </v:shape>
                      <v:shape id="自选图形 976" o:spid="_x0000_s1026" o:spt="32" type="#_x0000_t32" style="position:absolute;left:9356;top:7877;height:598;width:0;"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977" o:spid="_x0000_s1026" o:spt="202" type="#_x0000_t202" style="position:absolute;left:8760;top:8475;height:454;width:1247;" fillcolor="#FFFFFF" filled="t" stroked="t" coordsize="21600,21600" o:gfxdata="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Zjx+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5mm,1.27mm,0.5mm,1.27mm">
                          <w:txbxContent>
                            <w:p>
                              <w:pPr>
                                <w:jc w:val="center"/>
                                <w:rPr>
                                  <w:szCs w:val="21"/>
                                </w:rPr>
                              </w:pPr>
                              <w:r>
                                <w:rPr>
                                  <w:rFonts w:hint="eastAsia"/>
                                  <w:szCs w:val="21"/>
                                </w:rPr>
                                <w:t>竣工验收</w:t>
                              </w:r>
                            </w:p>
                          </w:txbxContent>
                        </v:textbox>
                      </v:shape>
                      <v:shape id="自选图形 978" o:spid="_x0000_s1026" o:spt="32" type="#_x0000_t32" style="position:absolute;left:9353;top:8929;height:598;width:0;" filled="f" stroked="t" coordsize="21600,21600" o:gfxdata="UEsDBAoAAAAAAIdO4kAAAAAAAAAAAAAAAAAEAAAAZHJzL1BLAwQUAAAACACHTuJAITK9ML4AAADb&#10;AAAADwAAAGRycy9kb3ducmV2LnhtbEWPW2sCMRSE3wv+h3CEvtWsF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K9M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979" o:spid="_x0000_s1026" o:spt="202" type="#_x0000_t202" style="position:absolute;left:8817;top:9527;height:454;width:1247;" fillcolor="#FFFFFF" filled="t" stroked="t" coordsize="21600,21600" o:gfxdata="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8sv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5mm,1.27mm,0.5mm,1.27mm">
                          <w:txbxContent>
                            <w:p>
                              <w:pPr>
                                <w:jc w:val="center"/>
                                <w:rPr>
                                  <w:szCs w:val="21"/>
                                </w:rPr>
                              </w:pPr>
                              <w:r>
                                <w:rPr>
                                  <w:rFonts w:hint="eastAsia"/>
                                  <w:szCs w:val="21"/>
                                </w:rPr>
                                <w:t>投入使用</w:t>
                              </w:r>
                            </w:p>
                          </w:txbxContent>
                        </v:textbox>
                      </v:shape>
                      <v:shape id="文本框 980" o:spid="_x0000_s1026" o:spt="202" type="#_x0000_t202" style="position:absolute;left:4887;top:8689;height:454;width:2547;" fillcolor="#FFFFFF" filled="t" stroked="t" coordsize="21600,21600" o:gfxdata="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wF2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5mm,1.27mm,0.5mm,1.27mm">
                          <w:txbxContent>
                            <w:p>
                              <w:pPr>
                                <w:jc w:val="center"/>
                                <w:rPr>
                                  <w:szCs w:val="21"/>
                                </w:rPr>
                              </w:pPr>
                              <w:r>
                                <w:rPr>
                                  <w:rFonts w:hint="eastAsia"/>
                                  <w:szCs w:val="21"/>
                                </w:rPr>
                                <w:t>建筑材料等堆放、运输</w:t>
                              </w:r>
                            </w:p>
                          </w:txbxContent>
                        </v:textbox>
                      </v:shape>
                      <v:shape id="自选图形 981" o:spid="_x0000_s1026" o:spt="32" type="#_x0000_t32" style="position:absolute;left:4229;top:8929;flip:x;height:0;width:658;" filled="f" stroked="t" coordsize="21600,21600" o:gfxdata="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e4Lp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自选图形 982" o:spid="_x0000_s1026" o:spt="32" type="#_x0000_t32" style="position:absolute;left:6113;top:8325;flip:y;height:364;width:0;" filled="f" stroked="t" coordsize="21600,21600" o:gfxdata="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vIi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983" o:spid="_x0000_s1026" o:spt="32" type="#_x0000_t32" style="position:absolute;left:4887;top:8325;height:0;width:2448;" filled="f" stroked="t" coordsize="21600,21600" o:gfxdata="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UhD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984" o:spid="_x0000_s1026" o:spt="32" type="#_x0000_t32" style="position:absolute;left:4887;top:7877;flip:y;height:448;width:0;" filled="f" stroked="t" coordsize="21600,21600" o:gfxdata="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990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985" o:spid="_x0000_s1026" o:spt="32" type="#_x0000_t32" style="position:absolute;left:7335;top:7877;flip:y;height:448;width:0;" filled="f" stroked="t" coordsize="21600,21600" o:gfxdata="UEsDBAoAAAAAAIdO4kAAAAAAAAAAAAAAAAAEAAAAZHJzL1BLAwQUAAAACACHTuJAwEjgNLsAAADb&#10;AAAADwAAAGRycy9kb3ducmV2LnhtbEVPy2rCQBTdF/oPwy24KWZip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jg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adjustRightInd w:val="0"/>
              <w:spacing w:before="156" w:beforeLines="50" w:line="420" w:lineRule="exact"/>
              <w:jc w:val="left"/>
              <w:rPr>
                <w:rFonts w:hint="eastAsia" w:ascii="新宋体" w:hAnsi="新宋体" w:eastAsia="新宋体"/>
                <w:sz w:val="24"/>
              </w:rPr>
            </w:pPr>
          </w:p>
          <w:p>
            <w:pPr>
              <w:adjustRightInd w:val="0"/>
              <w:spacing w:before="156" w:beforeLines="50" w:line="420" w:lineRule="exact"/>
              <w:jc w:val="left"/>
              <w:rPr>
                <w:rFonts w:hint="eastAsia" w:ascii="新宋体" w:hAnsi="新宋体" w:eastAsia="新宋体"/>
                <w:sz w:val="24"/>
              </w:rPr>
            </w:pPr>
          </w:p>
          <w:p>
            <w:pPr>
              <w:adjustRightInd w:val="0"/>
              <w:spacing w:before="156" w:beforeLines="50" w:line="420" w:lineRule="exact"/>
              <w:jc w:val="left"/>
              <w:rPr>
                <w:rFonts w:ascii="新宋体" w:hAnsi="新宋体" w:eastAsia="新宋体"/>
                <w:sz w:val="24"/>
              </w:rPr>
            </w:pPr>
          </w:p>
          <w:p>
            <w:pPr>
              <w:adjustRightInd w:val="0"/>
              <w:spacing w:before="156" w:beforeLines="50" w:line="420" w:lineRule="exact"/>
              <w:jc w:val="left"/>
              <w:rPr>
                <w:rFonts w:hint="eastAsia" w:ascii="新宋体" w:hAnsi="新宋体" w:eastAsia="新宋体"/>
                <w:sz w:val="24"/>
              </w:rPr>
            </w:pPr>
          </w:p>
          <w:p>
            <w:pPr>
              <w:adjustRightInd w:val="0"/>
              <w:spacing w:before="156" w:beforeLines="50" w:line="420" w:lineRule="exact"/>
              <w:jc w:val="left"/>
              <w:rPr>
                <w:rFonts w:hint="eastAsia" w:ascii="新宋体" w:hAnsi="新宋体" w:eastAsia="新宋体"/>
                <w:sz w:val="24"/>
              </w:rPr>
            </w:pPr>
          </w:p>
          <w:p>
            <w:pPr>
              <w:adjustRightInd w:val="0"/>
              <w:spacing w:before="156" w:beforeLines="50" w:line="420" w:lineRule="exact"/>
              <w:jc w:val="left"/>
              <w:rPr>
                <w:rFonts w:hint="eastAsia" w:ascii="新宋体" w:hAnsi="新宋体" w:eastAsia="新宋体"/>
                <w:sz w:val="24"/>
              </w:rPr>
            </w:pPr>
          </w:p>
          <w:p>
            <w:pPr>
              <w:tabs>
                <w:tab w:val="center" w:pos="4153"/>
                <w:tab w:val="right" w:pos="8306"/>
              </w:tabs>
              <w:snapToGrid w:val="0"/>
              <w:spacing w:line="360" w:lineRule="auto"/>
              <w:rPr>
                <w:rFonts w:hint="eastAsia" w:hAnsi="宋体"/>
                <w:sz w:val="24"/>
              </w:rPr>
            </w:pPr>
          </w:p>
          <w:p>
            <w:pPr>
              <w:tabs>
                <w:tab w:val="center" w:pos="4153"/>
                <w:tab w:val="right" w:pos="8306"/>
              </w:tabs>
              <w:snapToGrid w:val="0"/>
              <w:spacing w:line="360" w:lineRule="auto"/>
              <w:rPr>
                <w:rFonts w:hint="eastAsia" w:hAnsi="宋体"/>
                <w:sz w:val="24"/>
              </w:rPr>
            </w:pPr>
          </w:p>
          <w:p>
            <w:pPr>
              <w:tabs>
                <w:tab w:val="center" w:pos="4153"/>
                <w:tab w:val="right" w:pos="8306"/>
              </w:tabs>
              <w:snapToGrid w:val="0"/>
              <w:spacing w:line="360" w:lineRule="auto"/>
              <w:rPr>
                <w:rFonts w:hint="eastAsia"/>
                <w:b/>
                <w:sz w:val="24"/>
              </w:rPr>
            </w:pPr>
            <w:r>
              <w:rPr>
                <w:rFonts w:hint="eastAsia" w:hAnsi="宋体"/>
                <w:sz w:val="24"/>
                <w:lang/>
              </w:rPr>
              <mc:AlternateContent>
                <mc:Choice Requires="wps">
                  <w:drawing>
                    <wp:anchor distT="0" distB="0" distL="114300" distR="114300" simplePos="0" relativeHeight="251755520" behindDoc="0" locked="0" layoutInCell="1" allowOverlap="1">
                      <wp:simplePos x="0" y="0"/>
                      <wp:positionH relativeFrom="column">
                        <wp:posOffset>4209415</wp:posOffset>
                      </wp:positionH>
                      <wp:positionV relativeFrom="paragraph">
                        <wp:posOffset>151130</wp:posOffset>
                      </wp:positionV>
                      <wp:extent cx="1375410" cy="612775"/>
                      <wp:effectExtent l="4445" t="4445" r="10795" b="11430"/>
                      <wp:wrapNone/>
                      <wp:docPr id="121" name="矩形 731"/>
                      <wp:cNvGraphicFramePr/>
                      <a:graphic xmlns:a="http://schemas.openxmlformats.org/drawingml/2006/main">
                        <a:graphicData uri="http://schemas.microsoft.com/office/word/2010/wordprocessingShape">
                          <wps:wsp>
                            <wps:cNvSpPr/>
                            <wps:spPr>
                              <a:xfrm>
                                <a:off x="0" y="0"/>
                                <a:ext cx="1375410" cy="612775"/>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
                                    <w:rPr>
                                      <w:rFonts w:hint="eastAsia"/>
                                    </w:rPr>
                                    <w:t>排入城市污水管网，进入污水处理厂</w:t>
                                  </w:r>
                                </w:p>
                              </w:txbxContent>
                            </wps:txbx>
                            <wps:bodyPr wrap="square" upright="1"/>
                          </wps:wsp>
                        </a:graphicData>
                      </a:graphic>
                    </wp:anchor>
                  </w:drawing>
                </mc:Choice>
                <mc:Fallback>
                  <w:pict>
                    <v:rect id="矩形 731" o:spid="_x0000_s1026" o:spt="1" style="position:absolute;left:0pt;margin-left:331.45pt;margin-top:11.9pt;height:48.25pt;width:108.3pt;z-index:251755520;mso-width-relative:page;mso-height-relative:page;" fillcolor="#FFFFFF" filled="t" stroked="t" coordsize="21600,21600" o:gfxdata="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k4nU/VAAAACgEAAA8A&#10;AAAAAAAAAQAgAAAAIgAAAGRycy9kb3ducmV2LnhtbFBLAQIUABQAAAAIAIdO4kCPzKDyGgIAAFgE&#10;AAAOAAAAAAAAAAEAIAAAACQBAABkcnMvZTJvRG9jLnhtbFBLBQYAAAAABgAGAFkBAACwBQAAAAA=&#10;">
                      <v:fill on="t" opacity="0f" focussize="0,0"/>
                      <v:stroke color="#FFFFFF" joinstyle="miter"/>
                      <v:imagedata o:title=""/>
                      <o:lock v:ext="edit" aspectratio="f"/>
                      <v:textbox>
                        <w:txbxContent>
                          <w:p>
                            <w:r>
                              <w:rPr>
                                <w:rFonts w:hint="eastAsia"/>
                              </w:rPr>
                              <w:t>排入城市污水管网，进入污水处理厂</w:t>
                            </w:r>
                          </w:p>
                        </w:txbxContent>
                      </v:textbox>
                    </v:rect>
                  </w:pict>
                </mc:Fallback>
              </mc:AlternateContent>
            </w:r>
            <w:r>
              <w:rPr>
                <w:rFonts w:hint="eastAsia" w:hAnsi="宋体"/>
                <w:sz w:val="24"/>
                <w:lang/>
              </w:rPr>
              <mc:AlternateContent>
                <mc:Choice Requires="wps">
                  <w:drawing>
                    <wp:anchor distT="0" distB="0" distL="114300" distR="114300" simplePos="0" relativeHeight="251731968" behindDoc="0" locked="0" layoutInCell="1" allowOverlap="1">
                      <wp:simplePos x="0" y="0"/>
                      <wp:positionH relativeFrom="column">
                        <wp:posOffset>1895475</wp:posOffset>
                      </wp:positionH>
                      <wp:positionV relativeFrom="paragraph">
                        <wp:posOffset>253365</wp:posOffset>
                      </wp:positionV>
                      <wp:extent cx="771525" cy="285750"/>
                      <wp:effectExtent l="4445" t="4445" r="5080" b="14605"/>
                      <wp:wrapNone/>
                      <wp:docPr id="98" name="矩形 692"/>
                      <wp:cNvGraphicFramePr/>
                      <a:graphic xmlns:a="http://schemas.openxmlformats.org/drawingml/2006/main">
                        <a:graphicData uri="http://schemas.microsoft.com/office/word/2010/wordprocessingShape">
                          <wps:wsp>
                            <wps:cNvSpPr/>
                            <wps:spPr>
                              <a:xfrm>
                                <a:off x="0" y="0"/>
                                <a:ext cx="7715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生活污水</w:t>
                                  </w:r>
                                </w:p>
                              </w:txbxContent>
                            </wps:txbx>
                            <wps:bodyPr wrap="square" upright="1"/>
                          </wps:wsp>
                        </a:graphicData>
                      </a:graphic>
                    </wp:anchor>
                  </w:drawing>
                </mc:Choice>
                <mc:Fallback>
                  <w:pict>
                    <v:rect id="矩形 692" o:spid="_x0000_s1026" o:spt="1" style="position:absolute;left:0pt;margin-left:149.25pt;margin-top:19.95pt;height:22.5pt;width:60.75pt;z-index:251731968;mso-width-relative:page;mso-height-relative:page;" fillcolor="#FFFFFF" filled="t" stroked="t" coordsize="21600,21600" o:gfxdata="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MmFz1wAAAAkBAAAPAAAAAAAAAAEAIAAA&#10;ACIAAABkcnMvZG93bnJldi54bWxQSwECFAAUAAAACACHTuJAmrlMnQ0CAAA5BAAADgAAAAAAAAAB&#10;ACAAAAAmAQAAZHJzL2Uyb0RvYy54bWxQSwUGAAAAAAYABgBZAQAApQUAAAAA&#10;">
                      <v:fill on="t" focussize="0,0"/>
                      <v:stroke color="#000000" joinstyle="miter"/>
                      <v:imagedata o:title=""/>
                      <o:lock v:ext="edit" aspectratio="f"/>
                      <v:textbox>
                        <w:txbxContent>
                          <w:p>
                            <w:pPr>
                              <w:rPr>
                                <w:szCs w:val="21"/>
                              </w:rPr>
                            </w:pPr>
                            <w:r>
                              <w:rPr>
                                <w:rFonts w:hint="eastAsia"/>
                                <w:szCs w:val="21"/>
                              </w:rPr>
                              <w:t>生活污水</w:t>
                            </w:r>
                          </w:p>
                        </w:txbxContent>
                      </v:textbox>
                    </v:rect>
                  </w:pict>
                </mc:Fallback>
              </mc:AlternateContent>
            </w:r>
            <w:r>
              <w:rPr>
                <w:rFonts w:hAnsi="宋体"/>
                <w:b/>
                <w:sz w:val="24"/>
              </w:rPr>
              <w:t>二、营运期</w:t>
            </w:r>
          </w:p>
          <w:p>
            <w:pPr>
              <w:spacing w:line="360" w:lineRule="auto"/>
              <w:rPr>
                <w:rFonts w:hint="eastAsia" w:hAnsi="宋体"/>
                <w:sz w:val="24"/>
              </w:rPr>
            </w:pPr>
            <w:r>
              <w:rPr>
                <w:rFonts w:hAnsi="宋体"/>
                <w:b/>
                <w:sz w:val="24"/>
                <w:lang/>
              </w:rPr>
              <mc:AlternateContent>
                <mc:Choice Requires="wps">
                  <w:drawing>
                    <wp:anchor distT="0" distB="0" distL="114300" distR="114300" simplePos="0" relativeHeight="251769856" behindDoc="0" locked="0" layoutInCell="1" allowOverlap="1">
                      <wp:simplePos x="0" y="0"/>
                      <wp:positionH relativeFrom="column">
                        <wp:posOffset>3874135</wp:posOffset>
                      </wp:positionH>
                      <wp:positionV relativeFrom="paragraph">
                        <wp:posOffset>135255</wp:posOffset>
                      </wp:positionV>
                      <wp:extent cx="278130" cy="16510"/>
                      <wp:effectExtent l="0" t="33655" r="7620" b="26035"/>
                      <wp:wrapNone/>
                      <wp:docPr id="135" name="自选图形 718"/>
                      <wp:cNvGraphicFramePr/>
                      <a:graphic xmlns:a="http://schemas.openxmlformats.org/drawingml/2006/main">
                        <a:graphicData uri="http://schemas.microsoft.com/office/word/2010/wordprocessingShape">
                          <wps:wsp>
                            <wps:cNvCnPr/>
                            <wps:spPr>
                              <a:xfrm flipV="1">
                                <a:off x="0" y="0"/>
                                <a:ext cx="278130" cy="16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8" o:spid="_x0000_s1026" o:spt="32" type="#_x0000_t32" style="position:absolute;left:0pt;flip:y;margin-left:305.05pt;margin-top:10.65pt;height:1.3pt;width:21.9pt;z-index:251769856;mso-width-relative:page;mso-height-relative:page;" filled="f" stroked="t" coordsize="21600,21600" o:gfxdata="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bsJkvYAAAACQEAAA8AAAAAAAAAAQAgAAAA&#10;IgAAAGRycy9kb3ducmV2LnhtbFBLAQIUABQAAAAIAIdO4kBs4TazCwIAAPgDAAAOAAAAAAAAAAEA&#10;IAAAACcBAABkcnMvZTJvRG9jLnhtbFBLBQYAAAAABgAGAFkBAACkBQAAAAA=&#10;">
                      <v:fill on="f" focussize="0,0"/>
                      <v:stroke color="#000000" joinstyle="round" endarrow="block"/>
                      <v:imagedata o:title=""/>
                      <o:lock v:ext="edit" aspectratio="f"/>
                    </v:shape>
                  </w:pict>
                </mc:Fallback>
              </mc:AlternateContent>
            </w:r>
            <w:r>
              <w:rPr>
                <w:rFonts w:hAnsi="宋体"/>
                <w:b/>
                <w:sz w:val="24"/>
                <w:lang/>
              </w:rPr>
              <mc:AlternateContent>
                <mc:Choice Requires="wps">
                  <w:drawing>
                    <wp:anchor distT="0" distB="0" distL="114300" distR="114300" simplePos="0" relativeHeight="251768832" behindDoc="0" locked="0" layoutInCell="1" allowOverlap="1">
                      <wp:simplePos x="0" y="0"/>
                      <wp:positionH relativeFrom="column">
                        <wp:posOffset>2981960</wp:posOffset>
                      </wp:positionH>
                      <wp:positionV relativeFrom="paragraph">
                        <wp:posOffset>135255</wp:posOffset>
                      </wp:positionV>
                      <wp:extent cx="0" cy="485775"/>
                      <wp:effectExtent l="4445" t="0" r="14605" b="9525"/>
                      <wp:wrapNone/>
                      <wp:docPr id="134" name="自选图形 1129"/>
                      <wp:cNvGraphicFramePr/>
                      <a:graphic xmlns:a="http://schemas.openxmlformats.org/drawingml/2006/main">
                        <a:graphicData uri="http://schemas.microsoft.com/office/word/2010/wordprocessingShape">
                          <wps:wsp>
                            <wps:cNvCnPr/>
                            <wps:spPr>
                              <a:xfrm>
                                <a:off x="0" y="0"/>
                                <a:ext cx="0" cy="4857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29" o:spid="_x0000_s1026" o:spt="32" type="#_x0000_t32" style="position:absolute;left:0pt;margin-left:234.8pt;margin-top:10.65pt;height:38.25pt;width:0pt;z-index:251768832;mso-width-relative:page;mso-height-relative:page;" filled="f" stroked="t" coordsize="21600,21600" o:gfxdata="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zBA2HXAAAACQEAAA8AAAAAAAAAAQAgAAAAIgAAAGRycy9kb3ducmV2LnhtbFBL&#10;AQIUABQAAAAIAIdO4kBbij+79wEAAOcDAAAOAAAAAAAAAAEAIAAAACYBAABkcnMvZTJvRG9jLnht&#10;bFBLBQYAAAAABgAGAFkBAACPBQAAAAA=&#10;">
                      <v:fill on="f" focussize="0,0"/>
                      <v:stroke color="#000000" joinstyle="round"/>
                      <v:imagedata o:title=""/>
                      <o:lock v:ext="edit" aspectratio="f"/>
                    </v:shape>
                  </w:pict>
                </mc:Fallback>
              </mc:AlternateContent>
            </w:r>
            <w:r>
              <w:rPr>
                <w:rFonts w:hint="eastAsia" w:hAnsi="宋体"/>
                <w:sz w:val="24"/>
                <w:lang/>
              </w:rPr>
              <mc:AlternateContent>
                <mc:Choice Requires="wps">
                  <w:drawing>
                    <wp:anchor distT="0" distB="0" distL="114300" distR="114300" simplePos="0" relativeHeight="251665408" behindDoc="0" locked="0" layoutInCell="1" allowOverlap="1">
                      <wp:simplePos x="0" y="0"/>
                      <wp:positionH relativeFrom="column">
                        <wp:posOffset>3874135</wp:posOffset>
                      </wp:positionH>
                      <wp:positionV relativeFrom="paragraph">
                        <wp:posOffset>118745</wp:posOffset>
                      </wp:positionV>
                      <wp:extent cx="0" cy="485775"/>
                      <wp:effectExtent l="4445" t="0" r="14605" b="9525"/>
                      <wp:wrapNone/>
                      <wp:docPr id="34" name="自选图形 1129"/>
                      <wp:cNvGraphicFramePr/>
                      <a:graphic xmlns:a="http://schemas.openxmlformats.org/drawingml/2006/main">
                        <a:graphicData uri="http://schemas.microsoft.com/office/word/2010/wordprocessingShape">
                          <wps:wsp>
                            <wps:cNvCnPr/>
                            <wps:spPr>
                              <a:xfrm>
                                <a:off x="0" y="0"/>
                                <a:ext cx="0" cy="4857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29" o:spid="_x0000_s1026" o:spt="32" type="#_x0000_t32" style="position:absolute;left:0pt;margin-left:305.05pt;margin-top:9.35pt;height:38.25pt;width:0pt;z-index:251665408;mso-width-relative:page;mso-height-relative:page;" filled="f" stroked="t" coordsize="21600,21600" o:gfxdata="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NAJtNYAAAAJAQAADwAAAAAAAAABACAAAAAiAAAAZHJzL2Rvd25yZXYueG1sUEsB&#10;AhQAFAAAAAgAh07iQFIZLKv3AQAA5gMAAA4AAAAAAAAAAQAgAAAAJQEAAGRycy9lMm9Eb2MueG1s&#10;UEsFBgAAAAAGAAYAWQEAAI4FAAAAAA==&#10;">
                      <v:fill on="f" focussize="0,0"/>
                      <v:stroke color="#000000" joinstyle="round"/>
                      <v:imagedata o:title=""/>
                      <o:lock v:ext="edit" aspectratio="f"/>
                    </v:shape>
                  </w:pict>
                </mc:Fallback>
              </mc:AlternateContent>
            </w:r>
            <w:r>
              <w:rPr>
                <w:rFonts w:hint="eastAsia" w:hAnsi="宋体"/>
                <w:sz w:val="24"/>
                <w:lang/>
              </w:rPr>
              <mc:AlternateContent>
                <mc:Choice Requires="wps">
                  <w:drawing>
                    <wp:anchor distT="0" distB="0" distL="114300" distR="114300" simplePos="0" relativeHeight="251751424" behindDoc="0" locked="0" layoutInCell="1" allowOverlap="1">
                      <wp:simplePos x="0" y="0"/>
                      <wp:positionH relativeFrom="column">
                        <wp:posOffset>3098165</wp:posOffset>
                      </wp:positionH>
                      <wp:positionV relativeFrom="paragraph">
                        <wp:posOffset>230505</wp:posOffset>
                      </wp:positionV>
                      <wp:extent cx="609600" cy="285750"/>
                      <wp:effectExtent l="4445" t="4445" r="14605" b="14605"/>
                      <wp:wrapNone/>
                      <wp:docPr id="117" name="矩形 717"/>
                      <wp:cNvGraphicFramePr/>
                      <a:graphic xmlns:a="http://schemas.openxmlformats.org/drawingml/2006/main">
                        <a:graphicData uri="http://schemas.microsoft.com/office/word/2010/wordprocessingShape">
                          <wps:wsp>
                            <wps:cNvSpPr/>
                            <wps:spPr>
                              <a:xfrm>
                                <a:off x="0" y="0"/>
                                <a:ext cx="60960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化粪池</w:t>
                                  </w:r>
                                </w:p>
                              </w:txbxContent>
                            </wps:txbx>
                            <wps:bodyPr wrap="square" upright="1"/>
                          </wps:wsp>
                        </a:graphicData>
                      </a:graphic>
                    </wp:anchor>
                  </w:drawing>
                </mc:Choice>
                <mc:Fallback>
                  <w:pict>
                    <v:rect id="矩形 717" o:spid="_x0000_s1026" o:spt="1" style="position:absolute;left:0pt;margin-left:243.95pt;margin-top:18.15pt;height:22.5pt;width:48pt;z-index:251751424;mso-width-relative:page;mso-height-relative:page;" fillcolor="#FFFFFF" filled="t" stroked="t" coordsize="21600,21600" o:gfxdata="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GH2AAAAAkBAAAPAAAAAAAAAAEA&#10;IAAAACIAAABkcnMvZG93bnJldi54bWxQSwECFAAUAAAACACHTuJAfvDa9w8CAAA6BAAADgAAAAAA&#10;AAABACAAAAAnAQAAZHJzL2Uyb0RvYy54bWxQSwUGAAAAAAYABgBZAQAAqAUAAAAA&#10;">
                      <v:fill on="t" focussize="0,0"/>
                      <v:stroke color="#000000" joinstyle="miter"/>
                      <v:imagedata o:title=""/>
                      <o:lock v:ext="edit" aspectratio="f"/>
                      <v:textbox>
                        <w:txbxContent>
                          <w:p>
                            <w:r>
                              <w:rPr>
                                <w:rFonts w:hint="eastAsia"/>
                              </w:rPr>
                              <w:t>化粪池</w:t>
                            </w:r>
                          </w:p>
                        </w:txbxContent>
                      </v:textbox>
                    </v:rect>
                  </w:pict>
                </mc:Fallback>
              </mc:AlternateContent>
            </w:r>
            <w:r>
              <w:rPr>
                <w:rFonts w:hint="eastAsia" w:hAnsi="宋体"/>
                <w:sz w:val="24"/>
                <w:lang/>
              </w:rPr>
              <mc:AlternateContent>
                <mc:Choice Requires="wps">
                  <w:drawing>
                    <wp:anchor distT="0" distB="0" distL="114300" distR="114300" simplePos="0" relativeHeight="251740160" behindDoc="0" locked="0" layoutInCell="1" allowOverlap="1">
                      <wp:simplePos x="0" y="0"/>
                      <wp:positionH relativeFrom="column">
                        <wp:posOffset>838200</wp:posOffset>
                      </wp:positionH>
                      <wp:positionV relativeFrom="paragraph">
                        <wp:posOffset>242570</wp:posOffset>
                      </wp:positionV>
                      <wp:extent cx="485775" cy="295275"/>
                      <wp:effectExtent l="4445" t="4445" r="5080" b="5080"/>
                      <wp:wrapNone/>
                      <wp:docPr id="106" name="矩形 700"/>
                      <wp:cNvGraphicFramePr/>
                      <a:graphic xmlns:a="http://schemas.openxmlformats.org/drawingml/2006/main">
                        <a:graphicData uri="http://schemas.microsoft.com/office/word/2010/wordprocessingShape">
                          <wps:wsp>
                            <wps:cNvSpPr/>
                            <wps:spPr>
                              <a:xfrm>
                                <a:off x="0" y="0"/>
                                <a:ext cx="4857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废水</w:t>
                                  </w:r>
                                </w:p>
                              </w:txbxContent>
                            </wps:txbx>
                            <wps:bodyPr wrap="square" upright="1"/>
                          </wps:wsp>
                        </a:graphicData>
                      </a:graphic>
                    </wp:anchor>
                  </w:drawing>
                </mc:Choice>
                <mc:Fallback>
                  <w:pict>
                    <v:rect id="矩形 700" o:spid="_x0000_s1026" o:spt="1" style="position:absolute;left:0pt;margin-left:66pt;margin-top:19.1pt;height:23.25pt;width:38.25pt;z-index:251740160;mso-width-relative:page;mso-height-relative:page;" fillcolor="#FFFFFF" filled="t" stroked="t" coordsize="21600,21600" o:gfxdata="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G9BjDXAAAACQEAAA8AAAAAAAAAAQAgAAAAIgAA&#10;AGRycy9kb3ducmV2LnhtbFBLAQIUABQAAAAIAIdO4kAYXQH1CQIAADoEAAAOAAAAAAAAAAEAIAAA&#10;ACYBAABkcnMvZTJvRG9jLnhtbFBLBQYAAAAABgAGAFkBAAChBQAAAAA=&#10;">
                      <v:fill on="t" focussize="0,0"/>
                      <v:stroke color="#000000" joinstyle="miter"/>
                      <v:imagedata o:title=""/>
                      <o:lock v:ext="edit" aspectratio="f"/>
                      <v:textbox>
                        <w:txbxContent>
                          <w:p>
                            <w:r>
                              <w:rPr>
                                <w:rFonts w:hint="eastAsia"/>
                              </w:rPr>
                              <w:t>废水</w:t>
                            </w:r>
                          </w:p>
                        </w:txbxContent>
                      </v:textbox>
                    </v:rect>
                  </w:pict>
                </mc:Fallback>
              </mc:AlternateContent>
            </w:r>
            <w:r>
              <w:rPr>
                <w:rFonts w:hint="eastAsia" w:hAnsi="宋体"/>
                <w:sz w:val="24"/>
                <w:lang/>
              </w:rPr>
              <mc:AlternateContent>
                <mc:Choice Requires="wps">
                  <w:drawing>
                    <wp:anchor distT="0" distB="0" distL="114300" distR="114300" simplePos="0" relativeHeight="251739136" behindDoc="0" locked="0" layoutInCell="1" allowOverlap="1">
                      <wp:simplePos x="0" y="0"/>
                      <wp:positionH relativeFrom="column">
                        <wp:posOffset>1581150</wp:posOffset>
                      </wp:positionH>
                      <wp:positionV relativeFrom="paragraph">
                        <wp:posOffset>118745</wp:posOffset>
                      </wp:positionV>
                      <wp:extent cx="635" cy="485775"/>
                      <wp:effectExtent l="4445" t="0" r="13970" b="9525"/>
                      <wp:wrapNone/>
                      <wp:docPr id="105" name="自选图形 699"/>
                      <wp:cNvGraphicFramePr/>
                      <a:graphic xmlns:a="http://schemas.openxmlformats.org/drawingml/2006/main">
                        <a:graphicData uri="http://schemas.microsoft.com/office/word/2010/wordprocessingShape">
                          <wps:wsp>
                            <wps:cNvCnPr/>
                            <wps:spPr>
                              <a:xfrm>
                                <a:off x="0" y="0"/>
                                <a:ext cx="635" cy="4857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99" o:spid="_x0000_s1026" o:spt="32" type="#_x0000_t32" style="position:absolute;left:0pt;margin-left:124.5pt;margin-top:9.35pt;height:38.25pt;width:0.05pt;z-index:251739136;mso-width-relative:page;mso-height-relative:page;" filled="f" stroked="t" coordsize="21600,21600" o:gfxdata="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uqzdgAAAAJAQAADwAAAAAAAAABACAAAAAiAAAAZHJzL2Rvd25yZXYueG1s&#10;UEsBAhQAFAAAAAgAh07iQOShgJf4AQAA6AMAAA4AAAAAAAAAAQAgAAAAJwEAAGRycy9lMm9Eb2Mu&#10;eG1sUEsFBgAAAAAGAAYAWQEAAJEFAAAAAA==&#10;">
                      <v:fill on="f" focussize="0,0"/>
                      <v:stroke color="#000000" joinstyle="round"/>
                      <v:imagedata o:title=""/>
                      <o:lock v:ext="edit" aspectratio="f"/>
                    </v:shape>
                  </w:pict>
                </mc:Fallback>
              </mc:AlternateContent>
            </w:r>
            <w:r>
              <w:rPr>
                <w:rFonts w:hint="eastAsia" w:hAnsi="宋体"/>
                <w:sz w:val="24"/>
                <w:lang/>
              </w:rPr>
              <mc:AlternateContent>
                <mc:Choice Requires="wps">
                  <w:drawing>
                    <wp:anchor distT="0" distB="0" distL="114300" distR="114300" simplePos="0" relativeHeight="251727872" behindDoc="0" locked="0" layoutInCell="1" allowOverlap="1">
                      <wp:simplePos x="0" y="0"/>
                      <wp:positionH relativeFrom="column">
                        <wp:posOffset>1590675</wp:posOffset>
                      </wp:positionH>
                      <wp:positionV relativeFrom="paragraph">
                        <wp:posOffset>118745</wp:posOffset>
                      </wp:positionV>
                      <wp:extent cx="304800" cy="0"/>
                      <wp:effectExtent l="0" t="38100" r="0" b="38100"/>
                      <wp:wrapNone/>
                      <wp:docPr id="94" name="自选图形 688"/>
                      <wp:cNvGraphicFramePr/>
                      <a:graphic xmlns:a="http://schemas.openxmlformats.org/drawingml/2006/main">
                        <a:graphicData uri="http://schemas.microsoft.com/office/word/2010/wordprocessingShape">
                          <wps:wsp>
                            <wps:cNvCnPr/>
                            <wps:spPr>
                              <a:xfrm>
                                <a:off x="0" y="0"/>
                                <a:ext cx="3048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88" o:spid="_x0000_s1026" o:spt="32" type="#_x0000_t32" style="position:absolute;left:0pt;margin-left:125.25pt;margin-top:9.35pt;height:0pt;width:24pt;z-index:251727872;mso-width-relative:page;mso-height-relative:page;" filled="f" stroked="t" coordsize="21600,21600" o:gfxdata="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ZH6B9gAAAAJAQAADwAAAAAAAAABACAAAAAiAAAAZHJzL2Rvd25y&#10;ZXYueG1sUEsBAhQAFAAAAAgAh07iQEnnaIf+AQAA6QMAAA4AAAAAAAAAAQAgAAAAJwEAAGRycy9l&#10;Mm9Eb2MueG1sUEsFBgAAAAAGAAYAWQEAAJcFAAAAAA==&#10;">
                      <v:fill on="f" focussize="0,0"/>
                      <v:stroke color="#000000" joinstyle="round" endarrow="block"/>
                      <v:imagedata o:title=""/>
                      <o:lock v:ext="edit" aspectratio="f"/>
                    </v:shape>
                  </w:pict>
                </mc:Fallback>
              </mc:AlternateContent>
            </w:r>
            <w:r>
              <w:rPr>
                <w:rFonts w:hint="eastAsia" w:hAnsi="宋体"/>
                <w:sz w:val="24"/>
                <w:lang/>
              </w:rPr>
              <mc:AlternateContent>
                <mc:Choice Requires="wps">
                  <w:drawing>
                    <wp:anchor distT="0" distB="0" distL="114300" distR="114300" simplePos="0" relativeHeight="251664384" behindDoc="0" locked="0" layoutInCell="1" allowOverlap="1">
                      <wp:simplePos x="0" y="0"/>
                      <wp:positionH relativeFrom="column">
                        <wp:posOffset>2657475</wp:posOffset>
                      </wp:positionH>
                      <wp:positionV relativeFrom="paragraph">
                        <wp:posOffset>118745</wp:posOffset>
                      </wp:positionV>
                      <wp:extent cx="314325" cy="0"/>
                      <wp:effectExtent l="0" t="4445" r="0" b="5080"/>
                      <wp:wrapNone/>
                      <wp:docPr id="33" name="自选图形 1128"/>
                      <wp:cNvGraphicFramePr/>
                      <a:graphic xmlns:a="http://schemas.openxmlformats.org/drawingml/2006/main">
                        <a:graphicData uri="http://schemas.microsoft.com/office/word/2010/wordprocessingShape">
                          <wps:wsp>
                            <wps:cNvCnPr/>
                            <wps:spPr>
                              <a:xfrm>
                                <a:off x="0" y="0"/>
                                <a:ext cx="3143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28" o:spid="_x0000_s1026" o:spt="32" type="#_x0000_t32" style="position:absolute;left:0pt;margin-left:209.25pt;margin-top:9.35pt;height:0pt;width:24.75pt;z-index:251664384;mso-width-relative:page;mso-height-relative:page;" filled="f" stroked="t" coordsize="21600,21600" o:gfxdata="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zIEJbXAAAACQEAAA8AAAAAAAAAAQAgAAAAIgAAAGRycy9kb3ducmV2LnhtbFBL&#10;AQIUABQAAAAIAIdO4kCujoxh9wEAAOYDAAAOAAAAAAAAAAEAIAAAACYBAABkcnMvZTJvRG9jLnht&#10;bFBLBQYAAAAABgAGAFkBAACPBQAAAAA=&#10;">
                      <v:fill on="f" focussize="0,0"/>
                      <v:stroke color="#000000" joinstyle="round"/>
                      <v:imagedata o:title=""/>
                      <o:lock v:ext="edit" aspectratio="f"/>
                    </v:shape>
                  </w:pict>
                </mc:Fallback>
              </mc:AlternateContent>
            </w:r>
          </w:p>
          <w:p>
            <w:pPr>
              <w:spacing w:line="360" w:lineRule="auto"/>
              <w:rPr>
                <w:rFonts w:hint="eastAsia" w:hAnsi="宋体"/>
                <w:color w:val="FF0000"/>
                <w:sz w:val="24"/>
              </w:rPr>
            </w:pPr>
            <w:r>
              <w:rPr>
                <w:rFonts w:hAnsi="宋体"/>
                <w:b/>
                <w:sz w:val="24"/>
                <w:lang/>
              </w:rPr>
              <mc:AlternateContent>
                <mc:Choice Requires="wps">
                  <w:drawing>
                    <wp:anchor distT="0" distB="0" distL="114300" distR="114300" simplePos="0" relativeHeight="251771904" behindDoc="0" locked="0" layoutInCell="1" allowOverlap="1">
                      <wp:simplePos x="0" y="0"/>
                      <wp:positionH relativeFrom="column">
                        <wp:posOffset>4152265</wp:posOffset>
                      </wp:positionH>
                      <wp:positionV relativeFrom="paragraph">
                        <wp:posOffset>152400</wp:posOffset>
                      </wp:positionV>
                      <wp:extent cx="1375410" cy="612775"/>
                      <wp:effectExtent l="4445" t="4445" r="10795" b="11430"/>
                      <wp:wrapNone/>
                      <wp:docPr id="137" name="矩形 731"/>
                      <wp:cNvGraphicFramePr/>
                      <a:graphic xmlns:a="http://schemas.openxmlformats.org/drawingml/2006/main">
                        <a:graphicData uri="http://schemas.microsoft.com/office/word/2010/wordprocessingShape">
                          <wps:wsp>
                            <wps:cNvSpPr/>
                            <wps:spPr>
                              <a:xfrm>
                                <a:off x="0" y="0"/>
                                <a:ext cx="1375410" cy="612775"/>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
                                    <w:rPr>
                                      <w:rFonts w:hint="eastAsia"/>
                                    </w:rPr>
                                    <w:t>中水处理站处理后回用</w:t>
                                  </w:r>
                                </w:p>
                              </w:txbxContent>
                            </wps:txbx>
                            <wps:bodyPr wrap="square" upright="1"/>
                          </wps:wsp>
                        </a:graphicData>
                      </a:graphic>
                    </wp:anchor>
                  </w:drawing>
                </mc:Choice>
                <mc:Fallback>
                  <w:pict>
                    <v:rect id="矩形 731" o:spid="_x0000_s1026" o:spt="1" style="position:absolute;left:0pt;margin-left:326.95pt;margin-top:12pt;height:48.25pt;width:108.3pt;z-index:251771904;mso-width-relative:page;mso-height-relative:page;" fillcolor="#FFFFFF" filled="t" stroked="t" coordsize="21600,21600" o:gfxdata="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vkmEdUAAAAKAQAADwAA&#10;AAAAAAABACAAAAAiAAAAZHJzL2Rvd25yZXYueG1sUEsBAhQAFAAAAAgAh07iQOJn4BEZAgAAWAQA&#10;AA4AAAAAAAAAAQAgAAAAJAEAAGRycy9lMm9Eb2MueG1sUEsFBgAAAAAGAAYAWQEAAK8FAAAAAA==&#10;">
                      <v:fill on="t" opacity="0f" focussize="0,0"/>
                      <v:stroke color="#FFFFFF" joinstyle="miter"/>
                      <v:imagedata o:title=""/>
                      <o:lock v:ext="edit" aspectratio="f"/>
                      <v:textbox>
                        <w:txbxContent>
                          <w:p>
                            <w:r>
                              <w:rPr>
                                <w:rFonts w:hint="eastAsia"/>
                              </w:rPr>
                              <w:t>中水处理站处理后回用</w:t>
                            </w:r>
                          </w:p>
                        </w:txbxContent>
                      </v:textbox>
                    </v:rect>
                  </w:pict>
                </mc:Fallback>
              </mc:AlternateContent>
            </w:r>
            <w:r>
              <w:rPr>
                <w:rFonts w:hint="eastAsia" w:hAnsi="宋体"/>
                <w:color w:val="FF0000"/>
                <w:sz w:val="24"/>
                <w:lang/>
              </w:rPr>
              <mc:AlternateContent>
                <mc:Choice Requires="wps">
                  <w:drawing>
                    <wp:anchor distT="0" distB="0" distL="114300" distR="114300" simplePos="0" relativeHeight="251752448" behindDoc="0" locked="0" layoutInCell="1" allowOverlap="1">
                      <wp:simplePos x="0" y="0"/>
                      <wp:positionH relativeFrom="column">
                        <wp:posOffset>3738245</wp:posOffset>
                      </wp:positionH>
                      <wp:positionV relativeFrom="paragraph">
                        <wp:posOffset>66040</wp:posOffset>
                      </wp:positionV>
                      <wp:extent cx="125730" cy="0"/>
                      <wp:effectExtent l="0" t="38100" r="7620" b="38100"/>
                      <wp:wrapNone/>
                      <wp:docPr id="118" name="自选图形 718"/>
                      <wp:cNvGraphicFramePr/>
                      <a:graphic xmlns:a="http://schemas.openxmlformats.org/drawingml/2006/main">
                        <a:graphicData uri="http://schemas.microsoft.com/office/word/2010/wordprocessingShape">
                          <wps:wsp>
                            <wps:cNvCnPr/>
                            <wps:spPr>
                              <a:xfrm>
                                <a:off x="0" y="0"/>
                                <a:ext cx="1257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8" o:spid="_x0000_s1026" o:spt="32" type="#_x0000_t32" style="position:absolute;left:0pt;margin-left:294.35pt;margin-top:5.2pt;height:0pt;width:9.9pt;z-index:251752448;mso-width-relative:page;mso-height-relative:page;" filled="f" stroked="t" coordsize="21600,21600" o:gfxdata="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ts/Ej2AAAAAkBAAAPAAAAAAAAAAEAIAAAACIAAABkcnMvZG93bnJl&#10;di54bWxQSwECFAAUAAAACACHTuJA+GG5Df0BAADqAwAADgAAAAAAAAABACAAAAAnAQAAZHJzL2Uy&#10;b0RvYy54bWxQSwUGAAAAAAYABgBZAQAAlgUAAAAA&#10;">
                      <v:fill on="f" focussize="0,0"/>
                      <v:stroke color="#000000" joinstyle="round" endarrow="block"/>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50400" behindDoc="0" locked="0" layoutInCell="1" allowOverlap="1">
                      <wp:simplePos x="0" y="0"/>
                      <wp:positionH relativeFrom="column">
                        <wp:posOffset>2971800</wp:posOffset>
                      </wp:positionH>
                      <wp:positionV relativeFrom="paragraph">
                        <wp:posOffset>66040</wp:posOffset>
                      </wp:positionV>
                      <wp:extent cx="154305" cy="16510"/>
                      <wp:effectExtent l="635" t="29845" r="16510" b="29845"/>
                      <wp:wrapNone/>
                      <wp:docPr id="116" name="自选图形 715"/>
                      <wp:cNvGraphicFramePr/>
                      <a:graphic xmlns:a="http://schemas.openxmlformats.org/drawingml/2006/main">
                        <a:graphicData uri="http://schemas.microsoft.com/office/word/2010/wordprocessingShape">
                          <wps:wsp>
                            <wps:cNvCnPr/>
                            <wps:spPr>
                              <a:xfrm flipV="1">
                                <a:off x="0" y="0"/>
                                <a:ext cx="154305" cy="16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5" o:spid="_x0000_s1026" o:spt="32" type="#_x0000_t32" style="position:absolute;left:0pt;flip:y;margin-left:234pt;margin-top:5.2pt;height:1.3pt;width:12.15pt;z-index:251750400;mso-width-relative:page;mso-height-relative:page;" filled="f" stroked="t" coordsize="21600,21600" o:gfxdata="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AC+oNkAAAAJAQAADwAAAAAAAAABACAAAAAi&#10;AAAAZHJzL2Rvd25yZXYueG1sUEsBAhQAFAAAAAgAh07iQDAJ8/IJAgAA+AMAAA4AAAAAAAAAAQAg&#10;AAAAKAEAAGRycy9lMm9Eb2MueG1sUEsFBgAAAAAGAAYAWQEAAKMFAAAAAA==&#10;">
                      <v:fill on="f" focussize="0,0"/>
                      <v:stroke color="#000000" joinstyle="round" endarrow="block"/>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41184" behindDoc="0" locked="0" layoutInCell="1" allowOverlap="1">
                      <wp:simplePos x="0" y="0"/>
                      <wp:positionH relativeFrom="column">
                        <wp:posOffset>1895475</wp:posOffset>
                      </wp:positionH>
                      <wp:positionV relativeFrom="paragraph">
                        <wp:posOffset>183515</wp:posOffset>
                      </wp:positionV>
                      <wp:extent cx="790575" cy="311150"/>
                      <wp:effectExtent l="4445" t="5080" r="5080" b="7620"/>
                      <wp:wrapNone/>
                      <wp:docPr id="107" name="矩形 701"/>
                      <wp:cNvGraphicFramePr/>
                      <a:graphic xmlns:a="http://schemas.openxmlformats.org/drawingml/2006/main">
                        <a:graphicData uri="http://schemas.microsoft.com/office/word/2010/wordprocessingShape">
                          <wps:wsp>
                            <wps:cNvSpPr/>
                            <wps:spPr>
                              <a:xfrm>
                                <a:off x="0" y="0"/>
                                <a:ext cx="790575" cy="311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商铺废水</w:t>
                                  </w:r>
                                </w:p>
                              </w:txbxContent>
                            </wps:txbx>
                            <wps:bodyPr wrap="square" upright="1"/>
                          </wps:wsp>
                        </a:graphicData>
                      </a:graphic>
                    </wp:anchor>
                  </w:drawing>
                </mc:Choice>
                <mc:Fallback>
                  <w:pict>
                    <v:rect id="矩形 701" o:spid="_x0000_s1026" o:spt="1" style="position:absolute;left:0pt;margin-left:149.25pt;margin-top:14.45pt;height:24.5pt;width:62.25pt;z-index:251741184;mso-width-relative:page;mso-height-relative:page;" fillcolor="#FFFFFF" filled="t" stroked="t" coordsize="21600,21600" o:gfxdata="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Ude5/YAAAACQEAAA8AAAAAAAAAAQAg&#10;AAAAIgAAAGRycy9kb3ducmV2LnhtbFBLAQIUABQAAAAIAIdO4kBGy8xkDgIAADoEAAAOAAAAAAAA&#10;AAEAIAAAACcBAABkcnMvZTJvRG9jLnhtbFBLBQYAAAAABgAGAFkBAACnBQAAAAA=&#10;">
                      <v:fill on="t" focussize="0,0"/>
                      <v:stroke color="#000000" joinstyle="miter"/>
                      <v:imagedata o:title=""/>
                      <o:lock v:ext="edit" aspectratio="f"/>
                      <v:textbox>
                        <w:txbxContent>
                          <w:p>
                            <w:pPr>
                              <w:jc w:val="center"/>
                            </w:pPr>
                            <w:r>
                              <w:rPr>
                                <w:rFonts w:hint="eastAsia"/>
                              </w:rPr>
                              <w:t>商铺废水</w:t>
                            </w:r>
                          </w:p>
                        </w:txbxContent>
                      </v:textbox>
                    </v:rect>
                  </w:pict>
                </mc:Fallback>
              </mc:AlternateContent>
            </w:r>
            <w:r>
              <w:rPr>
                <w:rFonts w:hint="eastAsia" w:hAnsi="宋体"/>
                <w:color w:val="FF0000"/>
                <w:sz w:val="24"/>
                <w:lang/>
              </w:rPr>
              <mc:AlternateContent>
                <mc:Choice Requires="wps">
                  <w:drawing>
                    <wp:anchor distT="0" distB="0" distL="114300" distR="114300" simplePos="0" relativeHeight="251738112" behindDoc="0" locked="0" layoutInCell="1" allowOverlap="1">
                      <wp:simplePos x="0" y="0"/>
                      <wp:positionH relativeFrom="column">
                        <wp:posOffset>1323975</wp:posOffset>
                      </wp:positionH>
                      <wp:positionV relativeFrom="paragraph">
                        <wp:posOffset>82550</wp:posOffset>
                      </wp:positionV>
                      <wp:extent cx="257175" cy="0"/>
                      <wp:effectExtent l="0" t="4445" r="0" b="5080"/>
                      <wp:wrapNone/>
                      <wp:docPr id="104" name="自选图形 698"/>
                      <wp:cNvGraphicFramePr/>
                      <a:graphic xmlns:a="http://schemas.openxmlformats.org/drawingml/2006/main">
                        <a:graphicData uri="http://schemas.microsoft.com/office/word/2010/wordprocessingShape">
                          <wps:wsp>
                            <wps:cNvCnPr/>
                            <wps:spPr>
                              <a:xfrm>
                                <a:off x="0" y="0"/>
                                <a:ext cx="2571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98" o:spid="_x0000_s1026" o:spt="32" type="#_x0000_t32" style="position:absolute;left:0pt;margin-left:104.25pt;margin-top:6.5pt;height:0pt;width:20.25pt;z-index:251738112;mso-width-relative:page;mso-height-relative:page;" filled="f" stroked="t" coordsize="21600,21600" o:gfxdata="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yn2p1wAAAAkBAAAPAAAAAAAAAAEAIAAAACIAAABkcnMvZG93bnJldi54bWxQ&#10;SwECFAAUAAAACACHTuJAZjJMYPgBAADmAwAADgAAAAAAAAABACAAAAAmAQAAZHJzL2Uyb0RvYy54&#10;bWxQSwUGAAAAAAYABgBZAQAAkAUAAAAA&#10;">
                      <v:fill on="f" focussize="0,0"/>
                      <v:stroke color="#000000" joinstyle="round"/>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29920" behindDoc="0" locked="0" layoutInCell="1" allowOverlap="1">
                      <wp:simplePos x="0" y="0"/>
                      <wp:positionH relativeFrom="column">
                        <wp:posOffset>466725</wp:posOffset>
                      </wp:positionH>
                      <wp:positionV relativeFrom="paragraph">
                        <wp:posOffset>82550</wp:posOffset>
                      </wp:positionV>
                      <wp:extent cx="0" cy="2602230"/>
                      <wp:effectExtent l="4445" t="0" r="14605" b="7620"/>
                      <wp:wrapNone/>
                      <wp:docPr id="96" name="自选图形 690"/>
                      <wp:cNvGraphicFramePr/>
                      <a:graphic xmlns:a="http://schemas.openxmlformats.org/drawingml/2006/main">
                        <a:graphicData uri="http://schemas.microsoft.com/office/word/2010/wordprocessingShape">
                          <wps:wsp>
                            <wps:cNvCnPr/>
                            <wps:spPr>
                              <a:xfrm>
                                <a:off x="0" y="0"/>
                                <a:ext cx="0" cy="26022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90" o:spid="_x0000_s1026" o:spt="32" type="#_x0000_t32" style="position:absolute;left:0pt;margin-left:36.75pt;margin-top:6.5pt;height:204.9pt;width:0pt;z-index:251729920;mso-width-relative:page;mso-height-relative:page;" filled="f" stroked="t" coordsize="21600,21600" o:gfxdata="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gqq5PWAAAACAEAAA8AAAAAAAAAAQAgAAAAIgAAAGRycy9kb3ducmV2LnhtbFBLAQIU&#10;ABQAAAAIAIdO4kDozRt/9QEAAOYDAAAOAAAAAAAAAAEAIAAAACUBAABkcnMvZTJvRG9jLnhtbFBL&#10;BQYAAAAABgAGAFkBAACMBQAAAAA=&#10;">
                      <v:fill on="f" focussize="0,0"/>
                      <v:stroke color="#000000" joinstyle="round"/>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25824" behindDoc="0" locked="0" layoutInCell="1" allowOverlap="1">
                      <wp:simplePos x="0" y="0"/>
                      <wp:positionH relativeFrom="column">
                        <wp:posOffset>466725</wp:posOffset>
                      </wp:positionH>
                      <wp:positionV relativeFrom="paragraph">
                        <wp:posOffset>82550</wp:posOffset>
                      </wp:positionV>
                      <wp:extent cx="371475" cy="0"/>
                      <wp:effectExtent l="0" t="38100" r="9525" b="38100"/>
                      <wp:wrapNone/>
                      <wp:docPr id="92" name="自选图形 686"/>
                      <wp:cNvGraphicFramePr/>
                      <a:graphic xmlns:a="http://schemas.openxmlformats.org/drawingml/2006/main">
                        <a:graphicData uri="http://schemas.microsoft.com/office/word/2010/wordprocessingShape">
                          <wps:wsp>
                            <wps:cNvCnPr/>
                            <wps:spPr>
                              <a:xfrm>
                                <a:off x="0" y="0"/>
                                <a:ext cx="3714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86" o:spid="_x0000_s1026" o:spt="32" type="#_x0000_t32" style="position:absolute;left:0pt;margin-left:36.75pt;margin-top:6.5pt;height:0pt;width:29.25pt;z-index:251725824;mso-width-relative:page;mso-height-relative:page;" filled="f" stroked="t" coordsize="21600,21600" o:gfxdata="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4PHy9UAAAAIAQAADwAAAAAAAAABACAAAAAiAAAAZHJzL2Rvd25yZXYu&#10;eG1sUEsBAhQAFAAAAAgAh07iQNucW43+AQAA6QMAAA4AAAAAAAAAAQAgAAAAJAEAAGRycy9lMm9E&#10;b2MueG1sUEsFBgAAAAAGAAYAWQEAAJQFAAAAAA==&#10;">
                      <v:fill on="f" focussize="0,0"/>
                      <v:stroke color="#000000" joinstyle="round" endarrow="block"/>
                      <v:imagedata o:title=""/>
                      <o:lock v:ext="edit" aspectratio="f"/>
                    </v:shape>
                  </w:pict>
                </mc:Fallback>
              </mc:AlternateContent>
            </w:r>
          </w:p>
          <w:p>
            <w:pPr>
              <w:spacing w:line="360" w:lineRule="auto"/>
              <w:rPr>
                <w:rFonts w:hint="eastAsia" w:hAnsi="宋体"/>
                <w:color w:val="FF0000"/>
                <w:sz w:val="24"/>
              </w:rPr>
            </w:pPr>
            <w:r>
              <w:rPr>
                <w:rFonts w:hAnsi="宋体"/>
                <w:b/>
                <w:sz w:val="24"/>
                <w:lang/>
              </w:rPr>
              <mc:AlternateContent>
                <mc:Choice Requires="wps">
                  <w:drawing>
                    <wp:anchor distT="0" distB="0" distL="114300" distR="114300" simplePos="0" relativeHeight="251770880" behindDoc="0" locked="0" layoutInCell="1" allowOverlap="1">
                      <wp:simplePos x="0" y="0"/>
                      <wp:positionH relativeFrom="column">
                        <wp:posOffset>3874135</wp:posOffset>
                      </wp:positionH>
                      <wp:positionV relativeFrom="paragraph">
                        <wp:posOffset>26670</wp:posOffset>
                      </wp:positionV>
                      <wp:extent cx="320675" cy="0"/>
                      <wp:effectExtent l="0" t="38100" r="3175" b="38100"/>
                      <wp:wrapNone/>
                      <wp:docPr id="136" name="自选图形 718"/>
                      <wp:cNvGraphicFramePr/>
                      <a:graphic xmlns:a="http://schemas.openxmlformats.org/drawingml/2006/main">
                        <a:graphicData uri="http://schemas.microsoft.com/office/word/2010/wordprocessingShape">
                          <wps:wsp>
                            <wps:cNvCnPr/>
                            <wps:spPr>
                              <a:xfrm>
                                <a:off x="0" y="0"/>
                                <a:ext cx="3206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8" o:spid="_x0000_s1026" o:spt="32" type="#_x0000_t32" style="position:absolute;left:0pt;margin-left:305.05pt;margin-top:2.1pt;height:0pt;width:25.25pt;z-index:251770880;mso-width-relative:page;mso-height-relative:page;" filled="f" stroked="t" coordsize="21600,21600" o:gfxdata="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QlLB7VAAAABwEAAA8AAAAAAAAAAQAgAAAAIgAAAGRycy9kb3ducmV2&#10;LnhtbFBLAQIUABQAAAAIAIdO4kAfJSzT/wEAAOoDAAAOAAAAAAAAAAEAIAAAACQBAABkcnMvZTJv&#10;RG9jLnhtbFBLBQYAAAAABgAGAFkBAACVBQAAAAA=&#10;">
                      <v:fill on="f" focussize="0,0"/>
                      <v:stroke color="#000000" joinstyle="round" endarrow="block"/>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28896" behindDoc="0" locked="0" layoutInCell="1" allowOverlap="1">
                      <wp:simplePos x="0" y="0"/>
                      <wp:positionH relativeFrom="column">
                        <wp:posOffset>1590675</wp:posOffset>
                      </wp:positionH>
                      <wp:positionV relativeFrom="paragraph">
                        <wp:posOffset>10160</wp:posOffset>
                      </wp:positionV>
                      <wp:extent cx="304800" cy="0"/>
                      <wp:effectExtent l="0" t="38100" r="0" b="38100"/>
                      <wp:wrapNone/>
                      <wp:docPr id="95" name="自选图形 689"/>
                      <wp:cNvGraphicFramePr/>
                      <a:graphic xmlns:a="http://schemas.openxmlformats.org/drawingml/2006/main">
                        <a:graphicData uri="http://schemas.microsoft.com/office/word/2010/wordprocessingShape">
                          <wps:wsp>
                            <wps:cNvCnPr/>
                            <wps:spPr>
                              <a:xfrm>
                                <a:off x="0" y="0"/>
                                <a:ext cx="3048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89" o:spid="_x0000_s1026" o:spt="32" type="#_x0000_t32" style="position:absolute;left:0pt;margin-left:125.25pt;margin-top:0.8pt;height:0pt;width:24pt;z-index:251728896;mso-width-relative:page;mso-height-relative:page;" filled="f" stroked="t" coordsize="21600,21600" o:gfxdata="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E2dzXVAAAABwEAAA8AAAAAAAAAAQAgAAAAIgAAAGRycy9kb3ducmV2Lnht&#10;bFBLAQIUABQAAAAIAIdO4kD6Qns//AEAAOkDAAAOAAAAAAAAAAEAIAAAACQBAABkcnMvZTJvRG9j&#10;LnhtbFBLBQYAAAAABgAGAFkBAACSBQAAAAA=&#10;">
                      <v:fill on="f" focussize="0,0"/>
                      <v:stroke color="#000000" joinstyle="round" endarrow="block"/>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663360" behindDoc="0" locked="0" layoutInCell="1" allowOverlap="1">
                      <wp:simplePos x="0" y="0"/>
                      <wp:positionH relativeFrom="column">
                        <wp:posOffset>2686050</wp:posOffset>
                      </wp:positionH>
                      <wp:positionV relativeFrom="paragraph">
                        <wp:posOffset>10160</wp:posOffset>
                      </wp:positionV>
                      <wp:extent cx="285750" cy="0"/>
                      <wp:effectExtent l="0" t="4445" r="0" b="5080"/>
                      <wp:wrapNone/>
                      <wp:docPr id="32" name="自选图形 1127"/>
                      <wp:cNvGraphicFramePr/>
                      <a:graphic xmlns:a="http://schemas.openxmlformats.org/drawingml/2006/main">
                        <a:graphicData uri="http://schemas.microsoft.com/office/word/2010/wordprocessingShape">
                          <wps:wsp>
                            <wps:cNvCnPr/>
                            <wps:spPr>
                              <a:xfrm>
                                <a:off x="0" y="0"/>
                                <a:ext cx="2857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27" o:spid="_x0000_s1026" o:spt="32" type="#_x0000_t32" style="position:absolute;left:0pt;margin-left:211.5pt;margin-top:0.8pt;height:0pt;width:22.5pt;z-index:251663360;mso-width-relative:page;mso-height-relative:page;" filled="f" stroked="t" coordsize="21600,21600" o:gfxdata="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VN0QrUAAAABwEAAA8AAAAAAAAAAQAgAAAAIgAAAGRycy9kb3ducmV2LnhtbFBLAQIU&#10;ABQAAAAIAIdO4kB45qKX9wEAAOYDAAAOAAAAAAAAAAEAIAAAACMBAABkcnMvZTJvRG9jLnhtbFBL&#10;BQYAAAAABgAGAFkBAACMBQAAAAA=&#10;">
                      <v:fill on="f" focussize="0,0"/>
                      <v:stroke color="#000000" joinstyle="round"/>
                      <v:imagedata o:title=""/>
                      <o:lock v:ext="edit" aspectratio="f"/>
                    </v:shape>
                  </w:pict>
                </mc:Fallback>
              </mc:AlternateContent>
            </w:r>
          </w:p>
          <w:p>
            <w:pPr>
              <w:spacing w:line="360" w:lineRule="auto"/>
              <w:rPr>
                <w:rFonts w:hint="eastAsia" w:hAnsi="宋体"/>
                <w:color w:val="FF0000"/>
                <w:sz w:val="24"/>
              </w:rPr>
            </w:pPr>
            <w:r>
              <w:rPr>
                <w:rFonts w:hint="eastAsia" w:hAnsi="宋体"/>
                <w:color w:val="FF0000"/>
                <w:sz w:val="24"/>
                <w:lang/>
              </w:rPr>
              <mc:AlternateContent>
                <mc:Choice Requires="wps">
                  <w:drawing>
                    <wp:anchor distT="0" distB="0" distL="114300" distR="114300" simplePos="0" relativeHeight="251753472" behindDoc="0" locked="0" layoutInCell="1" allowOverlap="1">
                      <wp:simplePos x="0" y="0"/>
                      <wp:positionH relativeFrom="column">
                        <wp:posOffset>3126105</wp:posOffset>
                      </wp:positionH>
                      <wp:positionV relativeFrom="paragraph">
                        <wp:posOffset>170815</wp:posOffset>
                      </wp:positionV>
                      <wp:extent cx="1038225" cy="304165"/>
                      <wp:effectExtent l="5080" t="5080" r="4445" b="14605"/>
                      <wp:wrapNone/>
                      <wp:docPr id="119" name="矩形 727"/>
                      <wp:cNvGraphicFramePr/>
                      <a:graphic xmlns:a="http://schemas.openxmlformats.org/drawingml/2006/main">
                        <a:graphicData uri="http://schemas.microsoft.com/office/word/2010/wordprocessingShape">
                          <wps:wsp>
                            <wps:cNvSpPr/>
                            <wps:spPr>
                              <a:xfrm>
                                <a:off x="0" y="0"/>
                                <a:ext cx="1038225" cy="304165"/>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
                                    <w:rPr>
                                      <w:rFonts w:hint="eastAsia"/>
                                    </w:rPr>
                                    <w:t>无组织逸散</w:t>
                                  </w:r>
                                </w:p>
                              </w:txbxContent>
                            </wps:txbx>
                            <wps:bodyPr wrap="square" upright="1"/>
                          </wps:wsp>
                        </a:graphicData>
                      </a:graphic>
                    </wp:anchor>
                  </w:drawing>
                </mc:Choice>
                <mc:Fallback>
                  <w:pict>
                    <v:rect id="矩形 727" o:spid="_x0000_s1026" o:spt="1" style="position:absolute;left:0pt;margin-left:246.15pt;margin-top:13.45pt;height:23.95pt;width:81.75pt;z-index:251753472;mso-width-relative:page;mso-height-relative:page;" fillcolor="#FFFFFF" filled="t" stroked="t" coordsize="21600,21600" o:gfxdata="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MoqBHVAAAACQEAAA8A&#10;AAAAAAAAAQAgAAAAIgAAAGRycy9kb3ducmV2LnhtbFBLAQIUABQAAAAIAIdO4kC+8w1dGgIAAFgE&#10;AAAOAAAAAAAAAAEAIAAAACQBAABkcnMvZTJvRG9jLnhtbFBLBQYAAAAABgAGAFkBAACwBQAAAAA=&#10;">
                      <v:fill on="t" opacity="0f" focussize="0,0"/>
                      <v:stroke color="#FFFFFF" joinstyle="miter"/>
                      <v:imagedata o:title=""/>
                      <o:lock v:ext="edit" aspectratio="f"/>
                      <v:textbox>
                        <w:txbxContent>
                          <w:p>
                            <w:r>
                              <w:rPr>
                                <w:rFonts w:hint="eastAsia"/>
                              </w:rPr>
                              <w:t>无组织逸散</w:t>
                            </w:r>
                          </w:p>
                        </w:txbxContent>
                      </v:textbox>
                    </v:rect>
                  </w:pict>
                </mc:Fallback>
              </mc:AlternateContent>
            </w:r>
            <w:r>
              <w:rPr>
                <w:rFonts w:hint="eastAsia" w:hAnsi="宋体"/>
                <w:color w:val="FF0000"/>
                <w:sz w:val="24"/>
                <w:lang/>
              </w:rPr>
              <mc:AlternateContent>
                <mc:Choice Requires="wps">
                  <w:drawing>
                    <wp:anchor distT="0" distB="0" distL="114300" distR="114300" simplePos="0" relativeHeight="251745280" behindDoc="0" locked="0" layoutInCell="1" allowOverlap="1">
                      <wp:simplePos x="0" y="0"/>
                      <wp:positionH relativeFrom="column">
                        <wp:posOffset>1885950</wp:posOffset>
                      </wp:positionH>
                      <wp:positionV relativeFrom="paragraph">
                        <wp:posOffset>151130</wp:posOffset>
                      </wp:positionV>
                      <wp:extent cx="771525" cy="307975"/>
                      <wp:effectExtent l="4445" t="4445" r="5080" b="11430"/>
                      <wp:wrapNone/>
                      <wp:docPr id="111" name="矩形 706"/>
                      <wp:cNvGraphicFramePr/>
                      <a:graphic xmlns:a="http://schemas.openxmlformats.org/drawingml/2006/main">
                        <a:graphicData uri="http://schemas.microsoft.com/office/word/2010/wordprocessingShape">
                          <wps:wsp>
                            <wps:cNvSpPr/>
                            <wps:spPr>
                              <a:xfrm>
                                <a:off x="0" y="0"/>
                                <a:ext cx="771525"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汽车尾气</w:t>
                                  </w:r>
                                </w:p>
                              </w:txbxContent>
                            </wps:txbx>
                            <wps:bodyPr wrap="square" upright="1"/>
                          </wps:wsp>
                        </a:graphicData>
                      </a:graphic>
                    </wp:anchor>
                  </w:drawing>
                </mc:Choice>
                <mc:Fallback>
                  <w:pict>
                    <v:rect id="矩形 706" o:spid="_x0000_s1026" o:spt="1" style="position:absolute;left:0pt;margin-left:148.5pt;margin-top:11.9pt;height:24.25pt;width:60.75pt;z-index:251745280;mso-width-relative:page;mso-height-relative:page;" fillcolor="#FFFFFF" filled="t" stroked="t" coordsize="21600,21600" o:gfxdata="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TmJPdgAAAAJAQAADwAAAAAAAAABACAAAAAi&#10;AAAAZHJzL2Rvd25yZXYueG1sUEsBAhQAFAAAAAgAh07iQCtmSU0KAgAAOgQAAA4AAAAAAAAAAQAg&#10;AAAAJwEAAGRycy9lMm9Eb2MueG1sUEsFBgAAAAAGAAYAWQEAAKMFAAAAAA==&#10;">
                      <v:fill on="t" focussize="0,0"/>
                      <v:stroke color="#000000" joinstyle="miter"/>
                      <v:imagedata o:title=""/>
                      <o:lock v:ext="edit" aspectratio="f"/>
                      <v:textbox>
                        <w:txbxContent>
                          <w:p>
                            <w:r>
                              <w:rPr>
                                <w:rFonts w:hint="eastAsia"/>
                              </w:rPr>
                              <w:t>汽车尾气</w:t>
                            </w:r>
                          </w:p>
                        </w:txbxContent>
                      </v:textbox>
                    </v:rect>
                  </w:pict>
                </mc:Fallback>
              </mc:AlternateContent>
            </w:r>
            <w:r>
              <w:rPr>
                <w:rFonts w:hint="eastAsia" w:hAnsi="宋体"/>
                <w:color w:val="FF0000"/>
                <w:sz w:val="24"/>
                <w:lang/>
              </w:rPr>
              <mc:AlternateContent>
                <mc:Choice Requires="wps">
                  <w:drawing>
                    <wp:anchor distT="0" distB="0" distL="114300" distR="114300" simplePos="0" relativeHeight="251744256" behindDoc="0" locked="0" layoutInCell="1" allowOverlap="1">
                      <wp:simplePos x="0" y="0"/>
                      <wp:positionH relativeFrom="column">
                        <wp:posOffset>1600200</wp:posOffset>
                      </wp:positionH>
                      <wp:positionV relativeFrom="paragraph">
                        <wp:posOffset>257810</wp:posOffset>
                      </wp:positionV>
                      <wp:extent cx="0" cy="567055"/>
                      <wp:effectExtent l="4445" t="0" r="14605" b="4445"/>
                      <wp:wrapNone/>
                      <wp:docPr id="110" name="自选图形 704"/>
                      <wp:cNvGraphicFramePr/>
                      <a:graphic xmlns:a="http://schemas.openxmlformats.org/drawingml/2006/main">
                        <a:graphicData uri="http://schemas.microsoft.com/office/word/2010/wordprocessingShape">
                          <wps:wsp>
                            <wps:cNvCnPr/>
                            <wps:spPr>
                              <a:xfrm>
                                <a:off x="0" y="0"/>
                                <a:ext cx="0" cy="5670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04" o:spid="_x0000_s1026" o:spt="32" type="#_x0000_t32" style="position:absolute;left:0pt;margin-left:126pt;margin-top:20.3pt;height:44.65pt;width:0pt;z-index:251744256;mso-width-relative:page;mso-height-relative:page;" filled="f" stroked="t" coordsize="21600,21600" o:gfxdata="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u8yB1wAAAAoBAAAPAAAAAAAAAAEAIAAAACIAAABkcnMvZG93bnJldi54bWxQSwEC&#10;FAAUAAAACACHTuJAIfCa+PUBAADmAwAADgAAAAAAAAABACAAAAAmAQAAZHJzL2Uyb0RvYy54bWxQ&#10;SwUGAAAAAAYABgBZAQAAjQUAAAAA&#10;">
                      <v:fill on="f" focussize="0,0"/>
                      <v:stroke color="#000000" joinstyle="round"/>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42208" behindDoc="0" locked="0" layoutInCell="1" allowOverlap="1">
                      <wp:simplePos x="0" y="0"/>
                      <wp:positionH relativeFrom="column">
                        <wp:posOffset>1615440</wp:posOffset>
                      </wp:positionH>
                      <wp:positionV relativeFrom="paragraph">
                        <wp:posOffset>257810</wp:posOffset>
                      </wp:positionV>
                      <wp:extent cx="295275" cy="0"/>
                      <wp:effectExtent l="0" t="38100" r="9525" b="38100"/>
                      <wp:wrapNone/>
                      <wp:docPr id="108" name="自选图形 702"/>
                      <wp:cNvGraphicFramePr/>
                      <a:graphic xmlns:a="http://schemas.openxmlformats.org/drawingml/2006/main">
                        <a:graphicData uri="http://schemas.microsoft.com/office/word/2010/wordprocessingShape">
                          <wps:wsp>
                            <wps:cNvCnPr/>
                            <wps:spPr>
                              <a:xfrm>
                                <a:off x="0" y="0"/>
                                <a:ext cx="2952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2" o:spid="_x0000_s1026" o:spt="32" type="#_x0000_t32" style="position:absolute;left:0pt;margin-left:127.2pt;margin-top:20.3pt;height:0pt;width:23.25pt;z-index:251742208;mso-width-relative:page;mso-height-relative:page;" filled="f" stroked="t" coordsize="21600,21600" o:gfxdata="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ADrJ2QAAAAkBAAAPAAAAAAAAAAEAIAAAACIAAABkcnMvZG93bnJl&#10;di54bWxQSwECFAAUAAAACACHTuJAAjThPPwBAADqAwAADgAAAAAAAAABACAAAAAoAQAAZHJzL2Uy&#10;b0RvYy54bWxQSwUGAAAAAAYABgBZAQAAlgUAAAAA&#10;">
                      <v:fill on="f" focussize="0,0"/>
                      <v:stroke color="#000000" joinstyle="round" endarrow="block"/>
                      <v:imagedata o:title=""/>
                      <o:lock v:ext="edit" aspectratio="f"/>
                    </v:shape>
                  </w:pict>
                </mc:Fallback>
              </mc:AlternateContent>
            </w:r>
          </w:p>
          <w:p>
            <w:pPr>
              <w:spacing w:line="360" w:lineRule="auto"/>
              <w:rPr>
                <w:rFonts w:hint="eastAsia" w:hAnsi="宋体"/>
                <w:color w:val="FF0000"/>
                <w:sz w:val="24"/>
              </w:rPr>
            </w:pPr>
            <w:r>
              <w:rPr>
                <w:rFonts w:hint="eastAsia" w:hAnsi="宋体"/>
                <w:color w:val="FF0000"/>
                <w:sz w:val="24"/>
                <w:lang/>
              </w:rPr>
              <mc:AlternateContent>
                <mc:Choice Requires="wps">
                  <w:drawing>
                    <wp:anchor distT="0" distB="0" distL="114300" distR="114300" simplePos="0" relativeHeight="251754496" behindDoc="0" locked="0" layoutInCell="1" allowOverlap="1">
                      <wp:simplePos x="0" y="0"/>
                      <wp:positionH relativeFrom="column">
                        <wp:posOffset>2657475</wp:posOffset>
                      </wp:positionH>
                      <wp:positionV relativeFrom="paragraph">
                        <wp:posOffset>30480</wp:posOffset>
                      </wp:positionV>
                      <wp:extent cx="428625" cy="0"/>
                      <wp:effectExtent l="0" t="38100" r="9525" b="38100"/>
                      <wp:wrapNone/>
                      <wp:docPr id="120" name="自选图形 728"/>
                      <wp:cNvGraphicFramePr/>
                      <a:graphic xmlns:a="http://schemas.openxmlformats.org/drawingml/2006/main">
                        <a:graphicData uri="http://schemas.microsoft.com/office/word/2010/wordprocessingShape">
                          <wps:wsp>
                            <wps:cNvCnPr/>
                            <wps:spPr>
                              <a:xfrm>
                                <a:off x="0" y="0"/>
                                <a:ext cx="4286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8" o:spid="_x0000_s1026" o:spt="32" type="#_x0000_t32" style="position:absolute;left:0pt;margin-left:209.25pt;margin-top:2.4pt;height:0pt;width:33.75pt;z-index:251754496;mso-width-relative:page;mso-height-relative:page;" filled="f" stroked="t" coordsize="21600,21600" o:gfxdata="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ZCOgNYAAAAHAQAADwAAAAAAAAABACAAAAAiAAAAZHJzL2Rvd25yZXYu&#10;eG1sUEsBAhQAFAAAAAgAh07iQBtVX3L9AQAA6gMAAA4AAAAAAAAAAQAgAAAAJQEAAGRycy9lMm9E&#10;b2MueG1sUEsFBgAAAAAGAAYAWQEAAJQFAAAAAA==&#10;">
                      <v:fill on="f" focussize="0,0"/>
                      <v:stroke color="#000000" joinstyle="round" endarrow="block"/>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43232" behindDoc="0" locked="0" layoutInCell="1" allowOverlap="1">
                      <wp:simplePos x="0" y="0"/>
                      <wp:positionH relativeFrom="column">
                        <wp:posOffset>1323975</wp:posOffset>
                      </wp:positionH>
                      <wp:positionV relativeFrom="paragraph">
                        <wp:posOffset>177165</wp:posOffset>
                      </wp:positionV>
                      <wp:extent cx="266700" cy="0"/>
                      <wp:effectExtent l="0" t="4445" r="0" b="5080"/>
                      <wp:wrapNone/>
                      <wp:docPr id="109" name="自选图形 703"/>
                      <wp:cNvGraphicFramePr/>
                      <a:graphic xmlns:a="http://schemas.openxmlformats.org/drawingml/2006/main">
                        <a:graphicData uri="http://schemas.microsoft.com/office/word/2010/wordprocessingShape">
                          <wps:wsp>
                            <wps:cNvCnPr/>
                            <wps:spPr>
                              <a:xfrm>
                                <a:off x="0" y="0"/>
                                <a:ext cx="2667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03" o:spid="_x0000_s1026" o:spt="32" type="#_x0000_t32" style="position:absolute;left:0pt;margin-left:104.25pt;margin-top:13.95pt;height:0pt;width:21pt;z-index:251743232;mso-width-relative:page;mso-height-relative:page;" filled="f" stroked="t" coordsize="21600,21600" o:gfxdata="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LF25NYAAAAJAQAADwAAAAAAAAABACAAAAAiAAAAZHJzL2Rvd25yZXYueG1sUEsB&#10;AhQAFAAAAAgAh07iQPH5YPf3AQAA5gMAAA4AAAAAAAAAAQAgAAAAJQEAAGRycy9lMm9Eb2MueG1s&#10;UEsFBgAAAAAGAAYAWQEAAI4FAAAAAA==&#10;">
                      <v:fill on="f" focussize="0,0"/>
                      <v:stroke color="#000000" joinstyle="round"/>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34016" behindDoc="0" locked="0" layoutInCell="1" allowOverlap="1">
                      <wp:simplePos x="0" y="0"/>
                      <wp:positionH relativeFrom="column">
                        <wp:posOffset>838200</wp:posOffset>
                      </wp:positionH>
                      <wp:positionV relativeFrom="paragraph">
                        <wp:posOffset>57785</wp:posOffset>
                      </wp:positionV>
                      <wp:extent cx="485775" cy="257175"/>
                      <wp:effectExtent l="4445" t="5080" r="5080" b="4445"/>
                      <wp:wrapNone/>
                      <wp:docPr id="100" name="矩形 694"/>
                      <wp:cNvGraphicFramePr/>
                      <a:graphic xmlns:a="http://schemas.openxmlformats.org/drawingml/2006/main">
                        <a:graphicData uri="http://schemas.microsoft.com/office/word/2010/wordprocessingShape">
                          <wps:wsp>
                            <wps:cNvSpPr/>
                            <wps:spPr>
                              <a:xfrm>
                                <a:off x="0" y="0"/>
                                <a:ext cx="48577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废气</w:t>
                                  </w:r>
                                </w:p>
                              </w:txbxContent>
                            </wps:txbx>
                            <wps:bodyPr wrap="square" upright="1"/>
                          </wps:wsp>
                        </a:graphicData>
                      </a:graphic>
                    </wp:anchor>
                  </w:drawing>
                </mc:Choice>
                <mc:Fallback>
                  <w:pict>
                    <v:rect id="矩形 694" o:spid="_x0000_s1026" o:spt="1" style="position:absolute;left:0pt;margin-left:66pt;margin-top:4.55pt;height:20.25pt;width:38.25pt;z-index:251734016;mso-width-relative:page;mso-height-relative:page;" fillcolor="#FFFFFF" filled="t" stroked="t" coordsize="21600,21600" o:gfxdata="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JH+ZdYAAAAIAQAADwAAAAAAAAABACAAAAAi&#10;AAAAZHJzL2Rvd25yZXYueG1sUEsBAhQAFAAAAAgAh07iQB7ICckMAgAAOgQAAA4AAAAAAAAAAQAg&#10;AAAAJQEAAGRycy9lMm9Eb2MueG1sUEsFBgAAAAAGAAYAWQEAAKMFAAAAAA==&#10;">
                      <v:fill on="t" focussize="0,0"/>
                      <v:stroke color="#000000" joinstyle="miter"/>
                      <v:imagedata o:title=""/>
                      <o:lock v:ext="edit" aspectratio="f"/>
                      <v:textbox>
                        <w:txbxContent>
                          <w:p>
                            <w:r>
                              <w:rPr>
                                <w:rFonts w:hint="eastAsia"/>
                              </w:rPr>
                              <w:t>废气</w:t>
                            </w:r>
                          </w:p>
                        </w:txbxContent>
                      </v:textbox>
                    </v:rect>
                  </w:pict>
                </mc:Fallback>
              </mc:AlternateContent>
            </w:r>
            <w:r>
              <w:rPr>
                <w:rFonts w:hint="eastAsia" w:hAnsi="宋体"/>
                <w:color w:val="FF0000"/>
                <w:sz w:val="24"/>
                <w:lang/>
              </w:rPr>
              <mc:AlternateContent>
                <mc:Choice Requires="wps">
                  <w:drawing>
                    <wp:anchor distT="0" distB="0" distL="114300" distR="114300" simplePos="0" relativeHeight="251732992" behindDoc="0" locked="0" layoutInCell="1" allowOverlap="1">
                      <wp:simplePos x="0" y="0"/>
                      <wp:positionH relativeFrom="column">
                        <wp:posOffset>466725</wp:posOffset>
                      </wp:positionH>
                      <wp:positionV relativeFrom="paragraph">
                        <wp:posOffset>177165</wp:posOffset>
                      </wp:positionV>
                      <wp:extent cx="371475" cy="635"/>
                      <wp:effectExtent l="0" t="37465" r="9525" b="38100"/>
                      <wp:wrapNone/>
                      <wp:docPr id="99" name="自选图形 693"/>
                      <wp:cNvGraphicFramePr/>
                      <a:graphic xmlns:a="http://schemas.openxmlformats.org/drawingml/2006/main">
                        <a:graphicData uri="http://schemas.microsoft.com/office/word/2010/wordprocessingShape">
                          <wps:wsp>
                            <wps:cNvCnPr/>
                            <wps:spPr>
                              <a:xfrm>
                                <a:off x="0" y="0"/>
                                <a:ext cx="3714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93" o:spid="_x0000_s1026" o:spt="32" type="#_x0000_t32" style="position:absolute;left:0pt;margin-left:36.75pt;margin-top:13.95pt;height:0.05pt;width:29.25pt;z-index:251732992;mso-width-relative:page;mso-height-relative:page;" filled="f" stroked="t" coordsize="21600,21600" o:gfxdata="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epwETZAAAACAEAAA8AAAAAAAAAAQAgAAAAIgAAAGRycy9kb3du&#10;cmV2LnhtbFBLAQIUABQAAAAIAIdO4kAuWq82/gEAAOsDAAAOAAAAAAAAAAEAIAAAACgBAABkcnMv&#10;ZTJvRG9jLnhtbFBLBQYAAAAABgAGAFkBAACYBQAAAAA=&#10;">
                      <v:fill on="f" focussize="0,0"/>
                      <v:stroke color="#000000" joinstyle="round" endarrow="block"/>
                      <v:imagedata o:title=""/>
                      <o:lock v:ext="edit" aspectratio="f"/>
                    </v:shape>
                  </w:pict>
                </mc:Fallback>
              </mc:AlternateContent>
            </w:r>
          </w:p>
          <w:p>
            <w:pPr>
              <w:spacing w:line="360" w:lineRule="auto"/>
              <w:rPr>
                <w:rFonts w:hint="eastAsia" w:hAnsi="宋体"/>
                <w:color w:val="FF0000"/>
                <w:sz w:val="24"/>
              </w:rPr>
            </w:pPr>
            <w:r>
              <w:rPr>
                <w:rFonts w:hint="eastAsia" w:hAnsi="宋体"/>
                <w:color w:val="FF0000"/>
                <w:sz w:val="24"/>
                <w:lang/>
              </w:rPr>
              <mc:AlternateContent>
                <mc:Choice Requires="wps">
                  <w:drawing>
                    <wp:anchor distT="0" distB="0" distL="114300" distR="114300" simplePos="0" relativeHeight="251759616" behindDoc="0" locked="0" layoutInCell="1" allowOverlap="1">
                      <wp:simplePos x="0" y="0"/>
                      <wp:positionH relativeFrom="column">
                        <wp:posOffset>2905125</wp:posOffset>
                      </wp:positionH>
                      <wp:positionV relativeFrom="paragraph">
                        <wp:posOffset>90170</wp:posOffset>
                      </wp:positionV>
                      <wp:extent cx="1038225" cy="304165"/>
                      <wp:effectExtent l="5080" t="5080" r="4445" b="14605"/>
                      <wp:wrapNone/>
                      <wp:docPr id="125" name="矩形 735"/>
                      <wp:cNvGraphicFramePr/>
                      <a:graphic xmlns:a="http://schemas.openxmlformats.org/drawingml/2006/main">
                        <a:graphicData uri="http://schemas.microsoft.com/office/word/2010/wordprocessingShape">
                          <wps:wsp>
                            <wps:cNvSpPr/>
                            <wps:spPr>
                              <a:xfrm>
                                <a:off x="0" y="0"/>
                                <a:ext cx="1038225" cy="304165"/>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
                                    <w:rPr>
                                      <w:rFonts w:hint="eastAsia"/>
                                    </w:rPr>
                                    <w:t>无组织逸散</w:t>
                                  </w:r>
                                </w:p>
                              </w:txbxContent>
                            </wps:txbx>
                            <wps:bodyPr wrap="square" upright="1"/>
                          </wps:wsp>
                        </a:graphicData>
                      </a:graphic>
                    </wp:anchor>
                  </w:drawing>
                </mc:Choice>
                <mc:Fallback>
                  <w:pict>
                    <v:rect id="矩形 735" o:spid="_x0000_s1026" o:spt="1" style="position:absolute;left:0pt;margin-left:228.75pt;margin-top:7.1pt;height:23.95pt;width:81.75pt;z-index:251759616;mso-width-relative:page;mso-height-relative:page;" fillcolor="#FFFFFF" filled="t" stroked="t" coordsize="21600,21600" o:gfxdata="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rITLHUAAAACQEAAA8AAAAA&#10;AAAAAQAgAAAAIgAAAGRycy9kb3ducmV2LnhtbFBLAQIUABQAAAAIAIdO4kC5fDMqGAIAAFgEAAAO&#10;AAAAAAAAAAEAIAAAACMBAABkcnMvZTJvRG9jLnhtbFBLBQYAAAAABgAGAFkBAACtBQAAAAA=&#10;">
                      <v:fill on="t" opacity="0f" focussize="0,0"/>
                      <v:stroke color="#FFFFFF" joinstyle="miter"/>
                      <v:imagedata o:title=""/>
                      <o:lock v:ext="edit" aspectratio="f"/>
                      <v:textbox>
                        <w:txbxContent>
                          <w:p>
                            <w:r>
                              <w:rPr>
                                <w:rFonts w:hint="eastAsia"/>
                              </w:rPr>
                              <w:t>无组织逸散</w:t>
                            </w:r>
                          </w:p>
                        </w:txbxContent>
                      </v:textbox>
                    </v:rect>
                  </w:pict>
                </mc:Fallback>
              </mc:AlternateContent>
            </w:r>
            <w:r>
              <w:rPr>
                <w:rFonts w:hint="eastAsia" w:hAnsi="宋体"/>
                <w:color w:val="FF0000"/>
                <w:sz w:val="24"/>
                <w:lang/>
              </w:rPr>
              <mc:AlternateContent>
                <mc:Choice Requires="wps">
                  <w:drawing>
                    <wp:anchor distT="0" distB="0" distL="114300" distR="114300" simplePos="0" relativeHeight="251758592" behindDoc="0" locked="0" layoutInCell="1" allowOverlap="1">
                      <wp:simplePos x="0" y="0"/>
                      <wp:positionH relativeFrom="column">
                        <wp:posOffset>2472690</wp:posOffset>
                      </wp:positionH>
                      <wp:positionV relativeFrom="paragraph">
                        <wp:posOffset>230505</wp:posOffset>
                      </wp:positionV>
                      <wp:extent cx="428625" cy="0"/>
                      <wp:effectExtent l="0" t="38100" r="9525" b="38100"/>
                      <wp:wrapNone/>
                      <wp:docPr id="124" name="自选图形 734"/>
                      <wp:cNvGraphicFramePr/>
                      <a:graphic xmlns:a="http://schemas.openxmlformats.org/drawingml/2006/main">
                        <a:graphicData uri="http://schemas.microsoft.com/office/word/2010/wordprocessingShape">
                          <wps:wsp>
                            <wps:cNvCnPr/>
                            <wps:spPr>
                              <a:xfrm>
                                <a:off x="0" y="0"/>
                                <a:ext cx="4286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4" o:spid="_x0000_s1026" o:spt="32" type="#_x0000_t32" style="position:absolute;left:0pt;margin-left:194.7pt;margin-top:18.15pt;height:0pt;width:33.75pt;z-index:251758592;mso-width-relative:page;mso-height-relative:page;" filled="f" stroked="t" coordsize="21600,21600" o:gfxdata="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3/Lt9gAAAAJAQAADwAAAAAAAAABACAAAAAiAAAAZHJzL2Rvd25y&#10;ZXYueG1sUEsBAhQAFAAAAAgAh07iQDvfVb7+AQAA6gMAAA4AAAAAAAAAAQAgAAAAJwEAAGRycy9l&#10;Mm9Eb2MueG1sUEsFBgAAAAAGAAYAWQEAAJcFAAAAAA==&#10;">
                      <v:fill on="f" focussize="0,0"/>
                      <v:stroke color="#000000" joinstyle="round" endarrow="block"/>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57568" behindDoc="0" locked="0" layoutInCell="1" allowOverlap="1">
                      <wp:simplePos x="0" y="0"/>
                      <wp:positionH relativeFrom="column">
                        <wp:posOffset>1910715</wp:posOffset>
                      </wp:positionH>
                      <wp:positionV relativeFrom="paragraph">
                        <wp:posOffset>127635</wp:posOffset>
                      </wp:positionV>
                      <wp:extent cx="561975" cy="266700"/>
                      <wp:effectExtent l="4445" t="4445" r="5080" b="14605"/>
                      <wp:wrapNone/>
                      <wp:docPr id="123" name="矩形 733"/>
                      <wp:cNvGraphicFramePr/>
                      <a:graphic xmlns:a="http://schemas.openxmlformats.org/drawingml/2006/main">
                        <a:graphicData uri="http://schemas.microsoft.com/office/word/2010/wordprocessingShape">
                          <wps:wsp>
                            <wps:cNvSpPr/>
                            <wps:spPr>
                              <a:xfrm>
                                <a:off x="0" y="0"/>
                                <a:ext cx="5619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恶臭</w:t>
                                  </w:r>
                                </w:p>
                              </w:txbxContent>
                            </wps:txbx>
                            <wps:bodyPr wrap="square" upright="1"/>
                          </wps:wsp>
                        </a:graphicData>
                      </a:graphic>
                    </wp:anchor>
                  </w:drawing>
                </mc:Choice>
                <mc:Fallback>
                  <w:pict>
                    <v:rect id="矩形 733" o:spid="_x0000_s1026" o:spt="1" style="position:absolute;left:0pt;margin-left:150.45pt;margin-top:10.05pt;height:21pt;width:44.25pt;z-index:251757568;mso-width-relative:page;mso-height-relative:page;" fillcolor="#FFFFFF" filled="t" stroked="t" coordsize="21600,21600" o:gfxdata="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bdkFzXAAAACQEAAA8AAAAAAAAAAQAg&#10;AAAAIgAAAGRycy9kb3ducmV2LnhtbFBLAQIUABQAAAAIAIdO4kCGDA07DwIAADoEAAAOAAAAAAAA&#10;AAEAIAAAACYBAABkcnMvZTJvRG9jLnhtbFBLBQYAAAAABgAGAFkBAACnBQAAAAA=&#10;">
                      <v:fill on="t" focussize="0,0"/>
                      <v:stroke color="#000000" joinstyle="miter"/>
                      <v:imagedata o:title=""/>
                      <o:lock v:ext="edit" aspectratio="f"/>
                      <v:textbox>
                        <w:txbxContent>
                          <w:p>
                            <w:r>
                              <w:rPr>
                                <w:rFonts w:hint="eastAsia"/>
                              </w:rPr>
                              <w:t>恶臭</w:t>
                            </w:r>
                          </w:p>
                        </w:txbxContent>
                      </v:textbox>
                    </v:rect>
                  </w:pict>
                </mc:Fallback>
              </mc:AlternateContent>
            </w:r>
            <w:r>
              <w:rPr>
                <w:rFonts w:hint="eastAsia" w:hAnsi="宋体"/>
                <w:color w:val="FF0000"/>
                <w:sz w:val="24"/>
                <w:lang/>
              </w:rPr>
              <mc:AlternateContent>
                <mc:Choice Requires="wps">
                  <w:drawing>
                    <wp:anchor distT="0" distB="0" distL="114300" distR="114300" simplePos="0" relativeHeight="251756544" behindDoc="0" locked="0" layoutInCell="1" allowOverlap="1">
                      <wp:simplePos x="0" y="0"/>
                      <wp:positionH relativeFrom="column">
                        <wp:posOffset>1615440</wp:posOffset>
                      </wp:positionH>
                      <wp:positionV relativeFrom="paragraph">
                        <wp:posOffset>230505</wp:posOffset>
                      </wp:positionV>
                      <wp:extent cx="314325" cy="0"/>
                      <wp:effectExtent l="0" t="38100" r="9525" b="38100"/>
                      <wp:wrapNone/>
                      <wp:docPr id="122" name="自选图形 732"/>
                      <wp:cNvGraphicFramePr/>
                      <a:graphic xmlns:a="http://schemas.openxmlformats.org/drawingml/2006/main">
                        <a:graphicData uri="http://schemas.microsoft.com/office/word/2010/wordprocessingShape">
                          <wps:wsp>
                            <wps:cNvCnPr/>
                            <wps:spPr>
                              <a:xfrm>
                                <a:off x="0" y="0"/>
                                <a:ext cx="31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2" o:spid="_x0000_s1026" o:spt="32" type="#_x0000_t32" style="position:absolute;left:0pt;margin-left:127.2pt;margin-top:18.15pt;height:0pt;width:24.75pt;z-index:251756544;mso-width-relative:page;mso-height-relative:page;" filled="f" stroked="t" coordsize="21600,21600" o:gfxdata="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4QF9kAAAAJAQAADwAAAAAAAAABACAAAAAiAAAAZHJzL2Rvd25y&#10;ZXYueG1sUEsBAhQAFAAAAAgAh07iQKoXF5n9AQAA6gMAAA4AAAAAAAAAAQAgAAAAKAEAAGRycy9l&#10;Mm9Eb2MueG1sUEsFBgAAAAAGAAYAWQEAAJcFAAAAAA==&#10;">
                      <v:fill on="f" focussize="0,0"/>
                      <v:stroke color="#000000" joinstyle="round" endarrow="block"/>
                      <v:imagedata o:title=""/>
                      <o:lock v:ext="edit" aspectratio="f"/>
                    </v:shape>
                  </w:pict>
                </mc:Fallback>
              </mc:AlternateContent>
            </w:r>
            <w:r>
              <w:rPr>
                <w:rFonts w:hint="eastAsia" w:hAnsi="宋体"/>
                <w:color w:val="FF0000"/>
                <w:sz w:val="24"/>
                <w:lang/>
              </w:rPr>
              <mc:AlternateContent>
                <mc:Choice Requires="wps">
                  <w:drawing>
                    <wp:anchor distT="0" distB="0" distL="114300" distR="114300" simplePos="0" relativeHeight="251730944" behindDoc="0" locked="0" layoutInCell="1" allowOverlap="1">
                      <wp:simplePos x="0" y="0"/>
                      <wp:positionH relativeFrom="column">
                        <wp:posOffset>200025</wp:posOffset>
                      </wp:positionH>
                      <wp:positionV relativeFrom="paragraph">
                        <wp:posOffset>284480</wp:posOffset>
                      </wp:positionV>
                      <wp:extent cx="266700" cy="0"/>
                      <wp:effectExtent l="0" t="4445" r="0" b="5080"/>
                      <wp:wrapNone/>
                      <wp:docPr id="97" name="自选图形 691"/>
                      <wp:cNvGraphicFramePr/>
                      <a:graphic xmlns:a="http://schemas.openxmlformats.org/drawingml/2006/main">
                        <a:graphicData uri="http://schemas.microsoft.com/office/word/2010/wordprocessingShape">
                          <wps:wsp>
                            <wps:cNvCnPr/>
                            <wps:spPr>
                              <a:xfrm>
                                <a:off x="0" y="0"/>
                                <a:ext cx="2667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91" o:spid="_x0000_s1026" o:spt="32" type="#_x0000_t32" style="position:absolute;left:0pt;margin-left:15.75pt;margin-top:22.4pt;height:0pt;width:21pt;z-index:251730944;mso-width-relative:page;mso-height-relative:page;" filled="f" stroked="t" coordsize="21600,21600" o:gfxdata="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IDKa9QAAAAHAQAADwAAAAAAAAABACAAAAAiAAAAZHJzL2Rvd25yZXYueG1sUEsBAhQA&#10;FAAAAAgAh07iQAqpLB/2AQAA5QMAAA4AAAAAAAAAAQAgAAAAIwEAAGRycy9lMm9Eb2MueG1sUEsF&#10;BgAAAAAGAAYAWQEAAIsFAAAAAA==&#10;">
                      <v:fill on="f" focussize="0,0"/>
                      <v:stroke color="#000000" joinstyle="round"/>
                      <v:imagedata o:title=""/>
                      <o:lock v:ext="edit" aspectratio="f"/>
                    </v:shape>
                  </w:pict>
                </mc:Fallback>
              </mc:AlternateContent>
            </w:r>
          </w:p>
          <w:p>
            <w:pPr>
              <w:spacing w:line="360" w:lineRule="auto"/>
              <w:rPr>
                <w:rFonts w:hint="eastAsia" w:hAnsi="宋体"/>
                <w:color w:val="FF0000"/>
                <w:sz w:val="24"/>
              </w:rPr>
            </w:pPr>
          </w:p>
          <w:p>
            <w:pPr>
              <w:spacing w:line="360" w:lineRule="auto"/>
              <w:ind w:firstLine="480" w:firstLineChars="200"/>
              <w:rPr>
                <w:rFonts w:hint="eastAsia"/>
                <w:color w:val="FF0000"/>
                <w:sz w:val="24"/>
              </w:rPr>
            </w:pPr>
            <w:r>
              <w:rPr>
                <w:rFonts w:hint="eastAsia"/>
                <w:color w:val="FF0000"/>
                <w:sz w:val="24"/>
                <w:lang/>
              </w:rPr>
              <mc:AlternateContent>
                <mc:Choice Requires="wps">
                  <w:drawing>
                    <wp:anchor distT="0" distB="0" distL="114300" distR="114300" simplePos="0" relativeHeight="251760640" behindDoc="0" locked="0" layoutInCell="1" allowOverlap="1">
                      <wp:simplePos x="0" y="0"/>
                      <wp:positionH relativeFrom="column">
                        <wp:posOffset>2705100</wp:posOffset>
                      </wp:positionH>
                      <wp:positionV relativeFrom="paragraph">
                        <wp:posOffset>66675</wp:posOffset>
                      </wp:positionV>
                      <wp:extent cx="2324100" cy="267335"/>
                      <wp:effectExtent l="4445" t="4445" r="14605" b="13970"/>
                      <wp:wrapNone/>
                      <wp:docPr id="126" name="矩形 736"/>
                      <wp:cNvGraphicFramePr/>
                      <a:graphic xmlns:a="http://schemas.openxmlformats.org/drawingml/2006/main">
                        <a:graphicData uri="http://schemas.microsoft.com/office/word/2010/wordprocessingShape">
                          <wps:wsp>
                            <wps:cNvSpPr/>
                            <wps:spPr>
                              <a:xfrm>
                                <a:off x="0" y="0"/>
                                <a:ext cx="2324100" cy="267335"/>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
                                    <w:rPr>
                                      <w:rFonts w:hint="eastAsia"/>
                                    </w:rPr>
                                    <w:t>合理布局，采取降噪措施，加强管理</w:t>
                                  </w:r>
                                </w:p>
                              </w:txbxContent>
                            </wps:txbx>
                            <wps:bodyPr wrap="square" upright="1"/>
                          </wps:wsp>
                        </a:graphicData>
                      </a:graphic>
                    </wp:anchor>
                  </w:drawing>
                </mc:Choice>
                <mc:Fallback>
                  <w:pict>
                    <v:rect id="矩形 736" o:spid="_x0000_s1026" o:spt="1" style="position:absolute;left:0pt;margin-left:213pt;margin-top:5.25pt;height:21.05pt;width:183pt;z-index:251760640;mso-width-relative:page;mso-height-relative:page;" fillcolor="#FFFFFF" filled="t" stroked="t" coordsize="21600,21600" o:gfxdata="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vL9gLUAAAACQEAAA8A&#10;AAAAAAAAAQAgAAAAIgAAAGRycy9kb3ducmV2LnhtbFBLAQIUABQAAAAIAIdO4kBAtPXLGwIAAFgE&#10;AAAOAAAAAAAAAAEAIAAAACMBAABkcnMvZTJvRG9jLnhtbFBLBQYAAAAABgAGAFkBAACwBQAAAAA=&#10;">
                      <v:fill on="t" opacity="0f" focussize="0,0"/>
                      <v:stroke color="#FFFFFF" joinstyle="miter"/>
                      <v:imagedata o:title=""/>
                      <o:lock v:ext="edit" aspectratio="f"/>
                      <v:textbox>
                        <w:txbxContent>
                          <w:p>
                            <w:r>
                              <w:rPr>
                                <w:rFonts w:hint="eastAsia"/>
                              </w:rPr>
                              <w:t>合理布局，采取降噪措施，加强管理</w:t>
                            </w:r>
                          </w:p>
                        </w:txbxContent>
                      </v:textbox>
                    </v:rect>
                  </w:pict>
                </mc:Fallback>
              </mc:AlternateContent>
            </w:r>
            <w:r>
              <w:rPr>
                <w:rFonts w:hint="eastAsia"/>
                <w:color w:val="FF0000"/>
                <w:sz w:val="24"/>
                <w:lang/>
              </w:rPr>
              <mc:AlternateContent>
                <mc:Choice Requires="wps">
                  <w:drawing>
                    <wp:anchor distT="0" distB="0" distL="114300" distR="114300" simplePos="0" relativeHeight="251749376" behindDoc="0" locked="0" layoutInCell="1" allowOverlap="1">
                      <wp:simplePos x="0" y="0"/>
                      <wp:positionH relativeFrom="column">
                        <wp:posOffset>2371725</wp:posOffset>
                      </wp:positionH>
                      <wp:positionV relativeFrom="paragraph">
                        <wp:posOffset>200025</wp:posOffset>
                      </wp:positionV>
                      <wp:extent cx="333375" cy="0"/>
                      <wp:effectExtent l="0" t="38100" r="9525" b="38100"/>
                      <wp:wrapNone/>
                      <wp:docPr id="115" name="自选图形 712"/>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2" o:spid="_x0000_s1026" o:spt="32" type="#_x0000_t32" style="position:absolute;left:0pt;margin-left:186.75pt;margin-top:15.75pt;height:0pt;width:26.25pt;z-index:251749376;mso-width-relative:page;mso-height-relative:page;" filled="f" stroked="t" coordsize="21600,21600" o:gfxdata="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Cj+S7YAAAACQEAAA8AAAAAAAAAAQAgAAAAIgAAAGRycy9kb3ducmV2&#10;LnhtbFBLAQIUABQAAAAIAIdO4kCAm/FG/AEAAOoDAAAOAAAAAAAAAAEAIAAAACcBAABkcnMvZTJv&#10;RG9jLnhtbFBLBQYAAAAABgAGAFkBAACVBQAAAAA=&#10;">
                      <v:fill on="f" focussize="0,0"/>
                      <v:stroke color="#000000" joinstyle="round" endarrow="block"/>
                      <v:imagedata o:title=""/>
                      <o:lock v:ext="edit" aspectratio="f"/>
                    </v:shape>
                  </w:pict>
                </mc:Fallback>
              </mc:AlternateContent>
            </w:r>
            <w:r>
              <w:rPr>
                <w:rFonts w:hint="eastAsia"/>
                <w:color w:val="FF0000"/>
                <w:sz w:val="24"/>
                <w:lang/>
              </w:rPr>
              <mc:AlternateContent>
                <mc:Choice Requires="wps">
                  <w:drawing>
                    <wp:anchor distT="0" distB="0" distL="114300" distR="114300" simplePos="0" relativeHeight="251736064" behindDoc="0" locked="0" layoutInCell="1" allowOverlap="1">
                      <wp:simplePos x="0" y="0"/>
                      <wp:positionH relativeFrom="column">
                        <wp:posOffset>838200</wp:posOffset>
                      </wp:positionH>
                      <wp:positionV relativeFrom="paragraph">
                        <wp:posOffset>66675</wp:posOffset>
                      </wp:positionV>
                      <wp:extent cx="1514475" cy="267335"/>
                      <wp:effectExtent l="5080" t="4445" r="4445" b="13970"/>
                      <wp:wrapNone/>
                      <wp:docPr id="102" name="矩形 696"/>
                      <wp:cNvGraphicFramePr/>
                      <a:graphic xmlns:a="http://schemas.openxmlformats.org/drawingml/2006/main">
                        <a:graphicData uri="http://schemas.microsoft.com/office/word/2010/wordprocessingShape">
                          <wps:wsp>
                            <wps:cNvSpPr/>
                            <wps:spPr>
                              <a:xfrm>
                                <a:off x="0" y="0"/>
                                <a:ext cx="151447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设备、汽车、商业噪声</w:t>
                                  </w:r>
                                </w:p>
                              </w:txbxContent>
                            </wps:txbx>
                            <wps:bodyPr wrap="square" upright="1"/>
                          </wps:wsp>
                        </a:graphicData>
                      </a:graphic>
                    </wp:anchor>
                  </w:drawing>
                </mc:Choice>
                <mc:Fallback>
                  <w:pict>
                    <v:rect id="矩形 696" o:spid="_x0000_s1026" o:spt="1" style="position:absolute;left:0pt;margin-left:66pt;margin-top:5.25pt;height:21.05pt;width:119.25pt;z-index:251736064;mso-width-relative:page;mso-height-relative:page;" fillcolor="#FFFFFF" filled="t" stroked="t" coordsize="21600,21600" o:gfxdata="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X8lI1gAAAAkBAAAPAAAAAAAAAAEAIAAA&#10;ACIAAABkcnMvZG93bnJldi54bWxQSwECFAAUAAAACACHTuJAOp05ew4CAAA7BAAADgAAAAAAAAAB&#10;ACAAAAAlAQAAZHJzL2Uyb0RvYy54bWxQSwUGAAAAAAYABgBZAQAApQUAAAAA&#10;">
                      <v:fill on="t" focussize="0,0"/>
                      <v:stroke color="#000000" joinstyle="miter"/>
                      <v:imagedata o:title=""/>
                      <o:lock v:ext="edit" aspectratio="f"/>
                      <v:textbox>
                        <w:txbxContent>
                          <w:p>
                            <w:r>
                              <w:rPr>
                                <w:rFonts w:hint="eastAsia"/>
                              </w:rPr>
                              <w:t>设备、汽车、商业噪声</w:t>
                            </w:r>
                          </w:p>
                        </w:txbxContent>
                      </v:textbox>
                    </v:rect>
                  </w:pict>
                </mc:Fallback>
              </mc:AlternateContent>
            </w:r>
            <w:r>
              <w:rPr>
                <w:rFonts w:hint="eastAsia"/>
                <w:color w:val="FF0000"/>
                <w:sz w:val="24"/>
                <w:lang/>
              </w:rPr>
              <mc:AlternateContent>
                <mc:Choice Requires="wps">
                  <w:drawing>
                    <wp:anchor distT="0" distB="0" distL="114300" distR="114300" simplePos="0" relativeHeight="251735040" behindDoc="0" locked="0" layoutInCell="1" allowOverlap="1">
                      <wp:simplePos x="0" y="0"/>
                      <wp:positionH relativeFrom="column">
                        <wp:posOffset>466725</wp:posOffset>
                      </wp:positionH>
                      <wp:positionV relativeFrom="paragraph">
                        <wp:posOffset>200025</wp:posOffset>
                      </wp:positionV>
                      <wp:extent cx="371475" cy="0"/>
                      <wp:effectExtent l="0" t="38100" r="9525" b="38100"/>
                      <wp:wrapNone/>
                      <wp:docPr id="101" name="自选图形 695"/>
                      <wp:cNvGraphicFramePr/>
                      <a:graphic xmlns:a="http://schemas.openxmlformats.org/drawingml/2006/main">
                        <a:graphicData uri="http://schemas.microsoft.com/office/word/2010/wordprocessingShape">
                          <wps:wsp>
                            <wps:cNvCnPr/>
                            <wps:spPr>
                              <a:xfrm>
                                <a:off x="0" y="0"/>
                                <a:ext cx="3714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95" o:spid="_x0000_s1026" o:spt="32" type="#_x0000_t32" style="position:absolute;left:0pt;margin-left:36.75pt;margin-top:15.75pt;height:0pt;width:29.25pt;z-index:251735040;mso-width-relative:page;mso-height-relative:page;" filled="f" stroked="t" coordsize="21600,21600" o:gfxdata="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CCWbNgAAAAIAQAADwAAAAAAAAABACAAAAAiAAAAZHJzL2Rvd25y&#10;ZXYueG1sUEsBAhQAFAAAAAgAh07iQFptWDv+AQAA6gMAAA4AAAAAAAAAAQAgAAAAJwEAAGRycy9l&#10;Mm9Eb2MueG1sUEsFBgAAAAAGAAYAWQEAAJcFAAAAAA==&#10;">
                      <v:fill on="f" focussize="0,0"/>
                      <v:stroke color="#000000" joinstyle="round" endarrow="block"/>
                      <v:imagedata o:title=""/>
                      <o:lock v:ext="edit" aspectratio="f"/>
                    </v:shape>
                  </w:pict>
                </mc:Fallback>
              </mc:AlternateContent>
            </w:r>
          </w:p>
          <w:p>
            <w:pPr>
              <w:spacing w:line="360" w:lineRule="auto"/>
              <w:ind w:firstLine="480" w:firstLineChars="200"/>
              <w:rPr>
                <w:rFonts w:hint="eastAsia"/>
                <w:color w:val="FF0000"/>
                <w:sz w:val="24"/>
              </w:rPr>
            </w:pPr>
            <w:r>
              <w:rPr>
                <w:rFonts w:hint="eastAsia"/>
                <w:color w:val="FF0000"/>
                <w:sz w:val="24"/>
                <w:lang/>
              </w:rPr>
              <mc:AlternateContent>
                <mc:Choice Requires="wps">
                  <w:drawing>
                    <wp:anchor distT="0" distB="0" distL="114300" distR="114300" simplePos="0" relativeHeight="251766784" behindDoc="0" locked="0" layoutInCell="1" allowOverlap="1">
                      <wp:simplePos x="0" y="0"/>
                      <wp:positionH relativeFrom="column">
                        <wp:posOffset>3486150</wp:posOffset>
                      </wp:positionH>
                      <wp:positionV relativeFrom="paragraph">
                        <wp:posOffset>276225</wp:posOffset>
                      </wp:positionV>
                      <wp:extent cx="1847850" cy="267335"/>
                      <wp:effectExtent l="4445" t="4445" r="14605" b="13970"/>
                      <wp:wrapNone/>
                      <wp:docPr id="132" name="矩形 744"/>
                      <wp:cNvGraphicFramePr/>
                      <a:graphic xmlns:a="http://schemas.openxmlformats.org/drawingml/2006/main">
                        <a:graphicData uri="http://schemas.microsoft.com/office/word/2010/wordprocessingShape">
                          <wps:wsp>
                            <wps:cNvSpPr/>
                            <wps:spPr>
                              <a:xfrm>
                                <a:off x="0" y="0"/>
                                <a:ext cx="1847850" cy="267335"/>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
                                    <w:rPr>
                                      <w:rFonts w:hint="eastAsia"/>
                                    </w:rPr>
                                    <w:t>委托环卫部门定期清运处理</w:t>
                                  </w:r>
                                </w:p>
                              </w:txbxContent>
                            </wps:txbx>
                            <wps:bodyPr wrap="square" upright="1"/>
                          </wps:wsp>
                        </a:graphicData>
                      </a:graphic>
                    </wp:anchor>
                  </w:drawing>
                </mc:Choice>
                <mc:Fallback>
                  <w:pict>
                    <v:rect id="矩形 744" o:spid="_x0000_s1026" o:spt="1" style="position:absolute;left:0pt;margin-left:274.5pt;margin-top:21.75pt;height:21.05pt;width:145.5pt;z-index:251766784;mso-width-relative:page;mso-height-relative:page;" fillcolor="#FFFFFF" filled="t" stroked="t" coordsize="21600,21600" o:gfxdata="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k/66HVAAAACQEAAA8A&#10;AAAAAAAAAQAgAAAAIgAAAGRycy9kb3ducmV2LnhtbFBLAQIUABQAAAAIAIdO4kDSHdmGGgIAAFgE&#10;AAAOAAAAAAAAAAEAIAAAACQBAABkcnMvZTJvRG9jLnhtbFBLBQYAAAAABgAGAFkBAACwBQAAAAA=&#10;">
                      <v:fill on="t" opacity="0f" focussize="0,0"/>
                      <v:stroke color="#FFFFFF" joinstyle="miter"/>
                      <v:imagedata o:title=""/>
                      <o:lock v:ext="edit" aspectratio="f"/>
                      <v:textbox>
                        <w:txbxContent>
                          <w:p>
                            <w:r>
                              <w:rPr>
                                <w:rFonts w:hint="eastAsia"/>
                              </w:rPr>
                              <w:t>委托环卫部门定期清运处理</w:t>
                            </w:r>
                          </w:p>
                        </w:txbxContent>
                      </v:textbox>
                    </v:rect>
                  </w:pict>
                </mc:Fallback>
              </mc:AlternateContent>
            </w:r>
            <w:r>
              <w:rPr>
                <w:rFonts w:hint="eastAsia"/>
                <w:color w:val="FF0000"/>
                <w:sz w:val="24"/>
                <w:lang/>
              </w:rPr>
              <mc:AlternateContent>
                <mc:Choice Requires="wps">
                  <w:drawing>
                    <wp:anchor distT="0" distB="0" distL="114300" distR="114300" simplePos="0" relativeHeight="251761664" behindDoc="0" locked="0" layoutInCell="1" allowOverlap="1">
                      <wp:simplePos x="0" y="0"/>
                      <wp:positionH relativeFrom="column">
                        <wp:posOffset>2085975</wp:posOffset>
                      </wp:positionH>
                      <wp:positionV relativeFrom="paragraph">
                        <wp:posOffset>276225</wp:posOffset>
                      </wp:positionV>
                      <wp:extent cx="1104900" cy="267335"/>
                      <wp:effectExtent l="5080" t="4445" r="13970" b="13970"/>
                      <wp:wrapNone/>
                      <wp:docPr id="127" name="矩形 737"/>
                      <wp:cNvGraphicFramePr/>
                      <a:graphic xmlns:a="http://schemas.openxmlformats.org/drawingml/2006/main">
                        <a:graphicData uri="http://schemas.microsoft.com/office/word/2010/wordprocessingShape">
                          <wps:wsp>
                            <wps:cNvSpPr/>
                            <wps:spPr>
                              <a:xfrm>
                                <a:off x="0" y="0"/>
                                <a:ext cx="110490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生活、商业垃圾</w:t>
                                  </w:r>
                                </w:p>
                              </w:txbxContent>
                            </wps:txbx>
                            <wps:bodyPr wrap="square" upright="1"/>
                          </wps:wsp>
                        </a:graphicData>
                      </a:graphic>
                    </wp:anchor>
                  </w:drawing>
                </mc:Choice>
                <mc:Fallback>
                  <w:pict>
                    <v:rect id="矩形 737" o:spid="_x0000_s1026" o:spt="1" style="position:absolute;left:0pt;margin-left:164.25pt;margin-top:21.75pt;height:21.05pt;width:87pt;z-index:251761664;mso-width-relative:page;mso-height-relative:page;" fillcolor="#FFFFFF" filled="t" stroked="t" coordsize="21600,21600" o:gfxdata="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6JCWtcAAAAJAQAADwAAAAAAAAABACAA&#10;AAAiAAAAZHJzL2Rvd25yZXYueG1sUEsBAhQAFAAAAAgAh07iQAThACkOAgAAOwQAAA4AAAAAAAAA&#10;AQAgAAAAJgEAAGRycy9lMm9Eb2MueG1sUEsFBgAAAAAGAAYAWQEAAKYFAAAAAA==&#10;">
                      <v:fill on="t" focussize="0,0"/>
                      <v:stroke color="#000000" joinstyle="miter"/>
                      <v:imagedata o:title=""/>
                      <o:lock v:ext="edit" aspectratio="f"/>
                      <v:textbox>
                        <w:txbxContent>
                          <w:p>
                            <w:r>
                              <w:rPr>
                                <w:rFonts w:hint="eastAsia"/>
                              </w:rPr>
                              <w:t>生活、商业垃圾</w:t>
                            </w:r>
                          </w:p>
                        </w:txbxContent>
                      </v:textbox>
                    </v:rect>
                  </w:pict>
                </mc:Fallback>
              </mc:AlternateContent>
            </w:r>
          </w:p>
          <w:p>
            <w:pPr>
              <w:spacing w:line="360" w:lineRule="auto"/>
              <w:ind w:firstLine="480" w:firstLineChars="200"/>
              <w:rPr>
                <w:rFonts w:hint="eastAsia"/>
                <w:color w:val="FF0000"/>
                <w:sz w:val="24"/>
              </w:rPr>
            </w:pPr>
            <w:r>
              <w:rPr>
                <w:rFonts w:hint="eastAsia"/>
                <w:color w:val="FF0000"/>
                <w:sz w:val="24"/>
                <w:lang/>
              </w:rPr>
              <mc:AlternateContent>
                <mc:Choice Requires="wps">
                  <w:drawing>
                    <wp:anchor distT="0" distB="0" distL="114300" distR="114300" simplePos="0" relativeHeight="251764736" behindDoc="0" locked="0" layoutInCell="1" allowOverlap="1">
                      <wp:simplePos x="0" y="0"/>
                      <wp:positionH relativeFrom="column">
                        <wp:posOffset>3190875</wp:posOffset>
                      </wp:positionH>
                      <wp:positionV relativeFrom="paragraph">
                        <wp:posOffset>112395</wp:posOffset>
                      </wp:positionV>
                      <wp:extent cx="295275" cy="0"/>
                      <wp:effectExtent l="0" t="38100" r="9525" b="38100"/>
                      <wp:wrapNone/>
                      <wp:docPr id="130" name="自选图形 741"/>
                      <wp:cNvGraphicFramePr/>
                      <a:graphic xmlns:a="http://schemas.openxmlformats.org/drawingml/2006/main">
                        <a:graphicData uri="http://schemas.microsoft.com/office/word/2010/wordprocessingShape">
                          <wps:wsp>
                            <wps:cNvCnPr/>
                            <wps:spPr>
                              <a:xfrm>
                                <a:off x="0" y="0"/>
                                <a:ext cx="2952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1" o:spid="_x0000_s1026" o:spt="32" type="#_x0000_t32" style="position:absolute;left:0pt;margin-left:251.25pt;margin-top:8.85pt;height:0pt;width:23.25pt;z-index:251764736;mso-width-relative:page;mso-height-relative:page;" filled="f" stroked="t" coordsize="21600,21600" o:gfxdata="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bsw7DYAAAACQEAAA8AAAAAAAAAAQAgAAAAIgAAAGRycy9kb3ducmV2&#10;LnhtbFBLAQIUABQAAAAIAIdO4kDaK52B/AEAAOoDAAAOAAAAAAAAAAEAIAAAACcBAABkcnMvZTJv&#10;RG9jLnhtbFBLBQYAAAAABgAGAFkBAACVBQAAAAA=&#10;">
                      <v:fill on="f" focussize="0,0"/>
                      <v:stroke color="#000000" joinstyle="round" endarrow="block"/>
                      <v:imagedata o:title=""/>
                      <o:lock v:ext="edit" aspectratio="f"/>
                    </v:shape>
                  </w:pict>
                </mc:Fallback>
              </mc:AlternateContent>
            </w:r>
            <w:r>
              <w:rPr>
                <w:rFonts w:hint="eastAsia"/>
                <w:color w:val="FF0000"/>
                <w:sz w:val="24"/>
                <w:lang/>
              </w:rPr>
              <mc:AlternateContent>
                <mc:Choice Requires="wps">
                  <w:drawing>
                    <wp:anchor distT="0" distB="0" distL="114300" distR="114300" simplePos="0" relativeHeight="251762688" behindDoc="0" locked="0" layoutInCell="1" allowOverlap="1">
                      <wp:simplePos x="0" y="0"/>
                      <wp:positionH relativeFrom="column">
                        <wp:posOffset>838200</wp:posOffset>
                      </wp:positionH>
                      <wp:positionV relativeFrom="paragraph">
                        <wp:posOffset>178435</wp:posOffset>
                      </wp:positionV>
                      <wp:extent cx="485775" cy="267335"/>
                      <wp:effectExtent l="4445" t="4445" r="5080" b="13970"/>
                      <wp:wrapNone/>
                      <wp:docPr id="128" name="矩形 738"/>
                      <wp:cNvGraphicFramePr/>
                      <a:graphic xmlns:a="http://schemas.openxmlformats.org/drawingml/2006/main">
                        <a:graphicData uri="http://schemas.microsoft.com/office/word/2010/wordprocessingShape">
                          <wps:wsp>
                            <wps:cNvSpPr/>
                            <wps:spPr>
                              <a:xfrm>
                                <a:off x="0" y="0"/>
                                <a:ext cx="48577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固废</w:t>
                                  </w:r>
                                </w:p>
                              </w:txbxContent>
                            </wps:txbx>
                            <wps:bodyPr wrap="square" upright="1"/>
                          </wps:wsp>
                        </a:graphicData>
                      </a:graphic>
                    </wp:anchor>
                  </w:drawing>
                </mc:Choice>
                <mc:Fallback>
                  <w:pict>
                    <v:rect id="矩形 738" o:spid="_x0000_s1026" o:spt="1" style="position:absolute;left:0pt;margin-left:66pt;margin-top:14.05pt;height:21.05pt;width:38.25pt;z-index:251762688;mso-width-relative:page;mso-height-relative:page;" fillcolor="#FFFFFF" filled="t" stroked="t" coordsize="21600,21600" o:gfxdata="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SHOXXAAAACQEAAA8AAAAAAAAAAQAgAAAA&#10;IgAAAGRycy9kb3ducmV2LnhtbFBLAQIUABQAAAAIAIdO4kBkStHIDAIAADoEAAAOAAAAAAAAAAEA&#10;IAAAACYBAABkcnMvZTJvRG9jLnhtbFBLBQYAAAAABgAGAFkBAACkBQAAAAA=&#10;">
                      <v:fill on="t" focussize="0,0"/>
                      <v:stroke color="#000000" joinstyle="miter"/>
                      <v:imagedata o:title=""/>
                      <o:lock v:ext="edit" aspectratio="f"/>
                      <v:textbox>
                        <w:txbxContent>
                          <w:p>
                            <w:r>
                              <w:rPr>
                                <w:rFonts w:hint="eastAsia"/>
                              </w:rPr>
                              <w:t>固废</w:t>
                            </w:r>
                          </w:p>
                        </w:txbxContent>
                      </v:textbox>
                    </v:rect>
                  </w:pict>
                </mc:Fallback>
              </mc:AlternateContent>
            </w:r>
            <w:r>
              <w:rPr>
                <w:rFonts w:hint="eastAsia"/>
                <w:color w:val="FF0000"/>
                <w:sz w:val="24"/>
                <w:lang/>
              </w:rPr>
              <mc:AlternateContent>
                <mc:Choice Requires="wps">
                  <w:drawing>
                    <wp:anchor distT="0" distB="0" distL="114300" distR="114300" simplePos="0" relativeHeight="251748352" behindDoc="0" locked="0" layoutInCell="1" allowOverlap="1">
                      <wp:simplePos x="0" y="0"/>
                      <wp:positionH relativeFrom="column">
                        <wp:posOffset>1638300</wp:posOffset>
                      </wp:positionH>
                      <wp:positionV relativeFrom="paragraph">
                        <wp:posOffset>112395</wp:posOffset>
                      </wp:positionV>
                      <wp:extent cx="447675" cy="0"/>
                      <wp:effectExtent l="0" t="38100" r="9525" b="38100"/>
                      <wp:wrapNone/>
                      <wp:docPr id="114" name="自选图形 710"/>
                      <wp:cNvGraphicFramePr/>
                      <a:graphic xmlns:a="http://schemas.openxmlformats.org/drawingml/2006/main">
                        <a:graphicData uri="http://schemas.microsoft.com/office/word/2010/wordprocessingShape">
                          <wps:wsp>
                            <wps:cNvCnPr/>
                            <wps:spPr>
                              <a:xfrm>
                                <a:off x="0" y="0"/>
                                <a:ext cx="4476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0" o:spid="_x0000_s1026" o:spt="32" type="#_x0000_t32" style="position:absolute;left:0pt;margin-left:129pt;margin-top:8.85pt;height:0pt;width:35.25pt;z-index:251748352;mso-width-relative:page;mso-height-relative:page;" filled="f" stroked="t" coordsize="21600,21600" o:gfxdata="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ArOtkAAAAJAQAADwAAAAAAAAABACAAAAAiAAAAZHJzL2Rvd25y&#10;ZXYueG1sUEsBAhQAFAAAAAgAh07iQLAi2g/9AQAA6gMAAA4AAAAAAAAAAQAgAAAAKAEAAGRycy9l&#10;Mm9Eb2MueG1sUEsFBgAAAAAGAAYAWQEAAJcFAAAAAA==&#10;">
                      <v:fill on="f" focussize="0,0"/>
                      <v:stroke color="#000000" joinstyle="round" endarrow="block"/>
                      <v:imagedata o:title=""/>
                      <o:lock v:ext="edit" aspectratio="f"/>
                    </v:shape>
                  </w:pict>
                </mc:Fallback>
              </mc:AlternateContent>
            </w:r>
            <w:r>
              <w:rPr>
                <w:rFonts w:hint="eastAsia"/>
                <w:color w:val="FF0000"/>
                <w:sz w:val="24"/>
                <w:lang/>
              </w:rPr>
              <mc:AlternateContent>
                <mc:Choice Requires="wps">
                  <w:drawing>
                    <wp:anchor distT="0" distB="0" distL="114300" distR="114300" simplePos="0" relativeHeight="251747328" behindDoc="0" locked="0" layoutInCell="1" allowOverlap="1">
                      <wp:simplePos x="0" y="0"/>
                      <wp:positionH relativeFrom="column">
                        <wp:posOffset>1638300</wp:posOffset>
                      </wp:positionH>
                      <wp:positionV relativeFrom="paragraph">
                        <wp:posOffset>112395</wp:posOffset>
                      </wp:positionV>
                      <wp:extent cx="0" cy="408305"/>
                      <wp:effectExtent l="4445" t="0" r="14605" b="10795"/>
                      <wp:wrapNone/>
                      <wp:docPr id="113" name="自选图形 709"/>
                      <wp:cNvGraphicFramePr/>
                      <a:graphic xmlns:a="http://schemas.openxmlformats.org/drawingml/2006/main">
                        <a:graphicData uri="http://schemas.microsoft.com/office/word/2010/wordprocessingShape">
                          <wps:wsp>
                            <wps:cNvCnPr/>
                            <wps:spPr>
                              <a:xfrm>
                                <a:off x="0" y="0"/>
                                <a:ext cx="0" cy="4083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09" o:spid="_x0000_s1026" o:spt="32" type="#_x0000_t32" style="position:absolute;left:0pt;margin-left:129pt;margin-top:8.85pt;height:32.15pt;width:0pt;z-index:251747328;mso-width-relative:page;mso-height-relative:page;" filled="f" stroked="t" coordsize="21600,21600" o:gfxdata="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UAHX/1wAAAAkBAAAPAAAAAAAAAAEAIAAAACIAAABkcnMvZG93bnJldi54bWxQSwEC&#10;FAAUAAAACACHTuJAtd5Uo/UBAADmAwAADgAAAAAAAAABACAAAAAmAQAAZHJzL2Uyb0RvYy54bWxQ&#10;SwUGAAAAAAYABgBZAQAAjQUAAAAA&#10;">
                      <v:fill on="f" focussize="0,0"/>
                      <v:stroke color="#000000" joinstyle="round"/>
                      <v:imagedata o:title=""/>
                      <o:lock v:ext="edit" aspectratio="f"/>
                    </v:shape>
                  </w:pict>
                </mc:Fallback>
              </mc:AlternateContent>
            </w:r>
          </w:p>
          <w:p>
            <w:pPr>
              <w:spacing w:line="360" w:lineRule="auto"/>
              <w:ind w:firstLine="480" w:firstLineChars="200"/>
              <w:rPr>
                <w:rFonts w:hint="eastAsia"/>
                <w:color w:val="FF0000"/>
                <w:sz w:val="24"/>
              </w:rPr>
            </w:pPr>
            <w:r>
              <w:rPr>
                <w:rFonts w:hint="eastAsia"/>
                <w:color w:val="FF0000"/>
                <w:sz w:val="24"/>
                <w:lang/>
              </w:rPr>
              <mc:AlternateContent>
                <mc:Choice Requires="wps">
                  <w:drawing>
                    <wp:anchor distT="0" distB="0" distL="114300" distR="114300" simplePos="0" relativeHeight="251767808" behindDoc="0" locked="0" layoutInCell="1" allowOverlap="1">
                      <wp:simplePos x="0" y="0"/>
                      <wp:positionH relativeFrom="column">
                        <wp:posOffset>2943225</wp:posOffset>
                      </wp:positionH>
                      <wp:positionV relativeFrom="paragraph">
                        <wp:posOffset>148590</wp:posOffset>
                      </wp:positionV>
                      <wp:extent cx="1428750" cy="267335"/>
                      <wp:effectExtent l="4445" t="5080" r="14605" b="13335"/>
                      <wp:wrapNone/>
                      <wp:docPr id="133" name="矩形 746"/>
                      <wp:cNvGraphicFramePr/>
                      <a:graphic xmlns:a="http://schemas.openxmlformats.org/drawingml/2006/main">
                        <a:graphicData uri="http://schemas.microsoft.com/office/word/2010/wordprocessingShape">
                          <wps:wsp>
                            <wps:cNvSpPr/>
                            <wps:spPr>
                              <a:xfrm>
                                <a:off x="0" y="0"/>
                                <a:ext cx="1428750" cy="267335"/>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
                                    <w:rPr>
                                      <w:rFonts w:hint="eastAsia"/>
                                    </w:rPr>
                                    <w:t>委托相关部门清运处理</w:t>
                                  </w:r>
                                </w:p>
                              </w:txbxContent>
                            </wps:txbx>
                            <wps:bodyPr wrap="square" upright="1"/>
                          </wps:wsp>
                        </a:graphicData>
                      </a:graphic>
                    </wp:anchor>
                  </w:drawing>
                </mc:Choice>
                <mc:Fallback>
                  <w:pict>
                    <v:rect id="矩形 746" o:spid="_x0000_s1026" o:spt="1" style="position:absolute;left:0pt;margin-left:231.75pt;margin-top:11.7pt;height:21.05pt;width:112.5pt;z-index:251767808;mso-width-relative:page;mso-height-relative:page;" fillcolor="#FFFFFF" filled="t" stroked="t" coordsize="21600,21600" o:gfxdata="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6O8B1AAAAAkBAAAP&#10;AAAAAAAAAAEAIAAAACIAAABkcnMvZG93bnJldi54bWxQSwECFAAUAAAACACHTuJAJQiMjxwCAABY&#10;BAAADgAAAAAAAAABACAAAAAjAQAAZHJzL2Uyb0RvYy54bWxQSwUGAAAAAAYABgBZAQAAsQUAAAAA&#10;">
                      <v:fill on="t" opacity="0f" focussize="0,0"/>
                      <v:stroke color="#FFFFFF" joinstyle="miter"/>
                      <v:imagedata o:title=""/>
                      <o:lock v:ext="edit" aspectratio="f"/>
                      <v:textbox>
                        <w:txbxContent>
                          <w:p>
                            <w:r>
                              <w:rPr>
                                <w:rFonts w:hint="eastAsia"/>
                              </w:rPr>
                              <w:t>委托相关部门清运处理</w:t>
                            </w:r>
                          </w:p>
                        </w:txbxContent>
                      </v:textbox>
                    </v:rect>
                  </w:pict>
                </mc:Fallback>
              </mc:AlternateContent>
            </w:r>
            <w:r>
              <w:rPr>
                <w:rFonts w:hint="eastAsia"/>
                <w:color w:val="FF0000"/>
                <w:sz w:val="24"/>
                <w:lang/>
              </w:rPr>
              <mc:AlternateContent>
                <mc:Choice Requires="wps">
                  <w:drawing>
                    <wp:anchor distT="0" distB="0" distL="114300" distR="114300" simplePos="0" relativeHeight="251765760" behindDoc="0" locked="0" layoutInCell="1" allowOverlap="1">
                      <wp:simplePos x="0" y="0"/>
                      <wp:positionH relativeFrom="column">
                        <wp:posOffset>2686050</wp:posOffset>
                      </wp:positionH>
                      <wp:positionV relativeFrom="paragraph">
                        <wp:posOffset>287020</wp:posOffset>
                      </wp:positionV>
                      <wp:extent cx="257175" cy="0"/>
                      <wp:effectExtent l="0" t="38100" r="9525" b="38100"/>
                      <wp:wrapNone/>
                      <wp:docPr id="131" name="自选图形 743"/>
                      <wp:cNvGraphicFramePr/>
                      <a:graphic xmlns:a="http://schemas.openxmlformats.org/drawingml/2006/main">
                        <a:graphicData uri="http://schemas.microsoft.com/office/word/2010/wordprocessingShape">
                          <wps:wsp>
                            <wps:cNvCnPr/>
                            <wps:spPr>
                              <a:xfrm>
                                <a:off x="0" y="0"/>
                                <a:ext cx="257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3" o:spid="_x0000_s1026" o:spt="32" type="#_x0000_t32" style="position:absolute;left:0pt;margin-left:211.5pt;margin-top:22.6pt;height:0pt;width:20.25pt;z-index:251765760;mso-width-relative:page;mso-height-relative:page;" filled="f" stroked="t" coordsize="21600,21600" o:gfxdata="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KvyTZAAAACQEAAA8AAAAAAAAAAQAgAAAAIgAAAGRycy9kb3du&#10;cmV2LnhtbFBLAQIUABQAAAAIAIdO4kD4gkRQ/gEAAOoDAAAOAAAAAAAAAAEAIAAAACgBAABkcnMv&#10;ZTJvRG9jLnhtbFBLBQYAAAAABgAGAFkBAACYBQAAAAA=&#10;">
                      <v:fill on="f" focussize="0,0"/>
                      <v:stroke color="#000000" joinstyle="round" endarrow="block"/>
                      <v:imagedata o:title=""/>
                      <o:lock v:ext="edit" aspectratio="f"/>
                    </v:shape>
                  </w:pict>
                </mc:Fallback>
              </mc:AlternateContent>
            </w:r>
            <w:r>
              <w:rPr>
                <w:rFonts w:hint="eastAsia"/>
                <w:color w:val="FF0000"/>
                <w:sz w:val="24"/>
                <w:lang/>
              </w:rPr>
              <mc:AlternateContent>
                <mc:Choice Requires="wps">
                  <w:drawing>
                    <wp:anchor distT="0" distB="0" distL="114300" distR="114300" simplePos="0" relativeHeight="251763712" behindDoc="0" locked="0" layoutInCell="1" allowOverlap="1">
                      <wp:simplePos x="0" y="0"/>
                      <wp:positionH relativeFrom="column">
                        <wp:posOffset>2124075</wp:posOffset>
                      </wp:positionH>
                      <wp:positionV relativeFrom="paragraph">
                        <wp:posOffset>148590</wp:posOffset>
                      </wp:positionV>
                      <wp:extent cx="542925" cy="267335"/>
                      <wp:effectExtent l="4445" t="4445" r="5080" b="13970"/>
                      <wp:wrapNone/>
                      <wp:docPr id="129" name="矩形 739"/>
                      <wp:cNvGraphicFramePr/>
                      <a:graphic xmlns:a="http://schemas.openxmlformats.org/drawingml/2006/main">
                        <a:graphicData uri="http://schemas.microsoft.com/office/word/2010/wordprocessingShape">
                          <wps:wsp>
                            <wps:cNvSpPr/>
                            <wps:spPr>
                              <a:xfrm>
                                <a:off x="0" y="0"/>
                                <a:ext cx="54292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污泥</w:t>
                                  </w:r>
                                </w:p>
                              </w:txbxContent>
                            </wps:txbx>
                            <wps:bodyPr wrap="square" upright="1"/>
                          </wps:wsp>
                        </a:graphicData>
                      </a:graphic>
                    </wp:anchor>
                  </w:drawing>
                </mc:Choice>
                <mc:Fallback>
                  <w:pict>
                    <v:rect id="矩形 739" o:spid="_x0000_s1026" o:spt="1" style="position:absolute;left:0pt;margin-left:167.25pt;margin-top:11.7pt;height:21.05pt;width:42.75pt;z-index:251763712;mso-width-relative:page;mso-height-relative:page;" fillcolor="#FFFFFF" filled="t" stroked="t" coordsize="21600,21600" o:gfxdata="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4RlZS2AAAAAkBAAAPAAAAAAAAAAEAIAAA&#10;ACIAAABkcnMvZG93bnJldi54bWxQSwECFAAUAAAACACHTuJARiDDVAwCAAA6BAAADgAAAAAAAAAB&#10;ACAAAAAnAQAAZHJzL2Uyb0RvYy54bWxQSwUGAAAAAAYABgBZAQAApQUAAAAA&#10;">
                      <v:fill on="t" focussize="0,0"/>
                      <v:stroke color="#000000" joinstyle="miter"/>
                      <v:imagedata o:title=""/>
                      <o:lock v:ext="edit" aspectratio="f"/>
                      <v:textbox>
                        <w:txbxContent>
                          <w:p>
                            <w:r>
                              <w:rPr>
                                <w:rFonts w:hint="eastAsia"/>
                              </w:rPr>
                              <w:t>污泥</w:t>
                            </w:r>
                          </w:p>
                        </w:txbxContent>
                      </v:textbox>
                    </v:rect>
                  </w:pict>
                </mc:Fallback>
              </mc:AlternateContent>
            </w:r>
            <w:r>
              <w:rPr>
                <w:rFonts w:hint="eastAsia"/>
                <w:color w:val="FF0000"/>
                <w:sz w:val="24"/>
                <w:lang/>
              </w:rPr>
              <mc:AlternateContent>
                <mc:Choice Requires="wps">
                  <w:drawing>
                    <wp:anchor distT="0" distB="0" distL="114300" distR="114300" simplePos="0" relativeHeight="251746304" behindDoc="0" locked="0" layoutInCell="1" allowOverlap="1">
                      <wp:simplePos x="0" y="0"/>
                      <wp:positionH relativeFrom="column">
                        <wp:posOffset>1323975</wp:posOffset>
                      </wp:positionH>
                      <wp:positionV relativeFrom="paragraph">
                        <wp:posOffset>10795</wp:posOffset>
                      </wp:positionV>
                      <wp:extent cx="304800" cy="635"/>
                      <wp:effectExtent l="0" t="0" r="0" b="0"/>
                      <wp:wrapNone/>
                      <wp:docPr id="112" name="自选图形 708"/>
                      <wp:cNvGraphicFramePr/>
                      <a:graphic xmlns:a="http://schemas.openxmlformats.org/drawingml/2006/main">
                        <a:graphicData uri="http://schemas.microsoft.com/office/word/2010/wordprocessingShape">
                          <wps:wsp>
                            <wps:cNvCnPr/>
                            <wps:spPr>
                              <a:xfrm>
                                <a:off x="0" y="0"/>
                                <a:ext cx="30480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08" o:spid="_x0000_s1026" o:spt="32" type="#_x0000_t32" style="position:absolute;left:0pt;margin-left:104.25pt;margin-top:0.85pt;height:0.05pt;width:24pt;z-index:251746304;mso-width-relative:page;mso-height-relative:page;" filled="f" stroked="t" coordsize="21600,21600" o:gfxdata="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8lm2O1AAAAAcBAAAPAAAAAAAAAAEAIAAAACIAAABkcnMvZG93bnJldi54bWxQSwEC&#10;FAAUAAAACACHTuJA9+u04/gBAADoAwAADgAAAAAAAAABACAAAAAjAQAAZHJzL2Uyb0RvYy54bWxQ&#10;SwUGAAAAAAYABgBZAQAAjQUAAAAA&#10;">
                      <v:fill on="f" focussize="0,0"/>
                      <v:stroke color="#000000" joinstyle="round"/>
                      <v:imagedata o:title=""/>
                      <o:lock v:ext="edit" aspectratio="f"/>
                    </v:shape>
                  </w:pict>
                </mc:Fallback>
              </mc:AlternateContent>
            </w:r>
            <w:r>
              <w:rPr>
                <w:rFonts w:hint="eastAsia"/>
                <w:color w:val="FF0000"/>
                <w:sz w:val="24"/>
                <w:lang/>
              </w:rPr>
              <mc:AlternateContent>
                <mc:Choice Requires="wps">
                  <w:drawing>
                    <wp:anchor distT="0" distB="0" distL="114300" distR="114300" simplePos="0" relativeHeight="251737088" behindDoc="0" locked="0" layoutInCell="1" allowOverlap="1">
                      <wp:simplePos x="0" y="0"/>
                      <wp:positionH relativeFrom="column">
                        <wp:posOffset>466725</wp:posOffset>
                      </wp:positionH>
                      <wp:positionV relativeFrom="paragraph">
                        <wp:posOffset>11430</wp:posOffset>
                      </wp:positionV>
                      <wp:extent cx="371475" cy="0"/>
                      <wp:effectExtent l="0" t="38100" r="9525" b="38100"/>
                      <wp:wrapNone/>
                      <wp:docPr id="103" name="自选图形 697"/>
                      <wp:cNvGraphicFramePr/>
                      <a:graphic xmlns:a="http://schemas.openxmlformats.org/drawingml/2006/main">
                        <a:graphicData uri="http://schemas.microsoft.com/office/word/2010/wordprocessingShape">
                          <wps:wsp>
                            <wps:cNvCnPr/>
                            <wps:spPr>
                              <a:xfrm>
                                <a:off x="0" y="0"/>
                                <a:ext cx="3714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97" o:spid="_x0000_s1026" o:spt="32" type="#_x0000_t32" style="position:absolute;left:0pt;margin-left:36.75pt;margin-top:0.9pt;height:0pt;width:29.25pt;z-index:251737088;mso-width-relative:page;mso-height-relative:page;" filled="f" stroked="t" coordsize="21600,21600" o:gfxdata="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J1M7XVAAAABgEAAA8AAAAAAAAAAQAgAAAAIgAAAGRycy9kb3ducmV2&#10;LnhtbFBLAQIUABQAAAAIAIdO4kB9IA6Q/wEAAOoDAAAOAAAAAAAAAAEAIAAAACQBAABkcnMvZTJv&#10;RG9jLnhtbFBLBQYAAAAABgAGAFkBAACVBQAAAAA=&#10;">
                      <v:fill on="f" focussize="0,0"/>
                      <v:stroke color="#000000" joinstyle="round" endarrow="block"/>
                      <v:imagedata o:title=""/>
                      <o:lock v:ext="edit" aspectratio="f"/>
                    </v:shape>
                  </w:pict>
                </mc:Fallback>
              </mc:AlternateContent>
            </w:r>
            <w:r>
              <w:rPr>
                <w:rFonts w:hint="eastAsia"/>
                <w:color w:val="FF0000"/>
                <w:sz w:val="24"/>
                <w:lang/>
              </w:rPr>
              <mc:AlternateContent>
                <mc:Choice Requires="wps">
                  <w:drawing>
                    <wp:anchor distT="0" distB="0" distL="114300" distR="114300" simplePos="0" relativeHeight="251726848" behindDoc="0" locked="0" layoutInCell="1" allowOverlap="1">
                      <wp:simplePos x="0" y="0"/>
                      <wp:positionH relativeFrom="column">
                        <wp:posOffset>1628775</wp:posOffset>
                      </wp:positionH>
                      <wp:positionV relativeFrom="paragraph">
                        <wp:posOffset>224155</wp:posOffset>
                      </wp:positionV>
                      <wp:extent cx="476250" cy="9525"/>
                      <wp:effectExtent l="0" t="29845" r="0" b="36830"/>
                      <wp:wrapNone/>
                      <wp:docPr id="93" name="自选图形 687"/>
                      <wp:cNvGraphicFramePr/>
                      <a:graphic xmlns:a="http://schemas.openxmlformats.org/drawingml/2006/main">
                        <a:graphicData uri="http://schemas.microsoft.com/office/word/2010/wordprocessingShape">
                          <wps:wsp>
                            <wps:cNvCnPr/>
                            <wps:spPr>
                              <a:xfrm>
                                <a:off x="0" y="0"/>
                                <a:ext cx="4762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87" o:spid="_x0000_s1026" o:spt="32" type="#_x0000_t32" style="position:absolute;left:0pt;margin-left:128.25pt;margin-top:17.65pt;height:0.75pt;width:37.5pt;z-index:251726848;mso-width-relative:page;mso-height-relative:page;" filled="f" stroked="t" coordsize="21600,21600" o:gfxdata="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HhTVNkAAAAJAQAADwAAAAAAAAABACAAAAAiAAAAZHJzL2Rvd25y&#10;ZXYueG1sUEsBAhQAFAAAAAgAh07iQCZlJc39AQAA7AMAAA4AAAAAAAAAAQAgAAAAKAEAAGRycy9l&#10;Mm9Eb2MueG1sUEsFBgAAAAAGAAYAWQEAAJcFAAAAAA==&#10;">
                      <v:fill on="f" focussize="0,0"/>
                      <v:stroke color="#000000" joinstyle="round" endarrow="block"/>
                      <v:imagedata o:title=""/>
                      <o:lock v:ext="edit" aspectratio="f"/>
                    </v:shape>
                  </w:pict>
                </mc:Fallback>
              </mc:AlternateContent>
            </w:r>
          </w:p>
          <w:p>
            <w:pPr>
              <w:tabs>
                <w:tab w:val="center" w:pos="4153"/>
                <w:tab w:val="right" w:pos="8306"/>
              </w:tabs>
              <w:snapToGrid w:val="0"/>
              <w:spacing w:line="360" w:lineRule="auto"/>
              <w:rPr>
                <w:rFonts w:hint="eastAsia" w:hAnsi="宋体"/>
                <w:b/>
                <w:color w:val="FF0000"/>
                <w:sz w:val="24"/>
              </w:rPr>
            </w:pPr>
          </w:p>
          <w:p>
            <w:pPr>
              <w:spacing w:line="360" w:lineRule="auto"/>
              <w:jc w:val="center"/>
              <w:rPr>
                <w:rFonts w:hint="eastAsia"/>
              </w:rPr>
            </w:pPr>
            <w:r>
              <w:rPr>
                <w:rFonts w:hint="eastAsia"/>
                <w:b/>
                <w:sz w:val="24"/>
              </w:rPr>
              <w:t xml:space="preserve">图5-2  </w:t>
            </w:r>
            <w:r>
              <w:rPr>
                <w:rFonts w:hint="eastAsia" w:ascii="宋体" w:hAnsi="Courier New"/>
                <w:b/>
                <w:sz w:val="24"/>
              </w:rPr>
              <w:t>运营期污染流程图</w:t>
            </w:r>
          </w:p>
          <w:p>
            <w:pPr>
              <w:tabs>
                <w:tab w:val="center" w:pos="4153"/>
                <w:tab w:val="right" w:pos="8306"/>
              </w:tabs>
              <w:snapToGrid w:val="0"/>
              <w:spacing w:line="360" w:lineRule="auto"/>
              <w:rPr>
                <w:b/>
                <w:sz w:val="24"/>
              </w:rPr>
            </w:pPr>
            <w:r>
              <w:rPr>
                <w:rFonts w:hAnsi="宋体"/>
                <w:b/>
                <w:sz w:val="24"/>
              </w:rPr>
              <w:t>污染工序</w:t>
            </w:r>
          </w:p>
          <w:p>
            <w:pPr>
              <w:tabs>
                <w:tab w:val="center" w:pos="4153"/>
                <w:tab w:val="right" w:pos="8306"/>
              </w:tabs>
              <w:snapToGrid w:val="0"/>
              <w:spacing w:line="360" w:lineRule="auto"/>
              <w:rPr>
                <w:b/>
                <w:sz w:val="24"/>
              </w:rPr>
            </w:pPr>
            <w:r>
              <w:rPr>
                <w:rFonts w:hAnsi="宋体"/>
                <w:b/>
                <w:sz w:val="24"/>
              </w:rPr>
              <w:t>一、施工期</w:t>
            </w:r>
          </w:p>
          <w:p>
            <w:pPr>
              <w:spacing w:line="360" w:lineRule="auto"/>
              <w:ind w:firstLine="480" w:firstLineChars="200"/>
              <w:rPr>
                <w:sz w:val="24"/>
              </w:rPr>
            </w:pPr>
            <w:r>
              <w:rPr>
                <w:sz w:val="24"/>
              </w:rPr>
              <w:t>施工期主要是对拟建</w:t>
            </w:r>
            <w:r>
              <w:rPr>
                <w:rFonts w:hint="eastAsia"/>
                <w:sz w:val="24"/>
              </w:rPr>
              <w:t>场</w:t>
            </w:r>
            <w:r>
              <w:rPr>
                <w:sz w:val="24"/>
              </w:rPr>
              <w:t>址进行清理、</w:t>
            </w:r>
            <w:r>
              <w:rPr>
                <w:rFonts w:hint="eastAsia"/>
                <w:sz w:val="24"/>
              </w:rPr>
              <w:t>场地平整、掘土、基础设施建设、地基处理及土石方、建筑材料运输、设备装配、装修等施工行为，将会产生废水、废气、噪声、固体废弃物、生态影响因素和社会环境影响因素，在一定时段内都会对周围环境造成不良影响。</w:t>
            </w:r>
          </w:p>
          <w:p>
            <w:pPr>
              <w:spacing w:line="360" w:lineRule="auto"/>
              <w:ind w:firstLine="482" w:firstLineChars="200"/>
              <w:rPr>
                <w:b/>
                <w:sz w:val="24"/>
              </w:rPr>
            </w:pPr>
            <w:r>
              <w:rPr>
                <w:b/>
                <w:sz w:val="24"/>
              </w:rPr>
              <w:t>1、大气污染</w:t>
            </w:r>
          </w:p>
          <w:p>
            <w:pPr>
              <w:spacing w:line="360" w:lineRule="auto"/>
              <w:ind w:firstLine="480" w:firstLineChars="200"/>
              <w:rPr>
                <w:rFonts w:hint="eastAsia"/>
                <w:sz w:val="24"/>
              </w:rPr>
            </w:pPr>
            <w:r>
              <w:rPr>
                <w:sz w:val="24"/>
              </w:rPr>
              <w:t>（1）扬尘：</w:t>
            </w:r>
          </w:p>
          <w:p>
            <w:pPr>
              <w:spacing w:line="360" w:lineRule="auto"/>
              <w:ind w:firstLine="480" w:firstLineChars="200"/>
              <w:rPr>
                <w:rFonts w:hint="eastAsia"/>
                <w:sz w:val="24"/>
              </w:rPr>
            </w:pPr>
            <w:r>
              <w:rPr>
                <w:sz w:val="24"/>
              </w:rPr>
              <w:t>在施工期，大气污染主要是对</w:t>
            </w:r>
            <w:r>
              <w:rPr>
                <w:rFonts w:hint="eastAsia"/>
                <w:sz w:val="24"/>
              </w:rPr>
              <w:t>建筑物及道路广场区的</w:t>
            </w:r>
            <w:r>
              <w:rPr>
                <w:sz w:val="24"/>
              </w:rPr>
              <w:t>土石方挖填、场地平整、施工</w:t>
            </w:r>
            <w:r>
              <w:rPr>
                <w:rFonts w:hint="eastAsia"/>
                <w:sz w:val="24"/>
              </w:rPr>
              <w:t>场地</w:t>
            </w:r>
            <w:r>
              <w:rPr>
                <w:sz w:val="24"/>
              </w:rPr>
              <w:t>、</w:t>
            </w:r>
            <w:r>
              <w:rPr>
                <w:rFonts w:hint="eastAsia"/>
                <w:sz w:val="24"/>
              </w:rPr>
              <w:t>表土临时堆放场、</w:t>
            </w:r>
            <w:r>
              <w:rPr>
                <w:sz w:val="24"/>
              </w:rPr>
              <w:t>施工作业等产生的粉尘</w:t>
            </w:r>
            <w:r>
              <w:rPr>
                <w:rFonts w:hint="eastAsia"/>
                <w:sz w:val="24"/>
              </w:rPr>
              <w:t>；来往运输车辆产生的道路扬尘；裸露地表风蚀产生的扬尘等</w:t>
            </w:r>
            <w:r>
              <w:rPr>
                <w:sz w:val="24"/>
              </w:rPr>
              <w:t>。</w:t>
            </w:r>
          </w:p>
          <w:p>
            <w:pPr>
              <w:spacing w:line="360" w:lineRule="auto"/>
              <w:ind w:firstLine="480" w:firstLineChars="200"/>
              <w:rPr>
                <w:sz w:val="24"/>
              </w:rPr>
            </w:pPr>
            <w:r>
              <w:rPr>
                <w:sz w:val="24"/>
              </w:rPr>
              <w:t>扬尘</w:t>
            </w:r>
            <w:r>
              <w:rPr>
                <w:rFonts w:hint="eastAsia"/>
                <w:sz w:val="24"/>
              </w:rPr>
              <w:t>中主要污染因子为</w:t>
            </w:r>
            <w:r>
              <w:rPr>
                <w:sz w:val="24"/>
              </w:rPr>
              <w:t>TSP和PM</w:t>
            </w:r>
            <w:r>
              <w:rPr>
                <w:sz w:val="24"/>
                <w:vertAlign w:val="subscript"/>
              </w:rPr>
              <w:t>10</w:t>
            </w:r>
            <w:r>
              <w:rPr>
                <w:sz w:val="24"/>
              </w:rPr>
              <w:t>，其中不含有毒有害的特殊污染物。</w:t>
            </w:r>
            <w:r>
              <w:rPr>
                <w:rFonts w:hint="eastAsia"/>
                <w:sz w:val="24"/>
              </w:rPr>
              <w:t>扬尘排放方式主要为无组织排放，其产生量与施工范围、施工方式、土壤湿度、气象条件等诸多因素有关。</w:t>
            </w:r>
            <w:r>
              <w:rPr>
                <w:sz w:val="24"/>
              </w:rPr>
              <w:t>建设单位应在施工期通过加强监督管理、强调文明施工。在运输或作业中扬尘大时要洒水降尘，运输车辆必须采取封闭措施，物料堆放要规整并适当遮蔽和覆盖，使施工期扬尘污染降低到最低限度，并满足GB16297-1996《大气污染物综合排放标准》中的无组织排放要求。</w:t>
            </w:r>
          </w:p>
          <w:p>
            <w:pPr>
              <w:spacing w:line="360" w:lineRule="auto"/>
              <w:ind w:firstLine="480" w:firstLineChars="200"/>
              <w:rPr>
                <w:rFonts w:hint="eastAsia"/>
                <w:sz w:val="24"/>
              </w:rPr>
            </w:pPr>
            <w:r>
              <w:rPr>
                <w:sz w:val="24"/>
              </w:rPr>
              <w:t>（2）燃油废气：</w:t>
            </w:r>
          </w:p>
          <w:p>
            <w:pPr>
              <w:spacing w:line="360" w:lineRule="auto"/>
              <w:ind w:firstLine="480" w:firstLineChars="200"/>
              <w:rPr>
                <w:sz w:val="24"/>
              </w:rPr>
            </w:pPr>
            <w:r>
              <w:rPr>
                <w:sz w:val="24"/>
              </w:rPr>
              <w:t>施工使用的燃油设备（如挖掘机、空压机、运输车辆等）会产生燃油废气，主要为一氧化碳（CO）、氮氧化物（NOx）、碳氢化合物（CH）。施工期的</w:t>
            </w:r>
            <w:r>
              <w:rPr>
                <w:rFonts w:hint="eastAsia"/>
                <w:sz w:val="24"/>
              </w:rPr>
              <w:t>尾气</w:t>
            </w:r>
            <w:r>
              <w:rPr>
                <w:sz w:val="24"/>
              </w:rPr>
              <w:t>为无组织间断排放</w:t>
            </w:r>
            <w:r>
              <w:rPr>
                <w:rFonts w:hint="eastAsia"/>
                <w:sz w:val="24"/>
              </w:rPr>
              <w:t>，具有间断性产生、产生量较小、产生点相对分散、易被稀释扩散等特点。</w:t>
            </w:r>
          </w:p>
          <w:p>
            <w:pPr>
              <w:spacing w:line="360" w:lineRule="auto"/>
              <w:ind w:firstLine="480" w:firstLineChars="200"/>
              <w:rPr>
                <w:rFonts w:hint="eastAsia"/>
                <w:sz w:val="24"/>
              </w:rPr>
            </w:pPr>
            <w:r>
              <w:rPr>
                <w:sz w:val="24"/>
              </w:rPr>
              <w:t>（3）装修废气：</w:t>
            </w:r>
          </w:p>
          <w:p>
            <w:pPr>
              <w:spacing w:line="360" w:lineRule="auto"/>
              <w:ind w:firstLine="480" w:firstLineChars="200"/>
              <w:rPr>
                <w:rFonts w:hint="eastAsia"/>
                <w:sz w:val="24"/>
              </w:rPr>
            </w:pPr>
            <w:r>
              <w:rPr>
                <w:sz w:val="24"/>
              </w:rPr>
              <w:t>装修阶段会有油漆废气产生，该废气的排放属无组织排放。油漆废气的主要污染因子为油性涂料中的甲醛、二甲苯和甲苯，此外还有极少量的汽油、丁醇、丙醇等。</w:t>
            </w:r>
          </w:p>
          <w:p>
            <w:pPr>
              <w:autoSpaceDE w:val="0"/>
              <w:autoSpaceDN w:val="0"/>
              <w:adjustRightInd w:val="0"/>
              <w:spacing w:line="360" w:lineRule="auto"/>
              <w:ind w:firstLine="480" w:firstLineChars="200"/>
              <w:rPr>
                <w:sz w:val="24"/>
              </w:rPr>
            </w:pPr>
            <w:r>
              <w:rPr>
                <w:sz w:val="24"/>
              </w:rPr>
              <w:t>挥发性废气（如苯系物、甲苯）会对人的身体健康造成危害，应予以重点控制。在施工装修期，涂料及装修材料的选取应按照国家质检总局颁布的《室内装修材料10项有害物质限量》规定进行，严格控制室内甲醛、苯系物等挥发性有机物及放射性元素氡，使各项污染指标达到GB/T18883－2002《室内空气质量标准》、2001年制定的《室内空气质量卫生规范》及《民用建筑工程室内环境污染控制规范》的限值要求，不会对室内环境造成污染。</w:t>
            </w:r>
          </w:p>
          <w:p>
            <w:pPr>
              <w:spacing w:line="360" w:lineRule="auto"/>
              <w:ind w:firstLine="482" w:firstLineChars="200"/>
              <w:rPr>
                <w:b/>
                <w:sz w:val="24"/>
              </w:rPr>
            </w:pPr>
            <w:r>
              <w:rPr>
                <w:b/>
                <w:sz w:val="24"/>
              </w:rPr>
              <w:t>2、水污染</w:t>
            </w:r>
          </w:p>
          <w:p>
            <w:pPr>
              <w:adjustRightInd w:val="0"/>
              <w:spacing w:line="360" w:lineRule="auto"/>
              <w:ind w:firstLine="480" w:firstLineChars="200"/>
              <w:jc w:val="left"/>
              <w:rPr>
                <w:rFonts w:hint="eastAsia"/>
                <w:sz w:val="24"/>
              </w:rPr>
            </w:pPr>
            <w:r>
              <w:rPr>
                <w:rFonts w:hint="eastAsia"/>
                <w:sz w:val="24"/>
              </w:rPr>
              <w:t>（1）基坑涌水：</w:t>
            </w:r>
          </w:p>
          <w:p>
            <w:pPr>
              <w:spacing w:line="360" w:lineRule="auto"/>
              <w:ind w:firstLine="480" w:firstLineChars="200"/>
              <w:rPr>
                <w:rFonts w:hint="eastAsia"/>
                <w:sz w:val="24"/>
              </w:rPr>
            </w:pPr>
            <w:r>
              <w:rPr>
                <w:sz w:val="24"/>
              </w:rPr>
              <w:t>一般情况下，在</w:t>
            </w:r>
            <w:r>
              <w:rPr>
                <w:rFonts w:hint="eastAsia"/>
                <w:sz w:val="24"/>
              </w:rPr>
              <w:t>场地平整</w:t>
            </w:r>
            <w:r>
              <w:rPr>
                <w:sz w:val="24"/>
              </w:rPr>
              <w:t>阶段几乎不产生施工废水</w:t>
            </w:r>
            <w:r>
              <w:rPr>
                <w:rFonts w:hint="eastAsia"/>
                <w:sz w:val="24"/>
              </w:rPr>
              <w:t>；另外根据项目地质分析，</w:t>
            </w:r>
            <w:r>
              <w:rPr>
                <w:sz w:val="24"/>
              </w:rPr>
              <w:t>基础</w:t>
            </w:r>
            <w:r>
              <w:rPr>
                <w:rFonts w:hint="eastAsia"/>
                <w:sz w:val="24"/>
              </w:rPr>
              <w:t>施工</w:t>
            </w:r>
            <w:r>
              <w:rPr>
                <w:sz w:val="24"/>
              </w:rPr>
              <w:t>阶段</w:t>
            </w:r>
            <w:r>
              <w:rPr>
                <w:rFonts w:hint="eastAsia"/>
                <w:sz w:val="24"/>
              </w:rPr>
              <w:t>会产生</w:t>
            </w:r>
            <w:r>
              <w:rPr>
                <w:sz w:val="24"/>
              </w:rPr>
              <w:t>基坑</w:t>
            </w:r>
            <w:r>
              <w:rPr>
                <w:rFonts w:hint="eastAsia"/>
                <w:sz w:val="24"/>
              </w:rPr>
              <w:t>涌水。</w:t>
            </w:r>
            <w:r>
              <w:rPr>
                <w:rFonts w:hint="eastAsia" w:hAnsi="宋体"/>
                <w:kern w:val="0"/>
                <w:sz w:val="24"/>
              </w:rPr>
              <w:t>基坑涌水主要污染物为悬浮物，一般浓度500~1000mg/L。采用水泵抽吸</w:t>
            </w:r>
            <w:r>
              <w:rPr>
                <w:rFonts w:hAnsi="宋体"/>
                <w:kern w:val="0"/>
                <w:sz w:val="24"/>
              </w:rPr>
              <w:t>及时引入废水收集池中进行沉淀处理。经过沉淀处理后的废水用于建筑材料的冲洗和施工场地喷水降尘</w:t>
            </w:r>
            <w:r>
              <w:rPr>
                <w:rFonts w:hint="eastAsia" w:hAnsi="宋体"/>
                <w:kern w:val="0"/>
                <w:sz w:val="24"/>
              </w:rPr>
              <w:t>等。</w:t>
            </w:r>
          </w:p>
          <w:p>
            <w:pPr>
              <w:spacing w:line="360" w:lineRule="auto"/>
              <w:ind w:firstLine="480" w:firstLineChars="200"/>
              <w:rPr>
                <w:rFonts w:hint="eastAsia"/>
                <w:sz w:val="24"/>
              </w:rPr>
            </w:pPr>
            <w:r>
              <w:rPr>
                <w:rFonts w:hint="eastAsia"/>
                <w:sz w:val="24"/>
              </w:rPr>
              <w:t>（2）施工废水：</w:t>
            </w:r>
          </w:p>
          <w:p>
            <w:pPr>
              <w:adjustRightInd w:val="0"/>
              <w:spacing w:line="360" w:lineRule="auto"/>
              <w:ind w:firstLine="480" w:firstLineChars="200"/>
              <w:jc w:val="left"/>
              <w:rPr>
                <w:rFonts w:hint="eastAsia"/>
                <w:sz w:val="24"/>
              </w:rPr>
            </w:pPr>
            <w:r>
              <w:rPr>
                <w:sz w:val="24"/>
              </w:rPr>
              <w:t>施工废水主要</w:t>
            </w:r>
            <w:r>
              <w:rPr>
                <w:rFonts w:hint="eastAsia"/>
                <w:sz w:val="24"/>
              </w:rPr>
              <w:t>来源于混凝土搅拌、</w:t>
            </w:r>
            <w:r>
              <w:rPr>
                <w:sz w:val="24"/>
              </w:rPr>
              <w:t>建筑养护、</w:t>
            </w:r>
            <w:r>
              <w:rPr>
                <w:rFonts w:hint="eastAsia"/>
                <w:sz w:val="24"/>
              </w:rPr>
              <w:t>机械</w:t>
            </w:r>
            <w:r>
              <w:rPr>
                <w:sz w:val="24"/>
              </w:rPr>
              <w:t>清洗及</w:t>
            </w:r>
            <w:r>
              <w:rPr>
                <w:rFonts w:hint="eastAsia"/>
                <w:sz w:val="24"/>
              </w:rPr>
              <w:t>场地</w:t>
            </w:r>
            <w:r>
              <w:rPr>
                <w:sz w:val="24"/>
              </w:rPr>
              <w:t>冲洗等</w:t>
            </w:r>
            <w:r>
              <w:rPr>
                <w:rFonts w:hint="eastAsia"/>
                <w:sz w:val="24"/>
              </w:rPr>
              <w:t>过程。</w:t>
            </w:r>
            <w:r>
              <w:rPr>
                <w:kern w:val="0"/>
                <w:sz w:val="24"/>
              </w:rPr>
              <w:t>施工过程用水量根据《云南省地方标准  用水定额》（DB53/T168-</w:t>
            </w:r>
            <w:r>
              <w:rPr>
                <w:rFonts w:hint="eastAsia"/>
                <w:kern w:val="0"/>
                <w:sz w:val="24"/>
              </w:rPr>
              <w:t>2013</w:t>
            </w:r>
            <w:r>
              <w:rPr>
                <w:kern w:val="0"/>
                <w:sz w:val="24"/>
              </w:rPr>
              <w:t>）建筑业用水定额，</w:t>
            </w:r>
            <w:r>
              <w:rPr>
                <w:sz w:val="24"/>
              </w:rPr>
              <w:t>本项目建筑结构为框架与砖混结构，用水定额为1.5m</w:t>
            </w:r>
            <w:r>
              <w:rPr>
                <w:sz w:val="24"/>
                <w:vertAlign w:val="superscript"/>
              </w:rPr>
              <w:t>3</w:t>
            </w:r>
            <w:r>
              <w:rPr>
                <w:sz w:val="24"/>
              </w:rPr>
              <w:t>/m</w:t>
            </w:r>
            <w:r>
              <w:rPr>
                <w:sz w:val="24"/>
                <w:vertAlign w:val="superscript"/>
              </w:rPr>
              <w:t>2</w:t>
            </w:r>
            <w:r>
              <w:rPr>
                <w:sz w:val="24"/>
              </w:rPr>
              <w:t>，本项目总建筑面积66816.13m</w:t>
            </w:r>
            <w:r>
              <w:rPr>
                <w:sz w:val="24"/>
                <w:vertAlign w:val="superscript"/>
              </w:rPr>
              <w:t>2</w:t>
            </w:r>
            <w:r>
              <w:rPr>
                <w:sz w:val="24"/>
              </w:rPr>
              <w:t>，施工用水量100224.195m</w:t>
            </w:r>
            <w:r>
              <w:rPr>
                <w:sz w:val="24"/>
                <w:vertAlign w:val="superscript"/>
              </w:rPr>
              <w:t>3</w:t>
            </w:r>
            <w:r>
              <w:rPr>
                <w:sz w:val="24"/>
              </w:rPr>
              <w:t>。根据经验类比，施工废水产生量约为用水量的5%，则施工废水量约5011.2m</w:t>
            </w:r>
            <w:r>
              <w:rPr>
                <w:sz w:val="24"/>
                <w:vertAlign w:val="superscript"/>
              </w:rPr>
              <w:t>3</w:t>
            </w:r>
            <w:r>
              <w:rPr>
                <w:sz w:val="24"/>
              </w:rPr>
              <w:t>。结构、装修施工期约24个月，合730天，每天的施工废水量约6.86m</w:t>
            </w:r>
            <w:r>
              <w:rPr>
                <w:sz w:val="24"/>
                <w:vertAlign w:val="superscript"/>
              </w:rPr>
              <w:t>3</w:t>
            </w:r>
            <w:r>
              <w:rPr>
                <w:sz w:val="24"/>
              </w:rPr>
              <w:t>/d。施工废水主要污染物为泥沙、水泥等悬浮物，浓度一般800~2000mg/L。施工废水采用沉淀池收集，优先考虑回用于场内回用、洒水降尘、建筑材料冲洗等施工环节。</w:t>
            </w:r>
          </w:p>
          <w:p>
            <w:pPr>
              <w:spacing w:line="360" w:lineRule="auto"/>
              <w:ind w:firstLine="480" w:firstLineChars="200"/>
              <w:rPr>
                <w:rFonts w:hint="eastAsia"/>
                <w:sz w:val="24"/>
              </w:rPr>
            </w:pPr>
            <w:r>
              <w:rPr>
                <w:rFonts w:hint="eastAsia"/>
                <w:sz w:val="24"/>
              </w:rPr>
              <w:t>（3）施工人员生活废水：</w:t>
            </w:r>
          </w:p>
          <w:p>
            <w:pPr>
              <w:spacing w:line="360" w:lineRule="auto"/>
              <w:ind w:firstLine="480" w:firstLineChars="200"/>
              <w:rPr>
                <w:rFonts w:hint="eastAsia"/>
                <w:sz w:val="24"/>
              </w:rPr>
            </w:pPr>
            <w:r>
              <w:rPr>
                <w:rFonts w:hAnsi="宋体"/>
                <w:kern w:val="0"/>
                <w:sz w:val="24"/>
              </w:rPr>
              <w:t>施工期由于施工人员全部来源于厂址周围的本地居民，施工人员不需要在施工场地食宿</w:t>
            </w:r>
            <w:r>
              <w:rPr>
                <w:rFonts w:hint="eastAsia" w:hAnsi="宋体"/>
                <w:kern w:val="0"/>
                <w:sz w:val="24"/>
              </w:rPr>
              <w:t>。通过类比估算，项目施工期最大施工人员约</w:t>
            </w:r>
            <w:r>
              <w:rPr>
                <w:rFonts w:hAnsi="宋体"/>
                <w:kern w:val="0"/>
                <w:sz w:val="24"/>
              </w:rPr>
              <w:t>2</w:t>
            </w:r>
            <w:r>
              <w:rPr>
                <w:rFonts w:hint="eastAsia" w:hAnsi="宋体"/>
                <w:kern w:val="0"/>
                <w:sz w:val="24"/>
              </w:rPr>
              <w:t>00人，按每人每天用水量15L，则生活用水量为</w:t>
            </w:r>
            <w:r>
              <w:rPr>
                <w:rFonts w:hAnsi="宋体"/>
                <w:kern w:val="0"/>
                <w:sz w:val="24"/>
              </w:rPr>
              <w:t>3.0</w:t>
            </w:r>
            <w:r>
              <w:rPr>
                <w:rFonts w:hint="eastAsia" w:hAnsi="宋体"/>
                <w:kern w:val="0"/>
                <w:sz w:val="24"/>
              </w:rPr>
              <w:t xml:space="preserve"> m</w:t>
            </w:r>
            <w:r>
              <w:rPr>
                <w:rFonts w:hint="eastAsia" w:hAnsi="宋体"/>
                <w:kern w:val="0"/>
                <w:sz w:val="24"/>
                <w:vertAlign w:val="superscript"/>
              </w:rPr>
              <w:t>3</w:t>
            </w:r>
            <w:r>
              <w:rPr>
                <w:rFonts w:hint="eastAsia" w:hAnsi="宋体"/>
                <w:kern w:val="0"/>
                <w:sz w:val="24"/>
              </w:rPr>
              <w:t>/d，生活污水产生量按80%估算，则施工期产生的生活污水量约</w:t>
            </w:r>
            <w:r>
              <w:rPr>
                <w:rFonts w:hAnsi="宋体"/>
                <w:kern w:val="0"/>
                <w:sz w:val="24"/>
              </w:rPr>
              <w:t>2.4</w:t>
            </w:r>
            <w:r>
              <w:rPr>
                <w:rFonts w:hint="eastAsia" w:hAnsi="宋体"/>
                <w:kern w:val="0"/>
                <w:sz w:val="24"/>
              </w:rPr>
              <w:t>m</w:t>
            </w:r>
            <w:r>
              <w:rPr>
                <w:rFonts w:hint="eastAsia" w:hAnsi="宋体"/>
                <w:kern w:val="0"/>
                <w:sz w:val="24"/>
                <w:vertAlign w:val="superscript"/>
              </w:rPr>
              <w:t>3</w:t>
            </w:r>
            <w:r>
              <w:rPr>
                <w:rFonts w:hint="eastAsia" w:hAnsi="宋体"/>
                <w:kern w:val="0"/>
                <w:sz w:val="24"/>
              </w:rPr>
              <w:t>/d。</w:t>
            </w:r>
            <w:r>
              <w:rPr>
                <w:rFonts w:hint="eastAsia"/>
                <w:sz w:val="24"/>
              </w:rPr>
              <w:t>此类污水采用收集池收集，用于场地洒水降尘，不外排。</w:t>
            </w:r>
          </w:p>
          <w:p>
            <w:pPr>
              <w:adjustRightInd w:val="0"/>
              <w:spacing w:line="360" w:lineRule="auto"/>
              <w:ind w:firstLine="480" w:firstLineChars="200"/>
              <w:jc w:val="left"/>
              <w:rPr>
                <w:rFonts w:hint="eastAsia"/>
                <w:sz w:val="24"/>
              </w:rPr>
            </w:pPr>
            <w:r>
              <w:rPr>
                <w:rFonts w:hint="eastAsia"/>
                <w:sz w:val="24"/>
              </w:rPr>
              <w:t>（4）场地降雨冲刷水</w:t>
            </w:r>
          </w:p>
          <w:p>
            <w:pPr>
              <w:adjustRightInd w:val="0"/>
              <w:spacing w:line="360" w:lineRule="auto"/>
              <w:ind w:firstLine="480" w:firstLineChars="200"/>
              <w:jc w:val="left"/>
              <w:rPr>
                <w:rFonts w:hint="eastAsia"/>
                <w:sz w:val="24"/>
              </w:rPr>
            </w:pPr>
            <w:r>
              <w:rPr>
                <w:rFonts w:hint="eastAsia"/>
                <w:sz w:val="24"/>
              </w:rPr>
              <w:t>拟建项目占地面积</w:t>
            </w:r>
            <w:r>
              <w:rPr>
                <w:sz w:val="24"/>
              </w:rPr>
              <w:t>4.09</w:t>
            </w:r>
            <w:r>
              <w:rPr>
                <w:rFonts w:hint="eastAsia"/>
                <w:sz w:val="24"/>
              </w:rPr>
              <w:t>hm</w:t>
            </w:r>
            <w:r>
              <w:rPr>
                <w:rFonts w:hint="eastAsia"/>
                <w:sz w:val="24"/>
                <w:vertAlign w:val="superscript"/>
              </w:rPr>
              <w:t>2</w:t>
            </w:r>
            <w:r>
              <w:rPr>
                <w:rFonts w:hint="eastAsia"/>
                <w:sz w:val="24"/>
              </w:rPr>
              <w:t>，施工期跨越雨季，因此施工场地不可避免的会遭遇暴雨的冲刷，使得施工场地成为面源污染源。暴雨后的地表径流冲刷浮土、建筑砂石、垃圾等形成的泥浆水，会携带大量泥沙、土壤养分、水泥、油类及其它地表固体污染物，降雨径流产生的主要污染物为SS。</w:t>
            </w:r>
          </w:p>
          <w:p>
            <w:pPr>
              <w:spacing w:line="360" w:lineRule="auto"/>
              <w:ind w:firstLine="480" w:firstLineChars="200"/>
              <w:rPr>
                <w:rFonts w:hint="eastAsia" w:hAnsi="宋体"/>
                <w:sz w:val="24"/>
              </w:rPr>
            </w:pPr>
            <w:r>
              <w:rPr>
                <w:rFonts w:hint="eastAsia" w:hAnsi="宋体"/>
                <w:sz w:val="24"/>
              </w:rPr>
              <w:t>在施工阶段，施工场地周围均设围墙，并在每个施工场地较低的位置修建一个20m</w:t>
            </w:r>
            <w:r>
              <w:rPr>
                <w:rFonts w:hint="eastAsia" w:hAnsi="宋体"/>
                <w:sz w:val="24"/>
                <w:vertAlign w:val="superscript"/>
              </w:rPr>
              <w:t>3</w:t>
            </w:r>
            <w:r>
              <w:rPr>
                <w:rFonts w:hint="eastAsia" w:hAnsi="宋体"/>
                <w:sz w:val="24"/>
              </w:rPr>
              <w:t>临时沉淀池，</w:t>
            </w:r>
            <w:r>
              <w:rPr>
                <w:rFonts w:hAnsi="宋体"/>
                <w:sz w:val="24"/>
              </w:rPr>
              <w:t>雨季项目区内产生的雨水统一收集后进入临时沉淀池进行沉淀处理后排入</w:t>
            </w:r>
            <w:r>
              <w:rPr>
                <w:rFonts w:hint="eastAsia" w:hAnsi="宋体"/>
                <w:sz w:val="24"/>
              </w:rPr>
              <w:t>市政雨水管网</w:t>
            </w:r>
            <w:r>
              <w:rPr>
                <w:rFonts w:hAnsi="宋体"/>
                <w:sz w:val="24"/>
              </w:rPr>
              <w:t>，对</w:t>
            </w:r>
            <w:r>
              <w:rPr>
                <w:rFonts w:hint="eastAsia" w:hAnsi="宋体"/>
                <w:sz w:val="24"/>
              </w:rPr>
              <w:t>周边</w:t>
            </w:r>
            <w:r>
              <w:rPr>
                <w:rFonts w:hAnsi="宋体"/>
                <w:sz w:val="24"/>
              </w:rPr>
              <w:t>环境水质影响很小</w:t>
            </w:r>
            <w:r>
              <w:rPr>
                <w:rFonts w:hint="eastAsia" w:hAnsi="宋体"/>
                <w:sz w:val="24"/>
              </w:rPr>
              <w:t>。</w:t>
            </w:r>
          </w:p>
          <w:p>
            <w:pPr>
              <w:adjustRightInd w:val="0"/>
              <w:spacing w:line="360" w:lineRule="auto"/>
              <w:ind w:firstLine="480" w:firstLineChars="200"/>
              <w:jc w:val="left"/>
              <w:rPr>
                <w:sz w:val="24"/>
              </w:rPr>
            </w:pPr>
            <w:r>
              <w:rPr>
                <w:rFonts w:hint="eastAsia"/>
                <w:color w:val="FF0000"/>
                <w:sz w:val="24"/>
              </w:rPr>
              <w:t>（</w:t>
            </w:r>
            <w:r>
              <w:rPr>
                <w:rFonts w:hint="eastAsia"/>
                <w:sz w:val="24"/>
              </w:rPr>
              <w:t>5）施工机械冲洗废水及更换的废机油</w:t>
            </w:r>
          </w:p>
          <w:p>
            <w:pPr>
              <w:adjustRightInd w:val="0"/>
              <w:spacing w:line="360" w:lineRule="auto"/>
              <w:ind w:firstLine="480" w:firstLineChars="200"/>
              <w:jc w:val="left"/>
              <w:rPr>
                <w:sz w:val="24"/>
              </w:rPr>
            </w:pPr>
            <w:r>
              <w:rPr>
                <w:rFonts w:hint="eastAsia"/>
                <w:sz w:val="24"/>
              </w:rPr>
              <w:t>一般情况下渣土运输车辆不在施工区内冲洗，仅有少量挖掘机、推土机等冲洗泥土，冲洗废水量较小，主要污染物为悬浮物，偶有少量石油类。于施工场内指定区域冲洗，收集后用于洒水降尘，不外排。</w:t>
            </w:r>
          </w:p>
          <w:p>
            <w:pPr>
              <w:adjustRightInd w:val="0"/>
              <w:spacing w:line="360" w:lineRule="auto"/>
              <w:ind w:firstLine="480" w:firstLineChars="200"/>
              <w:jc w:val="left"/>
              <w:rPr>
                <w:sz w:val="24"/>
              </w:rPr>
            </w:pPr>
            <w:r>
              <w:rPr>
                <w:rFonts w:hint="eastAsia"/>
                <w:sz w:val="24"/>
              </w:rPr>
              <w:t>施工机械保养、更换机油产生废机油，产生量较小。采用专用容器收集，交由专业单位处置。</w:t>
            </w:r>
          </w:p>
          <w:p>
            <w:pPr>
              <w:spacing w:line="360" w:lineRule="auto"/>
              <w:ind w:firstLine="482" w:firstLineChars="200"/>
              <w:rPr>
                <w:rFonts w:hint="eastAsia"/>
                <w:b/>
                <w:sz w:val="24"/>
              </w:rPr>
            </w:pPr>
            <w:r>
              <w:rPr>
                <w:b/>
                <w:sz w:val="24"/>
              </w:rPr>
              <w:t>3、固体废物</w:t>
            </w:r>
          </w:p>
          <w:p>
            <w:pPr>
              <w:adjustRightInd w:val="0"/>
              <w:spacing w:line="360" w:lineRule="auto"/>
              <w:ind w:firstLine="480" w:firstLineChars="200"/>
              <w:jc w:val="left"/>
              <w:rPr>
                <w:sz w:val="24"/>
              </w:rPr>
            </w:pPr>
            <w:r>
              <w:rPr>
                <w:sz w:val="24"/>
              </w:rPr>
              <w:t>（</w:t>
            </w:r>
            <w:r>
              <w:rPr>
                <w:rFonts w:hint="eastAsia"/>
                <w:sz w:val="24"/>
              </w:rPr>
              <w:t>1</w:t>
            </w:r>
            <w:r>
              <w:rPr>
                <w:sz w:val="24"/>
              </w:rPr>
              <w:t>）</w:t>
            </w:r>
            <w:r>
              <w:rPr>
                <w:rFonts w:hint="eastAsia"/>
                <w:sz w:val="24"/>
              </w:rPr>
              <w:t>基础开挖土石方</w:t>
            </w:r>
          </w:p>
          <w:p>
            <w:pPr>
              <w:adjustRightInd w:val="0"/>
              <w:spacing w:line="360" w:lineRule="auto"/>
              <w:ind w:firstLine="480" w:firstLineChars="200"/>
              <w:jc w:val="left"/>
              <w:rPr>
                <w:rFonts w:hint="eastAsia"/>
                <w:sz w:val="24"/>
              </w:rPr>
            </w:pPr>
            <w:r>
              <w:rPr>
                <w:rFonts w:hint="eastAsia"/>
                <w:sz w:val="24"/>
              </w:rPr>
              <w:t>根据土石方测量成果，本项目建设期间总挖方量为</w:t>
            </w:r>
            <w:r>
              <w:rPr>
                <w:sz w:val="24"/>
              </w:rPr>
              <w:t>229114.78</w:t>
            </w:r>
            <w:r>
              <w:rPr>
                <w:rFonts w:hint="eastAsia"/>
                <w:sz w:val="24"/>
              </w:rPr>
              <w:t>m</w:t>
            </w:r>
            <w:r>
              <w:rPr>
                <w:rFonts w:hint="eastAsia"/>
                <w:sz w:val="24"/>
                <w:vertAlign w:val="superscript"/>
              </w:rPr>
              <w:t>3</w:t>
            </w:r>
            <w:r>
              <w:rPr>
                <w:rFonts w:hint="eastAsia"/>
                <w:sz w:val="24"/>
              </w:rPr>
              <w:t>，回填</w:t>
            </w:r>
            <w:r>
              <w:rPr>
                <w:sz w:val="24"/>
              </w:rPr>
              <w:t>方量为</w:t>
            </w:r>
            <w:r>
              <w:rPr>
                <w:rFonts w:hint="eastAsia"/>
                <w:sz w:val="24"/>
              </w:rPr>
              <w:t>21738.91 m</w:t>
            </w:r>
            <w:r>
              <w:rPr>
                <w:rFonts w:hint="eastAsia"/>
                <w:sz w:val="24"/>
                <w:vertAlign w:val="superscript"/>
              </w:rPr>
              <w:t>3</w:t>
            </w:r>
            <w:r>
              <w:rPr>
                <w:rFonts w:hint="eastAsia"/>
                <w:sz w:val="24"/>
              </w:rPr>
              <w:t>。废弃土方</w:t>
            </w:r>
            <w:r>
              <w:rPr>
                <w:sz w:val="24"/>
              </w:rPr>
              <w:t>量为</w:t>
            </w:r>
            <w:r>
              <w:rPr>
                <w:rFonts w:hint="eastAsia"/>
                <w:sz w:val="24"/>
              </w:rPr>
              <w:t>207375.87 m</w:t>
            </w:r>
            <w:r>
              <w:rPr>
                <w:rFonts w:hint="eastAsia"/>
                <w:sz w:val="24"/>
                <w:vertAlign w:val="superscript"/>
              </w:rPr>
              <w:t>3</w:t>
            </w:r>
            <w:r>
              <w:rPr>
                <w:rFonts w:hint="eastAsia"/>
                <w:sz w:val="24"/>
              </w:rPr>
              <w:t>。废弃土方</w:t>
            </w:r>
            <w:r>
              <w:rPr>
                <w:sz w:val="24"/>
              </w:rPr>
              <w:t>运至</w:t>
            </w:r>
            <w:r>
              <w:rPr>
                <w:rFonts w:hint="eastAsia"/>
                <w:sz w:val="24"/>
              </w:rPr>
              <w:t>维西县指定</w:t>
            </w:r>
            <w:r>
              <w:rPr>
                <w:sz w:val="24"/>
              </w:rPr>
              <w:t>地点堆放。</w:t>
            </w:r>
          </w:p>
          <w:p>
            <w:pPr>
              <w:adjustRightInd w:val="0"/>
              <w:spacing w:line="360" w:lineRule="auto"/>
              <w:ind w:firstLine="480" w:firstLineChars="200"/>
              <w:jc w:val="left"/>
              <w:rPr>
                <w:sz w:val="24"/>
              </w:rPr>
            </w:pPr>
            <w:r>
              <w:rPr>
                <w:rFonts w:hint="eastAsia"/>
                <w:sz w:val="24"/>
              </w:rPr>
              <w:t>（2）</w:t>
            </w:r>
            <w:r>
              <w:rPr>
                <w:sz w:val="24"/>
              </w:rPr>
              <w:t>建筑垃圾</w:t>
            </w:r>
          </w:p>
          <w:p>
            <w:pPr>
              <w:autoSpaceDE w:val="0"/>
              <w:autoSpaceDN w:val="0"/>
              <w:adjustRightInd w:val="0"/>
              <w:spacing w:line="360" w:lineRule="auto"/>
              <w:ind w:firstLine="480" w:firstLineChars="200"/>
              <w:jc w:val="left"/>
              <w:rPr>
                <w:rFonts w:hint="eastAsia" w:ascii="宋体" w:cs="宋体"/>
                <w:kern w:val="0"/>
                <w:sz w:val="24"/>
              </w:rPr>
            </w:pPr>
            <w:r>
              <w:rPr>
                <w:sz w:val="24"/>
              </w:rPr>
              <w:t>建筑垃圾主要是施工废弃材料，以装修和建筑废弃材料为主。在建设过程中及房子装修阶段，将产生很多的装修垃圾。对建筑垃圾中可回收部分材料（如钢材边角料等）可回收处理，剩余部分应按有关规定妥善处理。根据同类工程类比，按0.5kg/(m</w:t>
            </w:r>
            <w:r>
              <w:rPr>
                <w:sz w:val="24"/>
                <w:vertAlign w:val="superscript"/>
              </w:rPr>
              <w:t>2</w:t>
            </w:r>
            <w:r>
              <w:rPr>
                <w:sz w:val="24"/>
              </w:rPr>
              <w:t>·a)的年单位面积建筑垃圾产生量对建筑垃圾量进行估算，</w:t>
            </w:r>
            <w:r>
              <w:rPr>
                <w:rFonts w:hint="eastAsia"/>
                <w:sz w:val="24"/>
              </w:rPr>
              <w:t>本项目建筑面积约</w:t>
            </w:r>
            <w:r>
              <w:rPr>
                <w:sz w:val="24"/>
              </w:rPr>
              <w:t>66816.13</w:t>
            </w:r>
            <w:r>
              <w:rPr>
                <w:rFonts w:hint="eastAsia"/>
                <w:sz w:val="24"/>
              </w:rPr>
              <w:t>m</w:t>
            </w:r>
            <w:r>
              <w:rPr>
                <w:rFonts w:hint="eastAsia"/>
                <w:sz w:val="24"/>
                <w:vertAlign w:val="superscript"/>
              </w:rPr>
              <w:t>2</w:t>
            </w:r>
            <w:r>
              <w:rPr>
                <w:rFonts w:hint="eastAsia"/>
                <w:sz w:val="24"/>
              </w:rPr>
              <w:t>，</w:t>
            </w:r>
            <w:r>
              <w:rPr>
                <w:sz w:val="24"/>
              </w:rPr>
              <w:t>年产生建筑固体废弃物约33408.1</w:t>
            </w:r>
            <w:r>
              <w:rPr>
                <w:rFonts w:hint="eastAsia"/>
                <w:sz w:val="24"/>
              </w:rPr>
              <w:t>kg</w:t>
            </w:r>
            <w:r>
              <w:rPr>
                <w:sz w:val="24"/>
              </w:rPr>
              <w:t>/a，施工期为36个月，共计产生建筑固体废弃物约100.22</w:t>
            </w:r>
            <w:r>
              <w:rPr>
                <w:rFonts w:hint="eastAsia"/>
                <w:sz w:val="24"/>
              </w:rPr>
              <w:t>t</w:t>
            </w:r>
            <w:r>
              <w:rPr>
                <w:sz w:val="24"/>
              </w:rPr>
              <w:t>。</w:t>
            </w:r>
          </w:p>
          <w:p>
            <w:pPr>
              <w:autoSpaceDE w:val="0"/>
              <w:autoSpaceDN w:val="0"/>
              <w:adjustRightInd w:val="0"/>
              <w:spacing w:line="360" w:lineRule="auto"/>
              <w:ind w:firstLine="482"/>
              <w:rPr>
                <w:rFonts w:hint="eastAsia"/>
                <w:sz w:val="24"/>
                <w:szCs w:val="28"/>
              </w:rPr>
            </w:pPr>
            <w:r>
              <w:rPr>
                <w:sz w:val="24"/>
                <w:szCs w:val="28"/>
              </w:rPr>
              <w:t>建筑垃圾需要按照中华人民共和国建设部第139号令《城市建筑垃圾管理规定》中的有关规定妥善处置，废钢筋、废木材、废塑料、废包装等具有回收价值的可送废品收购站回收利用，余下的无回收价值的应</w:t>
            </w:r>
            <w:r>
              <w:rPr>
                <w:rFonts w:hint="eastAsia"/>
                <w:sz w:val="24"/>
                <w:szCs w:val="28"/>
              </w:rPr>
              <w:t>运至指定堆放点堆放处理</w:t>
            </w:r>
            <w:r>
              <w:rPr>
                <w:sz w:val="24"/>
                <w:szCs w:val="28"/>
              </w:rPr>
              <w:t>。</w:t>
            </w:r>
          </w:p>
          <w:p>
            <w:pPr>
              <w:autoSpaceDE w:val="0"/>
              <w:autoSpaceDN w:val="0"/>
              <w:adjustRightInd w:val="0"/>
              <w:spacing w:line="360" w:lineRule="auto"/>
              <w:ind w:firstLine="480" w:firstLineChars="200"/>
              <w:jc w:val="left"/>
              <w:rPr>
                <w:sz w:val="24"/>
              </w:rPr>
            </w:pPr>
            <w:r>
              <w:rPr>
                <w:sz w:val="24"/>
              </w:rPr>
              <w:t>（</w:t>
            </w:r>
            <w:r>
              <w:rPr>
                <w:rFonts w:hint="eastAsia"/>
                <w:sz w:val="24"/>
              </w:rPr>
              <w:t>3</w:t>
            </w:r>
            <w:r>
              <w:rPr>
                <w:sz w:val="24"/>
              </w:rPr>
              <w:t>）施工人员产生的生活垃圾</w:t>
            </w:r>
          </w:p>
          <w:p>
            <w:pPr>
              <w:spacing w:line="360" w:lineRule="auto"/>
              <w:ind w:firstLine="480" w:firstLineChars="200"/>
              <w:rPr>
                <w:rFonts w:hint="eastAsia"/>
                <w:sz w:val="24"/>
              </w:rPr>
            </w:pPr>
            <w:r>
              <w:rPr>
                <w:rFonts w:hint="eastAsia"/>
                <w:sz w:val="24"/>
              </w:rPr>
              <w:t>本项目施工人数</w:t>
            </w:r>
            <w:r>
              <w:rPr>
                <w:sz w:val="24"/>
              </w:rPr>
              <w:t>2</w:t>
            </w:r>
            <w:r>
              <w:rPr>
                <w:rFonts w:hint="eastAsia"/>
                <w:sz w:val="24"/>
              </w:rPr>
              <w:t>00人，施工期间工人不允许在工地食宿，产生的生活垃圾按每人每天0.15kg计，则生活垃圾量约</w:t>
            </w:r>
            <w:r>
              <w:rPr>
                <w:sz w:val="24"/>
              </w:rPr>
              <w:t>3.0</w:t>
            </w:r>
            <w:r>
              <w:rPr>
                <w:rFonts w:hint="eastAsia"/>
                <w:sz w:val="24"/>
              </w:rPr>
              <w:t>kg/d。生活垃圾集中收集</w:t>
            </w:r>
            <w:r>
              <w:rPr>
                <w:sz w:val="24"/>
              </w:rPr>
              <w:t>，统一清运处理，不随意丢弃和在场内处置。</w:t>
            </w:r>
          </w:p>
          <w:p>
            <w:pPr>
              <w:spacing w:line="360" w:lineRule="auto"/>
              <w:ind w:firstLine="482" w:firstLineChars="200"/>
              <w:rPr>
                <w:b/>
                <w:sz w:val="24"/>
              </w:rPr>
            </w:pPr>
            <w:r>
              <w:rPr>
                <w:b/>
                <w:sz w:val="24"/>
              </w:rPr>
              <w:t>4、噪声</w:t>
            </w:r>
          </w:p>
          <w:p>
            <w:pPr>
              <w:spacing w:line="360" w:lineRule="auto"/>
              <w:ind w:firstLine="480" w:firstLineChars="200"/>
              <w:jc w:val="left"/>
              <w:rPr>
                <w:rFonts w:hint="eastAsia"/>
                <w:sz w:val="24"/>
                <w:lang w:val="zh-CN"/>
              </w:rPr>
            </w:pPr>
            <w:r>
              <w:rPr>
                <w:sz w:val="24"/>
                <w:lang w:val="zh-CN"/>
              </w:rPr>
              <w:t>施工期噪声主要来源于施工过程中推土机、挖掘机、运输车辆等机械设备的运行。另外，在粉刷、贴壁砖和地砖等装修阶段，所产生的噪声主要为切割壁砖和地砖的机械噪声。</w:t>
            </w:r>
          </w:p>
          <w:p>
            <w:pPr>
              <w:spacing w:line="360" w:lineRule="auto"/>
              <w:ind w:firstLine="480" w:firstLineChars="200"/>
              <w:jc w:val="left"/>
              <w:rPr>
                <w:sz w:val="24"/>
                <w:lang w:val="zh-CN"/>
              </w:rPr>
            </w:pPr>
            <w:r>
              <w:rPr>
                <w:sz w:val="24"/>
                <w:lang w:val="zh-CN"/>
              </w:rPr>
              <w:t>其中土石方开挖强度超过90dB(A)，大型原材料加工机械声源强度超过95dB(A)，大型运输机械噪声源声级多在8</w:t>
            </w:r>
            <w:r>
              <w:rPr>
                <w:rFonts w:hint="eastAsia"/>
                <w:sz w:val="24"/>
                <w:lang w:val="zh-CN"/>
              </w:rPr>
              <w:t>0</w:t>
            </w:r>
            <w:r>
              <w:rPr>
                <w:sz w:val="24"/>
                <w:lang w:val="zh-CN"/>
              </w:rPr>
              <w:t>dB(A)以上。</w:t>
            </w:r>
          </w:p>
          <w:p>
            <w:pPr>
              <w:spacing w:line="360" w:lineRule="auto"/>
              <w:ind w:firstLine="480" w:firstLineChars="200"/>
              <w:jc w:val="left"/>
              <w:rPr>
                <w:sz w:val="24"/>
                <w:lang w:val="zh-CN"/>
              </w:rPr>
            </w:pPr>
            <w:r>
              <w:rPr>
                <w:sz w:val="24"/>
                <w:lang w:val="zh-CN"/>
              </w:rPr>
              <w:t>在不同施工阶段作业噪声限值由于施工机械的数量、构成动作等的随机性，导致了噪声产生的随机性和无规律性，为间歇性排放；车辆运输中产生的噪声则与物流量有关，更具有不规律性，属于无组织、不连续排放；建筑装修阶段一般强噪声源较少，且装修活动大部分均在室内进行，经过房间隔声以及噪声衰减后对周边敏感目标的影响较小。施工期间的噪声对施工地点周围及运输途中所经的居民点都有不同程度的影响。</w:t>
            </w:r>
          </w:p>
          <w:p>
            <w:pPr>
              <w:spacing w:line="360" w:lineRule="auto"/>
              <w:ind w:firstLine="480" w:firstLineChars="200"/>
              <w:jc w:val="left"/>
              <w:rPr>
                <w:sz w:val="24"/>
                <w:lang w:val="zh-CN"/>
              </w:rPr>
            </w:pPr>
            <w:r>
              <w:rPr>
                <w:sz w:val="24"/>
                <w:lang w:val="zh-CN"/>
              </w:rPr>
              <w:t>各施工阶段的主要噪声声源及声级见表</w:t>
            </w:r>
            <w:r>
              <w:rPr>
                <w:rFonts w:hint="eastAsia"/>
                <w:sz w:val="24"/>
                <w:lang w:val="zh-CN"/>
              </w:rPr>
              <w:t>5-2</w:t>
            </w:r>
            <w:r>
              <w:rPr>
                <w:sz w:val="24"/>
                <w:lang w:val="zh-CN"/>
              </w:rPr>
              <w:t>，施工阶段的各运输车辆类型及其声级见表</w:t>
            </w:r>
            <w:r>
              <w:rPr>
                <w:rFonts w:hint="eastAsia"/>
                <w:sz w:val="24"/>
                <w:lang w:val="zh-CN"/>
              </w:rPr>
              <w:t>5-3</w:t>
            </w:r>
            <w:r>
              <w:rPr>
                <w:sz w:val="24"/>
                <w:lang w:val="zh-CN"/>
              </w:rPr>
              <w:t>。</w:t>
            </w:r>
          </w:p>
          <w:p>
            <w:pPr>
              <w:spacing w:line="360" w:lineRule="auto"/>
              <w:jc w:val="center"/>
              <w:rPr>
                <w:sz w:val="24"/>
                <w:lang w:val="zh-CN"/>
              </w:rPr>
            </w:pPr>
            <w:r>
              <w:rPr>
                <w:b/>
                <w:sz w:val="24"/>
              </w:rPr>
              <w:t>表</w:t>
            </w:r>
            <w:r>
              <w:rPr>
                <w:rFonts w:hint="eastAsia"/>
                <w:b/>
                <w:sz w:val="24"/>
              </w:rPr>
              <w:t xml:space="preserve">5-2 </w:t>
            </w:r>
            <w:r>
              <w:rPr>
                <w:b/>
                <w:sz w:val="24"/>
              </w:rPr>
              <w:t>主要施工机械及噪声强度表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004"/>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noWrap w:val="0"/>
                  <w:vAlign w:val="center"/>
                </w:tcPr>
                <w:p>
                  <w:pPr>
                    <w:adjustRightInd w:val="0"/>
                    <w:jc w:val="center"/>
                    <w:rPr>
                      <w:szCs w:val="21"/>
                    </w:rPr>
                  </w:pPr>
                  <w:r>
                    <w:rPr>
                      <w:rFonts w:hAnsi="宋体"/>
                      <w:szCs w:val="21"/>
                    </w:rPr>
                    <w:t>施工阶段</w:t>
                  </w:r>
                </w:p>
              </w:tc>
              <w:tc>
                <w:tcPr>
                  <w:tcW w:w="3004" w:type="dxa"/>
                  <w:noWrap w:val="0"/>
                  <w:vAlign w:val="center"/>
                </w:tcPr>
                <w:p>
                  <w:pPr>
                    <w:adjustRightInd w:val="0"/>
                    <w:jc w:val="center"/>
                    <w:rPr>
                      <w:szCs w:val="21"/>
                    </w:rPr>
                  </w:pPr>
                  <w:r>
                    <w:rPr>
                      <w:rFonts w:hAnsi="宋体"/>
                      <w:szCs w:val="21"/>
                    </w:rPr>
                    <w:t>设备名称</w:t>
                  </w:r>
                </w:p>
              </w:tc>
              <w:tc>
                <w:tcPr>
                  <w:tcW w:w="3911" w:type="dxa"/>
                  <w:noWrap w:val="0"/>
                  <w:vAlign w:val="center"/>
                </w:tcPr>
                <w:p>
                  <w:pPr>
                    <w:adjustRightInd w:val="0"/>
                    <w:jc w:val="center"/>
                    <w:rPr>
                      <w:szCs w:val="21"/>
                    </w:rPr>
                  </w:pPr>
                  <w:r>
                    <w:rPr>
                      <w:rFonts w:hAnsi="宋体"/>
                      <w:szCs w:val="21"/>
                    </w:rPr>
                    <w:t>噪声强度</w:t>
                  </w:r>
                  <w:r>
                    <w:rPr>
                      <w:szCs w:val="21"/>
                    </w:rPr>
                    <w:t>[dB(A)]</w:t>
                  </w:r>
                </w:p>
                <w:p>
                  <w:pPr>
                    <w:adjustRightInd w:val="0"/>
                    <w:jc w:val="center"/>
                    <w:rPr>
                      <w:szCs w:val="21"/>
                    </w:rPr>
                  </w:pPr>
                  <w:r>
                    <w:rPr>
                      <w:rFonts w:hAnsi="宋体"/>
                      <w:szCs w:val="21"/>
                    </w:rPr>
                    <w:t>（距声源</w:t>
                  </w:r>
                  <w:r>
                    <w:rPr>
                      <w:szCs w:val="21"/>
                    </w:rPr>
                    <w:t>1m</w:t>
                  </w:r>
                  <w:r>
                    <w:rPr>
                      <w:rFonts w:hAnsi="宋体"/>
                      <w:szCs w:val="21"/>
                    </w:rPr>
                    <w:t>处噪声级）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restart"/>
                  <w:noWrap w:val="0"/>
                  <w:vAlign w:val="center"/>
                </w:tcPr>
                <w:p>
                  <w:pPr>
                    <w:adjustRightInd w:val="0"/>
                    <w:jc w:val="center"/>
                    <w:rPr>
                      <w:szCs w:val="21"/>
                    </w:rPr>
                  </w:pPr>
                  <w:r>
                    <w:rPr>
                      <w:rFonts w:hAnsi="宋体"/>
                      <w:szCs w:val="21"/>
                    </w:rPr>
                    <w:t>土石方及基础阶段</w:t>
                  </w:r>
                </w:p>
              </w:tc>
              <w:tc>
                <w:tcPr>
                  <w:tcW w:w="3004" w:type="dxa"/>
                  <w:noWrap w:val="0"/>
                  <w:vAlign w:val="center"/>
                </w:tcPr>
                <w:p>
                  <w:pPr>
                    <w:adjustRightInd w:val="0"/>
                    <w:jc w:val="center"/>
                    <w:rPr>
                      <w:szCs w:val="21"/>
                    </w:rPr>
                  </w:pPr>
                  <w:r>
                    <w:rPr>
                      <w:rFonts w:hint="eastAsia" w:hAnsi="宋体"/>
                      <w:szCs w:val="21"/>
                    </w:rPr>
                    <w:t>挖掘</w:t>
                  </w:r>
                  <w:r>
                    <w:rPr>
                      <w:rFonts w:hAnsi="宋体"/>
                      <w:szCs w:val="21"/>
                    </w:rPr>
                    <w:t>机</w:t>
                  </w:r>
                </w:p>
              </w:tc>
              <w:tc>
                <w:tcPr>
                  <w:tcW w:w="3911" w:type="dxa"/>
                  <w:noWrap w:val="0"/>
                  <w:vAlign w:val="center"/>
                </w:tcPr>
                <w:p>
                  <w:pPr>
                    <w:jc w:val="center"/>
                    <w:rPr>
                      <w:szCs w:val="21"/>
                    </w:rPr>
                  </w:pPr>
                  <w:r>
                    <w:rPr>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9" w:hRule="atLeast"/>
                <w:jc w:val="center"/>
              </w:trPr>
              <w:tc>
                <w:tcPr>
                  <w:tcW w:w="1599" w:type="dxa"/>
                  <w:vMerge w:val="continue"/>
                  <w:noWrap w:val="0"/>
                  <w:vAlign w:val="center"/>
                </w:tcPr>
                <w:p>
                  <w:pPr>
                    <w:adjustRightInd w:val="0"/>
                    <w:jc w:val="center"/>
                    <w:rPr>
                      <w:rFonts w:hAnsi="宋体"/>
                      <w:szCs w:val="21"/>
                    </w:rPr>
                  </w:pPr>
                </w:p>
              </w:tc>
              <w:tc>
                <w:tcPr>
                  <w:tcW w:w="3004" w:type="dxa"/>
                  <w:noWrap w:val="0"/>
                  <w:vAlign w:val="center"/>
                </w:tcPr>
                <w:p>
                  <w:pPr>
                    <w:adjustRightInd w:val="0"/>
                    <w:jc w:val="center"/>
                    <w:rPr>
                      <w:rFonts w:hAnsi="宋体"/>
                      <w:szCs w:val="21"/>
                    </w:rPr>
                  </w:pPr>
                  <w:r>
                    <w:rPr>
                      <w:rFonts w:hint="eastAsia" w:hAnsi="宋体"/>
                      <w:szCs w:val="21"/>
                    </w:rPr>
                    <w:t>推土机</w:t>
                  </w:r>
                </w:p>
              </w:tc>
              <w:tc>
                <w:tcPr>
                  <w:tcW w:w="3911" w:type="dxa"/>
                  <w:noWrap w:val="0"/>
                  <w:vAlign w:val="center"/>
                </w:tcPr>
                <w:p>
                  <w:pPr>
                    <w:jc w:val="center"/>
                    <w:rPr>
                      <w:szCs w:val="21"/>
                    </w:rPr>
                  </w:pPr>
                  <w:r>
                    <w:rPr>
                      <w:rFonts w:hint="eastAsia"/>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continue"/>
                  <w:noWrap w:val="0"/>
                  <w:vAlign w:val="center"/>
                </w:tcPr>
                <w:p>
                  <w:pPr>
                    <w:adjustRightInd w:val="0"/>
                    <w:jc w:val="center"/>
                    <w:rPr>
                      <w:szCs w:val="21"/>
                    </w:rPr>
                  </w:pPr>
                </w:p>
              </w:tc>
              <w:tc>
                <w:tcPr>
                  <w:tcW w:w="3004" w:type="dxa"/>
                  <w:noWrap w:val="0"/>
                  <w:vAlign w:val="center"/>
                </w:tcPr>
                <w:p>
                  <w:pPr>
                    <w:adjustRightInd w:val="0"/>
                    <w:jc w:val="center"/>
                    <w:rPr>
                      <w:rFonts w:hAnsi="宋体"/>
                      <w:szCs w:val="21"/>
                    </w:rPr>
                  </w:pPr>
                  <w:r>
                    <w:rPr>
                      <w:rFonts w:hint="eastAsia" w:hAnsi="宋体"/>
                      <w:szCs w:val="21"/>
                    </w:rPr>
                    <w:t>抽水泵</w:t>
                  </w:r>
                </w:p>
              </w:tc>
              <w:tc>
                <w:tcPr>
                  <w:tcW w:w="3911" w:type="dxa"/>
                  <w:noWrap w:val="0"/>
                  <w:vAlign w:val="center"/>
                </w:tcPr>
                <w:p>
                  <w:pPr>
                    <w:jc w:val="center"/>
                    <w:rPr>
                      <w:szCs w:val="21"/>
                    </w:rPr>
                  </w:pPr>
                  <w:r>
                    <w:rPr>
                      <w:rFonts w:hint="eastAsia"/>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restart"/>
                  <w:noWrap w:val="0"/>
                  <w:vAlign w:val="center"/>
                </w:tcPr>
                <w:p>
                  <w:pPr>
                    <w:adjustRightInd w:val="0"/>
                    <w:jc w:val="center"/>
                    <w:rPr>
                      <w:szCs w:val="21"/>
                    </w:rPr>
                  </w:pPr>
                  <w:r>
                    <w:rPr>
                      <w:rFonts w:hAnsi="宋体"/>
                      <w:szCs w:val="21"/>
                    </w:rPr>
                    <w:t>底板与结构阶段</w:t>
                  </w:r>
                </w:p>
              </w:tc>
              <w:tc>
                <w:tcPr>
                  <w:tcW w:w="3004" w:type="dxa"/>
                  <w:noWrap w:val="0"/>
                  <w:vAlign w:val="center"/>
                </w:tcPr>
                <w:p>
                  <w:pPr>
                    <w:adjustRightInd w:val="0"/>
                    <w:jc w:val="center"/>
                    <w:rPr>
                      <w:szCs w:val="21"/>
                    </w:rPr>
                  </w:pPr>
                  <w:r>
                    <w:rPr>
                      <w:rFonts w:hAnsi="宋体"/>
                      <w:szCs w:val="21"/>
                    </w:rPr>
                    <w:t>振捣器</w:t>
                  </w:r>
                </w:p>
              </w:tc>
              <w:tc>
                <w:tcPr>
                  <w:tcW w:w="3911" w:type="dxa"/>
                  <w:noWrap w:val="0"/>
                  <w:vAlign w:val="center"/>
                </w:tcPr>
                <w:p>
                  <w:pPr>
                    <w:jc w:val="center"/>
                    <w:rPr>
                      <w:szCs w:val="21"/>
                    </w:rPr>
                  </w:pPr>
                  <w:r>
                    <w:rPr>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continue"/>
                  <w:noWrap w:val="0"/>
                  <w:vAlign w:val="center"/>
                </w:tcPr>
                <w:p>
                  <w:pPr>
                    <w:adjustRightInd w:val="0"/>
                    <w:jc w:val="center"/>
                    <w:rPr>
                      <w:rFonts w:hAnsi="宋体"/>
                      <w:szCs w:val="21"/>
                    </w:rPr>
                  </w:pPr>
                </w:p>
              </w:tc>
              <w:tc>
                <w:tcPr>
                  <w:tcW w:w="3004" w:type="dxa"/>
                  <w:noWrap w:val="0"/>
                  <w:vAlign w:val="center"/>
                </w:tcPr>
                <w:p>
                  <w:pPr>
                    <w:adjustRightInd w:val="0"/>
                    <w:jc w:val="center"/>
                    <w:rPr>
                      <w:rFonts w:hAnsi="宋体"/>
                      <w:szCs w:val="21"/>
                    </w:rPr>
                  </w:pPr>
                  <w:r>
                    <w:rPr>
                      <w:rFonts w:hint="eastAsia" w:hAnsi="宋体"/>
                      <w:szCs w:val="21"/>
                    </w:rPr>
                    <w:t>混凝土搅拌机</w:t>
                  </w:r>
                </w:p>
              </w:tc>
              <w:tc>
                <w:tcPr>
                  <w:tcW w:w="3911" w:type="dxa"/>
                  <w:noWrap w:val="0"/>
                  <w:vAlign w:val="center"/>
                </w:tcPr>
                <w:p>
                  <w:pPr>
                    <w:jc w:val="center"/>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continue"/>
                  <w:noWrap w:val="0"/>
                  <w:vAlign w:val="center"/>
                </w:tcPr>
                <w:p>
                  <w:pPr>
                    <w:adjustRightInd w:val="0"/>
                    <w:jc w:val="center"/>
                    <w:rPr>
                      <w:szCs w:val="21"/>
                    </w:rPr>
                  </w:pPr>
                </w:p>
              </w:tc>
              <w:tc>
                <w:tcPr>
                  <w:tcW w:w="3004" w:type="dxa"/>
                  <w:noWrap w:val="0"/>
                  <w:vAlign w:val="center"/>
                </w:tcPr>
                <w:p>
                  <w:pPr>
                    <w:adjustRightInd w:val="0"/>
                    <w:jc w:val="center"/>
                    <w:rPr>
                      <w:szCs w:val="21"/>
                    </w:rPr>
                  </w:pPr>
                  <w:r>
                    <w:rPr>
                      <w:rFonts w:hAnsi="宋体"/>
                      <w:szCs w:val="21"/>
                    </w:rPr>
                    <w:t>电锯</w:t>
                  </w:r>
                </w:p>
              </w:tc>
              <w:tc>
                <w:tcPr>
                  <w:tcW w:w="3911" w:type="dxa"/>
                  <w:noWrap w:val="0"/>
                  <w:vAlign w:val="center"/>
                </w:tcPr>
                <w:p>
                  <w:pPr>
                    <w:jc w:val="center"/>
                    <w:rPr>
                      <w:szCs w:val="21"/>
                    </w:rPr>
                  </w:pPr>
                  <w:r>
                    <w:rPr>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continue"/>
                  <w:noWrap w:val="0"/>
                  <w:vAlign w:val="center"/>
                </w:tcPr>
                <w:p>
                  <w:pPr>
                    <w:adjustRightInd w:val="0"/>
                    <w:jc w:val="center"/>
                    <w:rPr>
                      <w:szCs w:val="21"/>
                    </w:rPr>
                  </w:pPr>
                </w:p>
              </w:tc>
              <w:tc>
                <w:tcPr>
                  <w:tcW w:w="3004" w:type="dxa"/>
                  <w:noWrap w:val="0"/>
                  <w:vAlign w:val="center"/>
                </w:tcPr>
                <w:p>
                  <w:pPr>
                    <w:adjustRightInd w:val="0"/>
                    <w:jc w:val="center"/>
                    <w:rPr>
                      <w:szCs w:val="21"/>
                    </w:rPr>
                  </w:pPr>
                  <w:r>
                    <w:rPr>
                      <w:rFonts w:hAnsi="宋体"/>
                      <w:szCs w:val="21"/>
                    </w:rPr>
                    <w:t>电焊机</w:t>
                  </w:r>
                </w:p>
              </w:tc>
              <w:tc>
                <w:tcPr>
                  <w:tcW w:w="3911" w:type="dxa"/>
                  <w:noWrap w:val="0"/>
                  <w:vAlign w:val="center"/>
                </w:tcPr>
                <w:p>
                  <w:pPr>
                    <w:jc w:val="center"/>
                    <w:rPr>
                      <w:szCs w:val="21"/>
                    </w:rPr>
                  </w:pPr>
                  <w:r>
                    <w:rPr>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continue"/>
                  <w:noWrap w:val="0"/>
                  <w:vAlign w:val="center"/>
                </w:tcPr>
                <w:p>
                  <w:pPr>
                    <w:adjustRightInd w:val="0"/>
                    <w:jc w:val="center"/>
                    <w:rPr>
                      <w:szCs w:val="21"/>
                    </w:rPr>
                  </w:pPr>
                </w:p>
              </w:tc>
              <w:tc>
                <w:tcPr>
                  <w:tcW w:w="3004" w:type="dxa"/>
                  <w:noWrap w:val="0"/>
                  <w:vAlign w:val="center"/>
                </w:tcPr>
                <w:p>
                  <w:pPr>
                    <w:adjustRightInd w:val="0"/>
                    <w:jc w:val="center"/>
                    <w:rPr>
                      <w:szCs w:val="21"/>
                    </w:rPr>
                  </w:pPr>
                  <w:r>
                    <w:rPr>
                      <w:rFonts w:hAnsi="宋体"/>
                      <w:szCs w:val="21"/>
                    </w:rPr>
                    <w:t>空压机</w:t>
                  </w:r>
                </w:p>
              </w:tc>
              <w:tc>
                <w:tcPr>
                  <w:tcW w:w="3911" w:type="dxa"/>
                  <w:noWrap w:val="0"/>
                  <w:vAlign w:val="center"/>
                </w:tcPr>
                <w:p>
                  <w:pPr>
                    <w:jc w:val="center"/>
                    <w:rPr>
                      <w:szCs w:val="21"/>
                    </w:rPr>
                  </w:pPr>
                  <w:r>
                    <w:rPr>
                      <w:szCs w:val="21"/>
                    </w:rPr>
                    <w:cr/>
                  </w:r>
                  <w:r>
                    <w:rPr>
                      <w:szCs w:val="21"/>
                    </w:rPr>
                    <w:c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restart"/>
                  <w:noWrap w:val="0"/>
                  <w:vAlign w:val="center"/>
                </w:tcPr>
                <w:p>
                  <w:pPr>
                    <w:adjustRightInd w:val="0"/>
                    <w:jc w:val="center"/>
                    <w:rPr>
                      <w:szCs w:val="21"/>
                    </w:rPr>
                  </w:pPr>
                  <w:r>
                    <w:rPr>
                      <w:rFonts w:hAnsi="宋体"/>
                      <w:szCs w:val="21"/>
                    </w:rPr>
                    <w:t>装修、安装阶段</w:t>
                  </w:r>
                </w:p>
              </w:tc>
              <w:tc>
                <w:tcPr>
                  <w:tcW w:w="3004" w:type="dxa"/>
                  <w:noWrap w:val="0"/>
                  <w:vAlign w:val="center"/>
                </w:tcPr>
                <w:p>
                  <w:pPr>
                    <w:adjustRightInd w:val="0"/>
                    <w:jc w:val="center"/>
                    <w:rPr>
                      <w:szCs w:val="21"/>
                    </w:rPr>
                  </w:pPr>
                  <w:r>
                    <w:rPr>
                      <w:rFonts w:hAnsi="宋体"/>
                      <w:szCs w:val="21"/>
                    </w:rPr>
                    <w:t>电钻</w:t>
                  </w:r>
                </w:p>
              </w:tc>
              <w:tc>
                <w:tcPr>
                  <w:tcW w:w="3911" w:type="dxa"/>
                  <w:noWrap w:val="0"/>
                  <w:vAlign w:val="center"/>
                </w:tcPr>
                <w:p>
                  <w:pPr>
                    <w:jc w:val="center"/>
                    <w:rPr>
                      <w:szCs w:val="21"/>
                    </w:rPr>
                  </w:pPr>
                  <w:r>
                    <w:rPr>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continue"/>
                  <w:noWrap w:val="0"/>
                  <w:vAlign w:val="center"/>
                </w:tcPr>
                <w:p>
                  <w:pPr>
                    <w:adjustRightInd w:val="0"/>
                    <w:jc w:val="center"/>
                    <w:rPr>
                      <w:szCs w:val="21"/>
                    </w:rPr>
                  </w:pPr>
                </w:p>
              </w:tc>
              <w:tc>
                <w:tcPr>
                  <w:tcW w:w="3004" w:type="dxa"/>
                  <w:noWrap w:val="0"/>
                  <w:vAlign w:val="center"/>
                </w:tcPr>
                <w:p>
                  <w:pPr>
                    <w:adjustRightInd w:val="0"/>
                    <w:jc w:val="center"/>
                    <w:rPr>
                      <w:szCs w:val="21"/>
                    </w:rPr>
                  </w:pPr>
                  <w:r>
                    <w:rPr>
                      <w:rFonts w:hAnsi="宋体"/>
                      <w:szCs w:val="21"/>
                    </w:rPr>
                    <w:t>手工钻</w:t>
                  </w:r>
                </w:p>
              </w:tc>
              <w:tc>
                <w:tcPr>
                  <w:tcW w:w="3911" w:type="dxa"/>
                  <w:noWrap w:val="0"/>
                  <w:vAlign w:val="center"/>
                </w:tcPr>
                <w:p>
                  <w:pPr>
                    <w:jc w:val="center"/>
                    <w:rPr>
                      <w:szCs w:val="21"/>
                    </w:rPr>
                  </w:pPr>
                  <w:r>
                    <w:rPr>
                      <w:rFonts w:hint="eastAsia"/>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continue"/>
                  <w:noWrap w:val="0"/>
                  <w:vAlign w:val="center"/>
                </w:tcPr>
                <w:p>
                  <w:pPr>
                    <w:adjustRightInd w:val="0"/>
                    <w:jc w:val="center"/>
                    <w:rPr>
                      <w:szCs w:val="21"/>
                    </w:rPr>
                  </w:pPr>
                </w:p>
              </w:tc>
              <w:tc>
                <w:tcPr>
                  <w:tcW w:w="3004" w:type="dxa"/>
                  <w:noWrap w:val="0"/>
                  <w:vAlign w:val="center"/>
                </w:tcPr>
                <w:p>
                  <w:pPr>
                    <w:adjustRightInd w:val="0"/>
                    <w:jc w:val="center"/>
                    <w:rPr>
                      <w:szCs w:val="21"/>
                    </w:rPr>
                  </w:pPr>
                  <w:r>
                    <w:rPr>
                      <w:rFonts w:hAnsi="宋体"/>
                      <w:szCs w:val="21"/>
                    </w:rPr>
                    <w:t>无齿锯</w:t>
                  </w:r>
                </w:p>
              </w:tc>
              <w:tc>
                <w:tcPr>
                  <w:tcW w:w="3911" w:type="dxa"/>
                  <w:noWrap w:val="0"/>
                  <w:vAlign w:val="center"/>
                </w:tcPr>
                <w:p>
                  <w:pPr>
                    <w:jc w:val="center"/>
                    <w:rPr>
                      <w:szCs w:val="21"/>
                    </w:rPr>
                  </w:pPr>
                  <w:r>
                    <w:rPr>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599" w:type="dxa"/>
                  <w:vMerge w:val="continue"/>
                  <w:noWrap w:val="0"/>
                  <w:vAlign w:val="center"/>
                </w:tcPr>
                <w:p>
                  <w:pPr>
                    <w:adjustRightInd w:val="0"/>
                    <w:jc w:val="center"/>
                    <w:rPr>
                      <w:szCs w:val="21"/>
                    </w:rPr>
                  </w:pPr>
                </w:p>
              </w:tc>
              <w:tc>
                <w:tcPr>
                  <w:tcW w:w="3004" w:type="dxa"/>
                  <w:noWrap w:val="0"/>
                  <w:vAlign w:val="center"/>
                </w:tcPr>
                <w:p>
                  <w:pPr>
                    <w:adjustRightInd w:val="0"/>
                    <w:jc w:val="center"/>
                    <w:rPr>
                      <w:szCs w:val="21"/>
                    </w:rPr>
                  </w:pPr>
                  <w:r>
                    <w:rPr>
                      <w:rFonts w:hAnsi="宋体"/>
                      <w:szCs w:val="21"/>
                    </w:rPr>
                    <w:t>多功能木工刨</w:t>
                  </w:r>
                </w:p>
              </w:tc>
              <w:tc>
                <w:tcPr>
                  <w:tcW w:w="3911" w:type="dxa"/>
                  <w:noWrap w:val="0"/>
                  <w:vAlign w:val="center"/>
                </w:tcPr>
                <w:p>
                  <w:pPr>
                    <w:jc w:val="center"/>
                    <w:rPr>
                      <w:szCs w:val="21"/>
                    </w:rPr>
                  </w:pPr>
                  <w:r>
                    <w:rPr>
                      <w:szCs w:val="21"/>
                    </w:rPr>
                    <w:t>89</w:t>
                  </w:r>
                </w:p>
              </w:tc>
            </w:tr>
          </w:tbl>
          <w:p>
            <w:pPr>
              <w:pStyle w:val="81"/>
              <w:snapToGrid/>
              <w:spacing w:before="156" w:line="420" w:lineRule="exact"/>
              <w:ind w:firstLine="0" w:firstLineChars="0"/>
              <w:rPr>
                <w:rFonts w:ascii="Times New Roman" w:hAnsi="Times New Roman"/>
                <w:b/>
              </w:rPr>
            </w:pPr>
            <w:r>
              <w:rPr>
                <w:rFonts w:ascii="Times New Roman" w:hAnsi="Times New Roman"/>
                <w:b/>
              </w:rPr>
              <w:t>表</w:t>
            </w:r>
            <w:r>
              <w:rPr>
                <w:rFonts w:hint="eastAsia" w:ascii="Times New Roman" w:hAnsi="Times New Roman"/>
                <w:b/>
              </w:rPr>
              <w:t>5-3施工阶段各运输车辆噪声源统计</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2278"/>
              <w:gridCol w:w="2277"/>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1681" w:type="dxa"/>
                  <w:noWrap w:val="0"/>
                  <w:vAlign w:val="center"/>
                </w:tcPr>
                <w:p>
                  <w:pPr>
                    <w:pStyle w:val="60"/>
                    <w:spacing w:line="240" w:lineRule="auto"/>
                    <w:rPr>
                      <w:rFonts w:ascii="Times New Roman" w:hAnsi="Times New Roman"/>
                      <w:sz w:val="21"/>
                      <w:szCs w:val="21"/>
                    </w:rPr>
                  </w:pPr>
                  <w:r>
                    <w:rPr>
                      <w:rFonts w:hint="eastAsia" w:ascii="Times New Roman" w:hAnsi="Times New Roman"/>
                      <w:sz w:val="21"/>
                      <w:szCs w:val="21"/>
                    </w:rPr>
                    <w:t>声源</w:t>
                  </w:r>
                </w:p>
              </w:tc>
              <w:tc>
                <w:tcPr>
                  <w:tcW w:w="2278" w:type="dxa"/>
                  <w:noWrap w:val="0"/>
                  <w:vAlign w:val="center"/>
                </w:tcPr>
                <w:p>
                  <w:pPr>
                    <w:pStyle w:val="60"/>
                    <w:spacing w:line="240" w:lineRule="auto"/>
                    <w:rPr>
                      <w:rFonts w:ascii="Times New Roman" w:hAnsi="Times New Roman"/>
                      <w:sz w:val="21"/>
                      <w:szCs w:val="21"/>
                    </w:rPr>
                  </w:pPr>
                  <w:r>
                    <w:rPr>
                      <w:rFonts w:hint="eastAsia" w:ascii="Times New Roman" w:hAnsi="Times New Roman"/>
                      <w:sz w:val="21"/>
                      <w:szCs w:val="21"/>
                    </w:rPr>
                    <w:t>大型载重车</w:t>
                  </w:r>
                </w:p>
              </w:tc>
              <w:tc>
                <w:tcPr>
                  <w:tcW w:w="2277" w:type="dxa"/>
                  <w:noWrap w:val="0"/>
                  <w:vAlign w:val="center"/>
                </w:tcPr>
                <w:p>
                  <w:pPr>
                    <w:pStyle w:val="60"/>
                    <w:spacing w:line="240" w:lineRule="auto"/>
                    <w:rPr>
                      <w:rFonts w:ascii="Times New Roman" w:hAnsi="Times New Roman"/>
                      <w:sz w:val="21"/>
                      <w:szCs w:val="21"/>
                    </w:rPr>
                  </w:pPr>
                  <w:r>
                    <w:rPr>
                      <w:rFonts w:hint="eastAsia" w:ascii="Times New Roman" w:hAnsi="Times New Roman"/>
                      <w:sz w:val="21"/>
                      <w:szCs w:val="21"/>
                    </w:rPr>
                    <w:t>中型载重车</w:t>
                  </w:r>
                </w:p>
              </w:tc>
              <w:tc>
                <w:tcPr>
                  <w:tcW w:w="2278" w:type="dxa"/>
                  <w:noWrap w:val="0"/>
                  <w:vAlign w:val="center"/>
                </w:tcPr>
                <w:p>
                  <w:pPr>
                    <w:pStyle w:val="60"/>
                    <w:spacing w:line="240" w:lineRule="auto"/>
                    <w:rPr>
                      <w:rFonts w:ascii="Times New Roman" w:hAnsi="Times New Roman"/>
                      <w:sz w:val="21"/>
                      <w:szCs w:val="21"/>
                    </w:rPr>
                  </w:pPr>
                  <w:r>
                    <w:rPr>
                      <w:rFonts w:hint="eastAsia" w:ascii="Times New Roman" w:hAnsi="Times New Roman"/>
                      <w:sz w:val="21"/>
                      <w:szCs w:val="21"/>
                    </w:rPr>
                    <w:t>轻型载重车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1681" w:type="dxa"/>
                  <w:noWrap w:val="0"/>
                  <w:vAlign w:val="center"/>
                </w:tcPr>
                <w:p>
                  <w:pPr>
                    <w:pStyle w:val="60"/>
                    <w:spacing w:line="240" w:lineRule="auto"/>
                    <w:rPr>
                      <w:rFonts w:ascii="Times New Roman" w:hAnsi="Times New Roman"/>
                      <w:sz w:val="21"/>
                      <w:szCs w:val="21"/>
                    </w:rPr>
                  </w:pPr>
                  <w:r>
                    <w:rPr>
                      <w:rFonts w:hint="eastAsia" w:ascii="Times New Roman" w:hAnsi="Times New Roman"/>
                      <w:sz w:val="21"/>
                      <w:szCs w:val="21"/>
                    </w:rPr>
                    <w:t>声级dB(A)</w:t>
                  </w:r>
                </w:p>
              </w:tc>
              <w:tc>
                <w:tcPr>
                  <w:tcW w:w="2278" w:type="dxa"/>
                  <w:noWrap w:val="0"/>
                  <w:vAlign w:val="center"/>
                </w:tcPr>
                <w:p>
                  <w:pPr>
                    <w:pStyle w:val="60"/>
                    <w:spacing w:line="240" w:lineRule="auto"/>
                    <w:rPr>
                      <w:rFonts w:ascii="Times New Roman" w:hAnsi="Times New Roman"/>
                      <w:sz w:val="21"/>
                      <w:szCs w:val="21"/>
                    </w:rPr>
                  </w:pPr>
                  <w:r>
                    <w:rPr>
                      <w:rFonts w:hint="eastAsia" w:ascii="Times New Roman" w:hAnsi="Times New Roman"/>
                      <w:sz w:val="21"/>
                      <w:szCs w:val="21"/>
                    </w:rPr>
                    <w:t>79~85</w:t>
                  </w:r>
                </w:p>
              </w:tc>
              <w:tc>
                <w:tcPr>
                  <w:tcW w:w="2277" w:type="dxa"/>
                  <w:noWrap w:val="0"/>
                  <w:vAlign w:val="center"/>
                </w:tcPr>
                <w:p>
                  <w:pPr>
                    <w:pStyle w:val="60"/>
                    <w:spacing w:line="240" w:lineRule="auto"/>
                    <w:rPr>
                      <w:rFonts w:ascii="Times New Roman" w:hAnsi="Times New Roman"/>
                      <w:sz w:val="21"/>
                      <w:szCs w:val="21"/>
                    </w:rPr>
                  </w:pPr>
                  <w:r>
                    <w:rPr>
                      <w:rFonts w:hint="eastAsia" w:ascii="Times New Roman" w:hAnsi="Times New Roman"/>
                      <w:sz w:val="21"/>
                      <w:szCs w:val="21"/>
                    </w:rPr>
                    <w:t>65~74</w:t>
                  </w:r>
                </w:p>
              </w:tc>
              <w:tc>
                <w:tcPr>
                  <w:tcW w:w="2278" w:type="dxa"/>
                  <w:noWrap w:val="0"/>
                  <w:vAlign w:val="center"/>
                </w:tcPr>
                <w:p>
                  <w:pPr>
                    <w:pStyle w:val="60"/>
                    <w:spacing w:line="240" w:lineRule="auto"/>
                    <w:rPr>
                      <w:rFonts w:ascii="Times New Roman" w:hAnsi="Times New Roman"/>
                      <w:sz w:val="21"/>
                      <w:szCs w:val="21"/>
                    </w:rPr>
                  </w:pPr>
                  <w:r>
                    <w:rPr>
                      <w:rFonts w:hint="eastAsia" w:ascii="Times New Roman" w:hAnsi="Times New Roman"/>
                      <w:sz w:val="21"/>
                      <w:szCs w:val="21"/>
                    </w:rPr>
                    <w:t>60~69</w:t>
                  </w:r>
                </w:p>
              </w:tc>
            </w:tr>
          </w:tbl>
          <w:p>
            <w:pPr>
              <w:spacing w:before="156" w:beforeLines="50" w:line="360" w:lineRule="auto"/>
              <w:ind w:firstLine="480" w:firstLineChars="200"/>
              <w:jc w:val="left"/>
              <w:rPr>
                <w:rFonts w:hint="eastAsia"/>
                <w:sz w:val="24"/>
              </w:rPr>
            </w:pPr>
            <w:r>
              <w:rPr>
                <w:rFonts w:hint="eastAsia"/>
                <w:sz w:val="24"/>
              </w:rPr>
              <w:t>除移动施工机械外，主要施工期机械布置于临时施工场内。</w:t>
            </w:r>
          </w:p>
          <w:p>
            <w:pPr>
              <w:spacing w:before="156" w:beforeLines="50" w:line="360" w:lineRule="auto"/>
              <w:ind w:firstLine="480" w:firstLineChars="200"/>
              <w:jc w:val="left"/>
              <w:rPr>
                <w:sz w:val="24"/>
              </w:rPr>
            </w:pPr>
          </w:p>
          <w:p>
            <w:pPr>
              <w:spacing w:before="156" w:beforeLines="50" w:line="360" w:lineRule="auto"/>
              <w:ind w:firstLine="480" w:firstLineChars="200"/>
              <w:jc w:val="left"/>
              <w:rPr>
                <w:rFonts w:hint="eastAsia"/>
                <w:sz w:val="24"/>
              </w:rPr>
            </w:pPr>
          </w:p>
          <w:p>
            <w:pPr>
              <w:tabs>
                <w:tab w:val="center" w:pos="4153"/>
                <w:tab w:val="right" w:pos="8306"/>
              </w:tabs>
              <w:snapToGrid w:val="0"/>
              <w:spacing w:before="156" w:beforeLines="50" w:line="360" w:lineRule="auto"/>
              <w:rPr>
                <w:rFonts w:hint="eastAsia"/>
                <w:b/>
                <w:sz w:val="24"/>
              </w:rPr>
            </w:pPr>
            <w:r>
              <w:rPr>
                <w:rFonts w:hAnsi="宋体"/>
                <w:b/>
                <w:sz w:val="24"/>
              </w:rPr>
              <w:t>二、项目营运期</w:t>
            </w:r>
          </w:p>
          <w:p>
            <w:pPr>
              <w:spacing w:line="360" w:lineRule="auto"/>
              <w:ind w:firstLine="480" w:firstLineChars="200"/>
              <w:rPr>
                <w:rFonts w:hint="eastAsia" w:hAnsi="宋体"/>
                <w:sz w:val="24"/>
              </w:rPr>
            </w:pPr>
            <w:r>
              <w:rPr>
                <w:rFonts w:hint="eastAsia" w:hAnsi="宋体"/>
                <w:sz w:val="24"/>
              </w:rPr>
              <w:t>本项目建成后主要污染因素为废气：停车场扬尘、汽车尾气、备用发电机废气、化粪池及垃圾收集箱恶臭等；废水：生活污水，商铺废水、摊位废水；噪声：交通噪声、商业活动噪声、居民活动噪声及发电机产生的噪声；固废：生活垃圾、商铺垃圾、摊位垃圾、化粪池污泥等。</w:t>
            </w:r>
          </w:p>
          <w:p>
            <w:pPr>
              <w:adjustRightInd w:val="0"/>
              <w:snapToGrid w:val="0"/>
              <w:spacing w:line="360" w:lineRule="auto"/>
              <w:ind w:firstLine="482" w:firstLineChars="200"/>
              <w:jc w:val="left"/>
              <w:rPr>
                <w:b/>
                <w:sz w:val="24"/>
              </w:rPr>
            </w:pPr>
            <w:r>
              <w:rPr>
                <w:b/>
                <w:sz w:val="24"/>
              </w:rPr>
              <w:t>1</w:t>
            </w:r>
            <w:r>
              <w:rPr>
                <w:rFonts w:hAnsi="宋体"/>
                <w:b/>
                <w:sz w:val="24"/>
              </w:rPr>
              <w:t>、废气</w:t>
            </w:r>
          </w:p>
          <w:p>
            <w:pPr>
              <w:tabs>
                <w:tab w:val="left" w:pos="3075"/>
              </w:tabs>
              <w:spacing w:line="360" w:lineRule="auto"/>
              <w:ind w:firstLine="480" w:firstLineChars="200"/>
              <w:rPr>
                <w:sz w:val="24"/>
              </w:rPr>
            </w:pPr>
            <w:r>
              <w:rPr>
                <w:rFonts w:hAnsi="宋体"/>
                <w:sz w:val="24"/>
              </w:rPr>
              <w:t>（</w:t>
            </w:r>
            <w:r>
              <w:rPr>
                <w:sz w:val="24"/>
              </w:rPr>
              <w:t>1</w:t>
            </w:r>
            <w:r>
              <w:rPr>
                <w:rFonts w:hAnsi="宋体"/>
                <w:sz w:val="24"/>
              </w:rPr>
              <w:t>）汽车尾气</w:t>
            </w:r>
            <w:r>
              <w:rPr>
                <w:rFonts w:hint="eastAsia" w:hAnsi="宋体"/>
                <w:sz w:val="24"/>
              </w:rPr>
              <w:t>：</w:t>
            </w:r>
          </w:p>
          <w:p>
            <w:pPr>
              <w:spacing w:line="360" w:lineRule="auto"/>
              <w:ind w:firstLine="480" w:firstLineChars="200"/>
              <w:rPr>
                <w:rFonts w:hint="eastAsia"/>
                <w:sz w:val="24"/>
              </w:rPr>
            </w:pPr>
            <w:r>
              <w:rPr>
                <w:rFonts w:hAnsi="宋体"/>
                <w:sz w:val="24"/>
              </w:rPr>
              <w:t>项目建成后，进出的车辆多为项目内</w:t>
            </w:r>
            <w:r>
              <w:rPr>
                <w:rFonts w:hint="eastAsia" w:hAnsi="宋体"/>
                <w:sz w:val="24"/>
              </w:rPr>
              <w:t>商客的</w:t>
            </w:r>
            <w:r>
              <w:rPr>
                <w:rFonts w:hAnsi="宋体"/>
                <w:sz w:val="24"/>
              </w:rPr>
              <w:t>车辆，车辆出入</w:t>
            </w:r>
            <w:r>
              <w:rPr>
                <w:rFonts w:hint="eastAsia" w:hAnsi="宋体"/>
                <w:sz w:val="24"/>
              </w:rPr>
              <w:t>大</w:t>
            </w:r>
            <w:r>
              <w:rPr>
                <w:rFonts w:hAnsi="宋体"/>
                <w:sz w:val="24"/>
              </w:rPr>
              <w:t>，尾气排放量较</w:t>
            </w:r>
            <w:r>
              <w:rPr>
                <w:rFonts w:hint="eastAsia" w:hAnsi="宋体"/>
                <w:sz w:val="24"/>
              </w:rPr>
              <w:t>大</w:t>
            </w:r>
            <w:r>
              <w:rPr>
                <w:rFonts w:hAnsi="宋体"/>
                <w:sz w:val="24"/>
              </w:rPr>
              <w:t>。</w:t>
            </w:r>
            <w:r>
              <w:rPr>
                <w:sz w:val="24"/>
              </w:rPr>
              <w:t>由于地上停车场废气易于扩散，</w:t>
            </w:r>
            <w:r>
              <w:rPr>
                <w:rFonts w:hint="eastAsia"/>
                <w:sz w:val="24"/>
              </w:rPr>
              <w:t>故对环境空气影响较小。</w:t>
            </w:r>
          </w:p>
          <w:p>
            <w:pPr>
              <w:spacing w:line="360" w:lineRule="auto"/>
              <w:ind w:firstLine="480" w:firstLineChars="200"/>
              <w:rPr>
                <w:sz w:val="24"/>
              </w:rPr>
            </w:pPr>
            <w:r>
              <w:rPr>
                <w:rFonts w:hint="eastAsia"/>
                <w:sz w:val="24"/>
              </w:rPr>
              <w:t>加强对地面停车场车辆的进出管理，在地面停车场附近种植部分绿化带，选择对有害气体吸收能力较强的树木，如杨槐、榆树、垂柳等，对废气起到一定的净化，尽量缩短汽车出入口停留时间等措施后，可减少汽车废气对周围环境和自身的影响。</w:t>
            </w:r>
          </w:p>
          <w:p>
            <w:pPr>
              <w:spacing w:line="360" w:lineRule="auto"/>
              <w:ind w:firstLine="480" w:firstLineChars="200"/>
              <w:rPr>
                <w:rFonts w:hint="eastAsia" w:hAnsi="宋体"/>
                <w:sz w:val="24"/>
              </w:rPr>
            </w:pPr>
            <w:r>
              <w:rPr>
                <w:rFonts w:hint="eastAsia" w:hAnsi="宋体"/>
                <w:sz w:val="24"/>
              </w:rPr>
              <w:t>（</w:t>
            </w:r>
            <w:r>
              <w:rPr>
                <w:rFonts w:hAnsi="宋体"/>
                <w:sz w:val="24"/>
              </w:rPr>
              <w:t>2</w:t>
            </w:r>
            <w:r>
              <w:rPr>
                <w:rFonts w:hint="eastAsia" w:hAnsi="宋体"/>
                <w:sz w:val="24"/>
              </w:rPr>
              <w:t>）备用发电机废气：</w:t>
            </w:r>
          </w:p>
          <w:p>
            <w:pPr>
              <w:snapToGrid w:val="0"/>
              <w:spacing w:line="360" w:lineRule="auto"/>
              <w:ind w:firstLine="480" w:firstLineChars="200"/>
              <w:rPr>
                <w:kern w:val="0"/>
                <w:sz w:val="24"/>
              </w:rPr>
            </w:pPr>
            <w:r>
              <w:rPr>
                <w:kern w:val="0"/>
                <w:sz w:val="24"/>
              </w:rPr>
              <w:t>虽然项目电源采用双回路方式供电，但考虑到特殊情况，本项目配置</w:t>
            </w:r>
            <w:r>
              <w:rPr>
                <w:rFonts w:hint="eastAsia"/>
                <w:kern w:val="0"/>
                <w:sz w:val="24"/>
              </w:rPr>
              <w:t>北区</w:t>
            </w:r>
            <w:r>
              <w:rPr>
                <w:kern w:val="0"/>
                <w:sz w:val="24"/>
              </w:rPr>
              <w:t>一台</w:t>
            </w:r>
            <w:r>
              <w:rPr>
                <w:rFonts w:hint="eastAsia"/>
                <w:kern w:val="0"/>
                <w:sz w:val="24"/>
              </w:rPr>
              <w:t>32</w:t>
            </w:r>
            <w:r>
              <w:rPr>
                <w:kern w:val="0"/>
                <w:sz w:val="24"/>
              </w:rPr>
              <w:t>0kW 柴油发电机组</w:t>
            </w:r>
            <w:r>
              <w:rPr>
                <w:rFonts w:hint="eastAsia"/>
                <w:kern w:val="0"/>
                <w:sz w:val="24"/>
              </w:rPr>
              <w:t>、南区</w:t>
            </w:r>
            <w:r>
              <w:rPr>
                <w:kern w:val="0"/>
                <w:sz w:val="24"/>
              </w:rPr>
              <w:t>设置</w:t>
            </w:r>
            <w:r>
              <w:rPr>
                <w:rFonts w:hint="eastAsia"/>
                <w:kern w:val="0"/>
                <w:sz w:val="24"/>
              </w:rPr>
              <w:t>一台660</w:t>
            </w:r>
            <w:r>
              <w:rPr>
                <w:kern w:val="0"/>
                <w:sz w:val="24"/>
              </w:rPr>
              <w:t>kW的柴油发电机组作为应急电源</w:t>
            </w:r>
            <w:r>
              <w:rPr>
                <w:rFonts w:hint="eastAsia"/>
                <w:kern w:val="0"/>
                <w:sz w:val="24"/>
              </w:rPr>
              <w:t>，</w:t>
            </w:r>
            <w:r>
              <w:rPr>
                <w:kern w:val="0"/>
                <w:sz w:val="24"/>
              </w:rPr>
              <w:t>应急电源启用几率很小，查有关资料柴油发电机耗油指标为100kW26.25L、500kW131.2L，用内插法求得320kW83.97L</w:t>
            </w:r>
            <w:r>
              <w:rPr>
                <w:rFonts w:hint="eastAsia"/>
                <w:kern w:val="0"/>
                <w:sz w:val="24"/>
              </w:rPr>
              <w:t>，66</w:t>
            </w:r>
            <w:r>
              <w:rPr>
                <w:kern w:val="0"/>
                <w:sz w:val="24"/>
              </w:rPr>
              <w:t>0kW173.18L，排污系数为</w:t>
            </w:r>
            <w:r>
              <w:rPr>
                <w:szCs w:val="21"/>
              </w:rPr>
              <w:t>SO</w:t>
            </w:r>
            <w:r>
              <w:rPr>
                <w:szCs w:val="21"/>
                <w:vertAlign w:val="subscript"/>
              </w:rPr>
              <w:t>2</w:t>
            </w:r>
            <w:r>
              <w:rPr>
                <w:kern w:val="0"/>
                <w:sz w:val="24"/>
              </w:rPr>
              <w:t xml:space="preserve"> 4.21kg/t油、烟尘0.25kg/t油、</w:t>
            </w:r>
            <w:r>
              <w:rPr>
                <w:szCs w:val="21"/>
              </w:rPr>
              <w:t>NO</w:t>
            </w:r>
            <w:r>
              <w:rPr>
                <w:szCs w:val="21"/>
                <w:vertAlign w:val="subscript"/>
              </w:rPr>
              <w:t>x</w:t>
            </w:r>
            <w:r>
              <w:rPr>
                <w:kern w:val="0"/>
                <w:sz w:val="24"/>
              </w:rPr>
              <w:t xml:space="preserve"> 6.56kg/t油，柴油容积重量换算系数取0.76kg/L，备用电源启用时，柴油消耗量为195.43kg/h，主要污染物排放量为</w:t>
            </w:r>
            <w:r>
              <w:rPr>
                <w:szCs w:val="21"/>
              </w:rPr>
              <w:t>SO</w:t>
            </w:r>
            <w:r>
              <w:rPr>
                <w:szCs w:val="21"/>
                <w:vertAlign w:val="subscript"/>
              </w:rPr>
              <w:t>2</w:t>
            </w:r>
            <w:r>
              <w:rPr>
                <w:kern w:val="0"/>
                <w:sz w:val="24"/>
              </w:rPr>
              <w:t>0.82kg/h、烟尘0.05kg/h、、</w:t>
            </w:r>
            <w:r>
              <w:rPr>
                <w:szCs w:val="21"/>
              </w:rPr>
              <w:t>NO</w:t>
            </w:r>
            <w:r>
              <w:rPr>
                <w:szCs w:val="21"/>
                <w:vertAlign w:val="subscript"/>
              </w:rPr>
              <w:t>x</w:t>
            </w:r>
            <w:r>
              <w:rPr>
                <w:kern w:val="0"/>
                <w:sz w:val="24"/>
              </w:rPr>
              <w:t xml:space="preserve"> 1.28 kg/h。</w:t>
            </w:r>
          </w:p>
          <w:p>
            <w:pPr>
              <w:spacing w:line="360" w:lineRule="auto"/>
              <w:ind w:firstLine="480" w:firstLineChars="200"/>
              <w:rPr>
                <w:sz w:val="24"/>
              </w:rPr>
            </w:pPr>
            <w:r>
              <w:rPr>
                <w:sz w:val="24"/>
              </w:rPr>
              <w:t>备用发电机位于单独房间。备用发电机仅在停电时使用，废气属于燃油废气，采用轻质柴油作为燃料，柴油燃烧烟气含有CO</w:t>
            </w:r>
            <w:r>
              <w:rPr>
                <w:sz w:val="24"/>
                <w:vertAlign w:val="subscript"/>
              </w:rPr>
              <w:t>2</w:t>
            </w:r>
            <w:r>
              <w:rPr>
                <w:sz w:val="24"/>
              </w:rPr>
              <w:t>、CO、NO</w:t>
            </w:r>
            <w:r>
              <w:rPr>
                <w:sz w:val="24"/>
                <w:vertAlign w:val="subscript"/>
              </w:rPr>
              <w:t>x</w:t>
            </w:r>
            <w:r>
              <w:rPr>
                <w:sz w:val="24"/>
              </w:rPr>
              <w:t>、SO</w:t>
            </w:r>
            <w:r>
              <w:rPr>
                <w:sz w:val="24"/>
                <w:vertAlign w:val="subscript"/>
              </w:rPr>
              <w:t>2</w:t>
            </w:r>
            <w:r>
              <w:rPr>
                <w:sz w:val="24"/>
              </w:rPr>
              <w:t>、烟尘等废气，但是使用时间不长使用频率不高，备用柴油发电机运营时产生的废气量小，对项目区内的</w:t>
            </w:r>
            <w:r>
              <w:rPr>
                <w:rFonts w:hint="eastAsia"/>
                <w:sz w:val="24"/>
              </w:rPr>
              <w:t>人员</w:t>
            </w:r>
            <w:r>
              <w:rPr>
                <w:sz w:val="24"/>
              </w:rPr>
              <w:t>的影响较小。</w:t>
            </w:r>
          </w:p>
          <w:p>
            <w:pPr>
              <w:spacing w:line="360" w:lineRule="auto"/>
              <w:ind w:firstLine="480" w:firstLineChars="200"/>
              <w:rPr>
                <w:rFonts w:hAnsi="宋体"/>
                <w:sz w:val="24"/>
              </w:rPr>
            </w:pPr>
            <w:r>
              <w:rPr>
                <w:rFonts w:hint="eastAsia" w:hAnsi="宋体"/>
                <w:sz w:val="24"/>
              </w:rPr>
              <w:t>（4）化粪池、垃圾收集箱恶臭：</w:t>
            </w:r>
          </w:p>
          <w:p>
            <w:pPr>
              <w:spacing w:line="360" w:lineRule="auto"/>
              <w:ind w:firstLine="480" w:firstLineChars="200"/>
              <w:rPr>
                <w:rFonts w:hAnsi="宋体"/>
                <w:sz w:val="24"/>
              </w:rPr>
            </w:pPr>
            <w:r>
              <w:rPr>
                <w:rFonts w:hint="eastAsia" w:hAnsi="宋体"/>
                <w:sz w:val="24"/>
              </w:rPr>
              <w:t>项目为农产品交易中心，垃圾中含有蔬菜、水果等易腐烂的物品，因</w:t>
            </w:r>
            <w:r>
              <w:rPr>
                <w:rFonts w:hAnsi="宋体"/>
                <w:sz w:val="24"/>
              </w:rPr>
              <w:t>其在收集、运输过程中由于</w:t>
            </w:r>
            <w:r>
              <w:rPr>
                <w:rFonts w:hint="eastAsia" w:hAnsi="宋体"/>
                <w:sz w:val="24"/>
              </w:rPr>
              <w:t>发酵</w:t>
            </w:r>
            <w:r>
              <w:rPr>
                <w:rFonts w:hAnsi="宋体"/>
                <w:sz w:val="24"/>
              </w:rPr>
              <w:t>、</w:t>
            </w:r>
            <w:r>
              <w:rPr>
                <w:rFonts w:hint="eastAsia" w:hAnsi="宋体"/>
                <w:sz w:val="24"/>
              </w:rPr>
              <w:t>贮存</w:t>
            </w:r>
            <w:r>
              <w:rPr>
                <w:rFonts w:hAnsi="宋体"/>
                <w:sz w:val="24"/>
              </w:rPr>
              <w:t>、转运不及时、不到位而产生臭味</w:t>
            </w:r>
            <w:r>
              <w:rPr>
                <w:rFonts w:hint="eastAsia" w:hAnsi="宋体"/>
                <w:sz w:val="24"/>
              </w:rPr>
              <w:t>，主要恶臭源为氨、硫化氢等</w:t>
            </w:r>
            <w:r>
              <w:rPr>
                <w:rFonts w:hAnsi="宋体"/>
                <w:sz w:val="24"/>
              </w:rPr>
              <w:t>。</w:t>
            </w:r>
            <w:r>
              <w:rPr>
                <w:rFonts w:hint="eastAsia" w:hAnsi="宋体"/>
                <w:sz w:val="24"/>
              </w:rPr>
              <w:t>市场内垃圾于垃圾收集房集中，进行简单分类、压缩预处理。垃圾收集房运行过程中会有臭味逸散</w:t>
            </w:r>
            <w:r>
              <w:rPr>
                <w:rFonts w:hAnsi="宋体"/>
                <w:sz w:val="24"/>
              </w:rPr>
              <w:t>，局部空气臭气浓度增加。</w:t>
            </w:r>
            <w:r>
              <w:rPr>
                <w:rFonts w:hint="eastAsia" w:hAnsi="宋体"/>
                <w:sz w:val="24"/>
              </w:rPr>
              <w:t>恶臭气体逸散量较小，主要为无组织排放，一般影响区域为垃圾收集房10m范围内。</w:t>
            </w:r>
          </w:p>
          <w:p>
            <w:pPr>
              <w:spacing w:line="360" w:lineRule="auto"/>
              <w:ind w:firstLine="480" w:firstLineChars="200"/>
              <w:rPr>
                <w:rFonts w:hAnsi="宋体"/>
                <w:sz w:val="24"/>
              </w:rPr>
            </w:pPr>
            <w:r>
              <w:rPr>
                <w:rFonts w:hint="eastAsia" w:hAnsi="宋体"/>
                <w:sz w:val="24"/>
              </w:rPr>
              <w:t>化粪池运行过程由于密封不紧，污泥脱水等会产生臭味，主要恶臭源为氨、硫化氢等。主要为无组织排放，一般排放量较小，对环境影响较小。</w:t>
            </w:r>
          </w:p>
          <w:p>
            <w:pPr>
              <w:pStyle w:val="71"/>
              <w:spacing w:before="156" w:line="360" w:lineRule="auto"/>
              <w:ind w:firstLine="482"/>
              <w:rPr>
                <w:rFonts w:hAnsi="宋体"/>
                <w:b/>
                <w:bCs/>
                <w:color w:val="auto"/>
                <w:lang w:val="zh-CN"/>
              </w:rPr>
            </w:pPr>
            <w:r>
              <w:rPr>
                <w:rFonts w:hint="eastAsia" w:hAnsi="宋体"/>
                <w:b/>
                <w:bCs/>
                <w:color w:val="auto"/>
                <w:lang w:val="zh-CN"/>
              </w:rPr>
              <w:t>2、废水</w:t>
            </w:r>
          </w:p>
          <w:p>
            <w:pPr>
              <w:pStyle w:val="71"/>
              <w:spacing w:before="0" w:beforeLines="0" w:line="360" w:lineRule="auto"/>
              <w:rPr>
                <w:rFonts w:hint="eastAsia" w:hAnsi="宋体"/>
                <w:bCs/>
                <w:color w:val="auto"/>
                <w:szCs w:val="24"/>
                <w:lang w:val="zh-CN"/>
              </w:rPr>
            </w:pPr>
            <w:r>
              <w:rPr>
                <w:rFonts w:hint="eastAsia" w:hAnsi="宋体"/>
                <w:bCs/>
                <w:color w:val="auto"/>
                <w:szCs w:val="24"/>
                <w:lang w:val="zh-CN"/>
              </w:rPr>
              <w:t>项目用水量根据《维西老城区农贸市场建设项目设计说明》编制。设计说明中，将用水量分为冷水用水和热水用水量核算。</w:t>
            </w:r>
          </w:p>
          <w:p>
            <w:pPr>
              <w:pStyle w:val="71"/>
              <w:spacing w:before="0" w:beforeLines="0" w:line="360" w:lineRule="auto"/>
              <w:rPr>
                <w:rFonts w:hAnsi="宋体"/>
                <w:bCs/>
                <w:color w:val="auto"/>
                <w:szCs w:val="24"/>
                <w:lang w:val="zh-CN"/>
              </w:rPr>
            </w:pPr>
            <w:r>
              <w:rPr>
                <w:rFonts w:hint="eastAsia" w:hAnsi="宋体"/>
                <w:bCs/>
                <w:color w:val="auto"/>
                <w:szCs w:val="24"/>
                <w:lang w:val="zh-CN"/>
              </w:rPr>
              <w:t>（1）冷水用水量</w:t>
            </w:r>
            <w:r>
              <w:rPr>
                <w:rFonts w:hAnsi="宋体"/>
                <w:bCs/>
                <w:color w:val="auto"/>
                <w:szCs w:val="24"/>
                <w:lang w:val="zh-CN"/>
              </w:rPr>
              <w:t>计算</w:t>
            </w:r>
          </w:p>
          <w:p>
            <w:pPr>
              <w:pStyle w:val="71"/>
              <w:spacing w:before="0" w:beforeLines="0" w:line="360" w:lineRule="auto"/>
              <w:jc w:val="center"/>
              <w:rPr>
                <w:rFonts w:hint="eastAsia" w:hAnsi="宋体"/>
                <w:bCs/>
                <w:color w:val="auto"/>
                <w:szCs w:val="24"/>
                <w:lang w:val="zh-CN"/>
              </w:rPr>
            </w:pPr>
            <w:r>
              <w:rPr>
                <w:rFonts w:hint="eastAsia" w:hAnsi="宋体"/>
                <w:bCs/>
                <w:color w:val="auto"/>
                <w:szCs w:val="24"/>
                <w:lang w:val="zh-CN"/>
              </w:rPr>
              <w:t>表5-</w:t>
            </w:r>
            <w:r>
              <w:rPr>
                <w:rFonts w:hAnsi="宋体"/>
                <w:bCs/>
                <w:color w:val="auto"/>
                <w:szCs w:val="24"/>
                <w:lang w:val="zh-CN"/>
              </w:rPr>
              <w:t>4</w:t>
            </w:r>
            <w:r>
              <w:rPr>
                <w:rFonts w:hint="eastAsia" w:hAnsi="宋体"/>
                <w:bCs/>
                <w:color w:val="auto"/>
                <w:szCs w:val="24"/>
                <w:lang w:val="zh-CN"/>
              </w:rPr>
              <w:t xml:space="preserve">  项目冷水</w:t>
            </w:r>
            <w:r>
              <w:rPr>
                <w:rFonts w:hAnsi="宋体"/>
                <w:bCs/>
                <w:color w:val="auto"/>
                <w:szCs w:val="24"/>
                <w:lang w:val="zh-CN"/>
              </w:rPr>
              <w:t>用水量计算表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692"/>
              <w:gridCol w:w="1191"/>
              <w:gridCol w:w="1129"/>
              <w:gridCol w:w="614"/>
              <w:gridCol w:w="752"/>
              <w:gridCol w:w="1057"/>
              <w:gridCol w:w="855"/>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109" w:hRule="atLeast"/>
                <w:jc w:val="center"/>
              </w:trPr>
              <w:tc>
                <w:tcPr>
                  <w:tcW w:w="1446" w:type="dxa"/>
                  <w:gridSpan w:val="2"/>
                  <w:noWrap w:val="0"/>
                  <w:vAlign w:val="top"/>
                </w:tcPr>
                <w:p>
                  <w:pPr>
                    <w:spacing w:line="300" w:lineRule="exact"/>
                    <w:jc w:val="center"/>
                    <w:rPr>
                      <w:bCs/>
                      <w:szCs w:val="21"/>
                    </w:rPr>
                  </w:pPr>
                  <w:r>
                    <w:rPr>
                      <w:rFonts w:hint="eastAsia" w:ascii="微软雅黑" w:hAnsi="微软雅黑" w:eastAsia="微软雅黑" w:cs="微软雅黑"/>
                      <w:bCs/>
                      <w:szCs w:val="21"/>
                    </w:rPr>
                    <w:t>名称</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用水量标准</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数量</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使用</w:t>
                  </w:r>
                </w:p>
                <w:p>
                  <w:pPr>
                    <w:spacing w:line="300" w:lineRule="exact"/>
                    <w:jc w:val="center"/>
                    <w:rPr>
                      <w:bCs/>
                      <w:szCs w:val="21"/>
                    </w:rPr>
                  </w:pPr>
                  <w:r>
                    <w:rPr>
                      <w:rFonts w:hint="eastAsia" w:ascii="微软雅黑" w:hAnsi="微软雅黑" w:eastAsia="微软雅黑" w:cs="微软雅黑"/>
                      <w:bCs/>
                      <w:szCs w:val="21"/>
                    </w:rPr>
                    <w:t>时间h</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时变化系数 Kh</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平均时</w:t>
                  </w:r>
                </w:p>
                <w:p>
                  <w:pPr>
                    <w:spacing w:line="300" w:lineRule="exact"/>
                    <w:jc w:val="center"/>
                    <w:rPr>
                      <w:bCs/>
                      <w:szCs w:val="21"/>
                    </w:rPr>
                  </w:pPr>
                  <w:r>
                    <w:rPr>
                      <w:rFonts w:hint="eastAsia" w:ascii="微软雅黑" w:hAnsi="微软雅黑" w:eastAsia="微软雅黑" w:cs="微软雅黑"/>
                      <w:bCs/>
                      <w:szCs w:val="21"/>
                    </w:rPr>
                    <w:t>(m</w:t>
                  </w:r>
                  <w:r>
                    <w:rPr>
                      <w:rFonts w:hint="eastAsia" w:ascii="微软雅黑" w:hAnsi="微软雅黑" w:eastAsia="微软雅黑" w:cs="微软雅黑"/>
                      <w:bCs/>
                      <w:szCs w:val="21"/>
                      <w:vertAlign w:val="superscript"/>
                    </w:rPr>
                    <w:t>3</w:t>
                  </w:r>
                  <w:r>
                    <w:rPr>
                      <w:rFonts w:hint="eastAsia" w:ascii="微软雅黑" w:hAnsi="微软雅黑" w:eastAsia="微软雅黑" w:cs="微软雅黑"/>
                      <w:bCs/>
                      <w:szCs w:val="21"/>
                    </w:rPr>
                    <w:t>/h)</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最大时</w:t>
                  </w:r>
                </w:p>
                <w:p>
                  <w:pPr>
                    <w:spacing w:line="300" w:lineRule="exact"/>
                    <w:jc w:val="center"/>
                    <w:rPr>
                      <w:bCs/>
                      <w:szCs w:val="21"/>
                    </w:rPr>
                  </w:pPr>
                  <w:r>
                    <w:rPr>
                      <w:rFonts w:hint="eastAsia" w:ascii="微软雅黑" w:hAnsi="微软雅黑" w:eastAsia="微软雅黑" w:cs="微软雅黑"/>
                      <w:bCs/>
                      <w:szCs w:val="21"/>
                    </w:rPr>
                    <w:t>(m</w:t>
                  </w:r>
                  <w:r>
                    <w:rPr>
                      <w:rFonts w:hint="eastAsia" w:ascii="微软雅黑" w:hAnsi="微软雅黑" w:eastAsia="微软雅黑" w:cs="微软雅黑"/>
                      <w:bCs/>
                      <w:szCs w:val="21"/>
                      <w:vertAlign w:val="superscript"/>
                    </w:rPr>
                    <w:t>3</w:t>
                  </w:r>
                  <w:r>
                    <w:rPr>
                      <w:rFonts w:hint="eastAsia" w:ascii="微软雅黑" w:hAnsi="微软雅黑" w:eastAsia="微软雅黑" w:cs="微软雅黑"/>
                      <w:bCs/>
                      <w:szCs w:val="21"/>
                    </w:rPr>
                    <w:t>/h)</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最高日</w:t>
                  </w:r>
                </w:p>
                <w:p>
                  <w:pPr>
                    <w:spacing w:line="300" w:lineRule="exact"/>
                    <w:jc w:val="center"/>
                    <w:rPr>
                      <w:bCs/>
                      <w:szCs w:val="21"/>
                    </w:rPr>
                  </w:pPr>
                  <w:r>
                    <w:rPr>
                      <w:rFonts w:hint="eastAsia" w:ascii="微软雅黑" w:hAnsi="微软雅黑" w:eastAsia="微软雅黑" w:cs="微软雅黑"/>
                      <w:bCs/>
                      <w:szCs w:val="21"/>
                    </w:rPr>
                    <w:t>用水量</w:t>
                  </w:r>
                </w:p>
                <w:p>
                  <w:pPr>
                    <w:spacing w:line="300" w:lineRule="exact"/>
                    <w:jc w:val="center"/>
                    <w:rPr>
                      <w:bCs/>
                      <w:szCs w:val="21"/>
                    </w:rPr>
                  </w:pPr>
                  <w:r>
                    <w:rPr>
                      <w:rFonts w:hint="eastAsia" w:ascii="微软雅黑" w:hAnsi="微软雅黑" w:eastAsia="微软雅黑" w:cs="微软雅黑"/>
                      <w:bCs/>
                      <w:szCs w:val="21"/>
                    </w:rPr>
                    <w:t>(m</w:t>
                  </w:r>
                  <w:r>
                    <w:rPr>
                      <w:rFonts w:hint="eastAsia" w:ascii="微软雅黑" w:hAnsi="微软雅黑" w:eastAsia="微软雅黑" w:cs="微软雅黑"/>
                      <w:bCs/>
                      <w:szCs w:val="21"/>
                      <w:vertAlign w:val="superscript"/>
                    </w:rPr>
                    <w:t>3</w:t>
                  </w:r>
                  <w:r>
                    <w:rPr>
                      <w:rFonts w:hint="eastAsia" w:ascii="微软雅黑" w:hAnsi="微软雅黑" w:eastAsia="微软雅黑" w:cs="微软雅黑"/>
                      <w:bCs/>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restart"/>
                  <w:noWrap w:val="0"/>
                  <w:vAlign w:val="top"/>
                </w:tcPr>
                <w:p>
                  <w:pPr>
                    <w:spacing w:line="300" w:lineRule="exact"/>
                    <w:jc w:val="center"/>
                    <w:rPr>
                      <w:bCs/>
                      <w:szCs w:val="21"/>
                    </w:rPr>
                  </w:pPr>
                </w:p>
                <w:p>
                  <w:pPr>
                    <w:spacing w:line="300" w:lineRule="exact"/>
                    <w:jc w:val="center"/>
                    <w:rPr>
                      <w:bCs/>
                      <w:szCs w:val="21"/>
                    </w:rPr>
                  </w:pPr>
                </w:p>
                <w:p>
                  <w:pPr>
                    <w:spacing w:line="300" w:lineRule="exact"/>
                    <w:jc w:val="center"/>
                    <w:rPr>
                      <w:bCs/>
                      <w:szCs w:val="21"/>
                    </w:rPr>
                  </w:pPr>
                  <w:r>
                    <w:rPr>
                      <w:rFonts w:hint="eastAsia" w:ascii="微软雅黑" w:hAnsi="微软雅黑" w:eastAsia="微软雅黑" w:cs="微软雅黑"/>
                      <w:bCs/>
                      <w:szCs w:val="21"/>
                    </w:rPr>
                    <w:t>1#</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324.28</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0.16</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0.24 </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continue"/>
                  <w:noWrap w:val="0"/>
                  <w:vAlign w:val="top"/>
                </w:tcPr>
                <w:p>
                  <w:pPr>
                    <w:spacing w:line="300" w:lineRule="exact"/>
                    <w:jc w:val="center"/>
                    <w:rPr>
                      <w:bCs/>
                      <w:szCs w:val="21"/>
                    </w:rPr>
                  </w:pP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住宅</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100升/人·天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32</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24</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2.5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0.13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0.33 </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restart"/>
                  <w:noWrap w:val="0"/>
                  <w:vAlign w:val="top"/>
                </w:tcPr>
                <w:p>
                  <w:pPr>
                    <w:spacing w:line="300" w:lineRule="exact"/>
                    <w:jc w:val="center"/>
                    <w:rPr>
                      <w:bCs/>
                      <w:szCs w:val="21"/>
                    </w:rPr>
                  </w:pPr>
                </w:p>
                <w:p>
                  <w:pPr>
                    <w:spacing w:line="300" w:lineRule="exact"/>
                    <w:jc w:val="center"/>
                    <w:rPr>
                      <w:bCs/>
                      <w:szCs w:val="21"/>
                    </w:rPr>
                  </w:pPr>
                </w:p>
                <w:p>
                  <w:pPr>
                    <w:spacing w:line="300" w:lineRule="exact"/>
                    <w:jc w:val="center"/>
                    <w:rPr>
                      <w:bCs/>
                      <w:szCs w:val="21"/>
                    </w:rPr>
                  </w:pPr>
                  <w:r>
                    <w:rPr>
                      <w:rFonts w:hint="eastAsia" w:ascii="微软雅黑" w:hAnsi="微软雅黑" w:eastAsia="微软雅黑" w:cs="微软雅黑"/>
                      <w:bCs/>
                      <w:szCs w:val="21"/>
                    </w:rPr>
                    <w:t>2#</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718.95</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0.36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0.54 </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continue"/>
                  <w:noWrap w:val="0"/>
                  <w:vAlign w:val="top"/>
                </w:tcPr>
                <w:p>
                  <w:pPr>
                    <w:spacing w:line="300" w:lineRule="exact"/>
                    <w:jc w:val="center"/>
                    <w:rPr>
                      <w:bCs/>
                      <w:szCs w:val="21"/>
                    </w:rPr>
                  </w:pP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住宅</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100升/人·天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96</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24</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2.5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0.4</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1.0</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restart"/>
                  <w:noWrap w:val="0"/>
                  <w:vAlign w:val="top"/>
                </w:tcPr>
                <w:p>
                  <w:pPr>
                    <w:spacing w:line="300" w:lineRule="exact"/>
                    <w:jc w:val="center"/>
                    <w:rPr>
                      <w:bCs/>
                      <w:szCs w:val="21"/>
                    </w:rPr>
                  </w:pPr>
                </w:p>
                <w:p>
                  <w:pPr>
                    <w:spacing w:line="300" w:lineRule="exact"/>
                    <w:jc w:val="center"/>
                    <w:rPr>
                      <w:bCs/>
                      <w:szCs w:val="21"/>
                    </w:rPr>
                  </w:pPr>
                </w:p>
                <w:p>
                  <w:pPr>
                    <w:spacing w:line="300" w:lineRule="exact"/>
                    <w:jc w:val="center"/>
                    <w:rPr>
                      <w:bCs/>
                      <w:szCs w:val="21"/>
                    </w:rPr>
                  </w:pPr>
                  <w:r>
                    <w:rPr>
                      <w:rFonts w:hint="eastAsia" w:ascii="微软雅黑" w:hAnsi="微软雅黑" w:eastAsia="微软雅黑" w:cs="微软雅黑"/>
                      <w:bCs/>
                      <w:szCs w:val="21"/>
                    </w:rPr>
                    <w:t xml:space="preserve"> 3#</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735.9</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0.37</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0.55</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continue"/>
                  <w:noWrap w:val="0"/>
                  <w:vAlign w:val="top"/>
                </w:tcPr>
                <w:p>
                  <w:pPr>
                    <w:spacing w:line="300" w:lineRule="exact"/>
                    <w:jc w:val="center"/>
                    <w:rPr>
                      <w:bCs/>
                      <w:szCs w:val="21"/>
                    </w:rPr>
                  </w:pP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住宅</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100升/人·天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96</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24</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2.5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0.4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1 </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restart"/>
                  <w:noWrap w:val="0"/>
                  <w:vAlign w:val="top"/>
                </w:tcPr>
                <w:p>
                  <w:pPr>
                    <w:spacing w:line="300" w:lineRule="exact"/>
                    <w:jc w:val="center"/>
                    <w:rPr>
                      <w:bCs/>
                      <w:szCs w:val="21"/>
                    </w:rPr>
                  </w:pPr>
                </w:p>
                <w:p>
                  <w:pPr>
                    <w:spacing w:line="300" w:lineRule="exact"/>
                    <w:jc w:val="center"/>
                    <w:rPr>
                      <w:bCs/>
                      <w:szCs w:val="21"/>
                    </w:rPr>
                  </w:pPr>
                </w:p>
                <w:p>
                  <w:pPr>
                    <w:spacing w:line="300" w:lineRule="exact"/>
                    <w:jc w:val="center"/>
                    <w:rPr>
                      <w:bCs/>
                      <w:szCs w:val="21"/>
                    </w:rPr>
                  </w:pPr>
                  <w:r>
                    <w:rPr>
                      <w:rFonts w:hint="eastAsia" w:ascii="微软雅黑" w:hAnsi="微软雅黑" w:eastAsia="微软雅黑" w:cs="微软雅黑"/>
                      <w:bCs/>
                      <w:szCs w:val="21"/>
                    </w:rPr>
                    <w:t>4#</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513.33</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0.26</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0.39</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3.08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continue"/>
                  <w:noWrap w:val="0"/>
                  <w:vAlign w:val="top"/>
                </w:tcPr>
                <w:p>
                  <w:pPr>
                    <w:spacing w:line="300" w:lineRule="exact"/>
                    <w:jc w:val="center"/>
                    <w:rPr>
                      <w:bCs/>
                      <w:szCs w:val="21"/>
                    </w:rPr>
                  </w:pP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住宅</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100升/人·天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64</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24</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2.5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0.27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0.67 </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restart"/>
                  <w:noWrap w:val="0"/>
                  <w:vAlign w:val="top"/>
                </w:tcPr>
                <w:p>
                  <w:pPr>
                    <w:spacing w:line="300" w:lineRule="exact"/>
                    <w:jc w:val="center"/>
                    <w:rPr>
                      <w:bCs/>
                      <w:szCs w:val="21"/>
                    </w:rPr>
                  </w:pPr>
                  <w:r>
                    <w:rPr>
                      <w:rFonts w:hint="eastAsia" w:ascii="微软雅黑" w:hAnsi="微软雅黑" w:eastAsia="微软雅黑" w:cs="微软雅黑"/>
                      <w:bCs/>
                      <w:szCs w:val="21"/>
                    </w:rPr>
                    <w:t>5~</w:t>
                  </w:r>
                </w:p>
                <w:p>
                  <w:pPr>
                    <w:spacing w:line="300" w:lineRule="exact"/>
                    <w:jc w:val="center"/>
                    <w:rPr>
                      <w:bCs/>
                      <w:szCs w:val="21"/>
                    </w:rPr>
                  </w:pPr>
                  <w:r>
                    <w:rPr>
                      <w:rFonts w:hint="eastAsia" w:ascii="微软雅黑" w:hAnsi="微软雅黑" w:eastAsia="微软雅黑" w:cs="微软雅黑"/>
                      <w:bCs/>
                      <w:szCs w:val="21"/>
                    </w:rPr>
                    <w:t>6#</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4983.39</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2.49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3.74</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29.90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continue"/>
                  <w:noWrap w:val="0"/>
                  <w:vAlign w:val="top"/>
                </w:tcPr>
                <w:p>
                  <w:pPr>
                    <w:spacing w:line="300" w:lineRule="exact"/>
                    <w:jc w:val="center"/>
                    <w:rPr>
                      <w:bCs/>
                      <w:szCs w:val="21"/>
                    </w:rPr>
                  </w:pP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车库冲 洗</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2升/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6027.04</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4</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3.01</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4.52 </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noWrap w:val="0"/>
                  <w:vAlign w:val="top"/>
                </w:tcPr>
                <w:p>
                  <w:pPr>
                    <w:spacing w:line="300" w:lineRule="exact"/>
                    <w:jc w:val="center"/>
                    <w:rPr>
                      <w:bCs/>
                      <w:szCs w:val="21"/>
                    </w:rPr>
                  </w:pPr>
                  <w:r>
                    <w:rPr>
                      <w:rFonts w:hint="eastAsia" w:ascii="微软雅黑" w:hAnsi="微软雅黑" w:eastAsia="微软雅黑" w:cs="微软雅黑"/>
                      <w:bCs/>
                      <w:szCs w:val="21"/>
                    </w:rPr>
                    <w:t>7~8#</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2514.76</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1.26</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1.89</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restart"/>
                  <w:noWrap w:val="0"/>
                  <w:vAlign w:val="top"/>
                </w:tcPr>
                <w:p>
                  <w:pPr>
                    <w:spacing w:line="300" w:lineRule="exact"/>
                    <w:jc w:val="center"/>
                    <w:rPr>
                      <w:bCs/>
                      <w:szCs w:val="21"/>
                    </w:rPr>
                  </w:pPr>
                </w:p>
                <w:p>
                  <w:pPr>
                    <w:spacing w:line="300" w:lineRule="exact"/>
                    <w:jc w:val="center"/>
                    <w:rPr>
                      <w:bCs/>
                      <w:szCs w:val="21"/>
                    </w:rPr>
                  </w:pPr>
                </w:p>
                <w:p>
                  <w:pPr>
                    <w:spacing w:line="300" w:lineRule="exact"/>
                    <w:jc w:val="center"/>
                    <w:rPr>
                      <w:bCs/>
                      <w:szCs w:val="21"/>
                    </w:rPr>
                  </w:pPr>
                  <w:r>
                    <w:rPr>
                      <w:rFonts w:hint="eastAsia" w:ascii="微软雅黑" w:hAnsi="微软雅黑" w:eastAsia="微软雅黑" w:cs="微软雅黑"/>
                      <w:bCs/>
                      <w:szCs w:val="21"/>
                    </w:rPr>
                    <w:t>9#</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13122.67</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6.56</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9.84</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78.74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continue"/>
                  <w:noWrap w:val="0"/>
                  <w:vAlign w:val="top"/>
                </w:tcPr>
                <w:p>
                  <w:pPr>
                    <w:spacing w:line="300" w:lineRule="exact"/>
                    <w:jc w:val="center"/>
                    <w:rPr>
                      <w:bCs/>
                      <w:szCs w:val="21"/>
                    </w:rPr>
                  </w:pP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车库冲 洗</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2升/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6027.04</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4</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3.01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4.52</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restart"/>
                  <w:noWrap w:val="0"/>
                  <w:vAlign w:val="top"/>
                </w:tcPr>
                <w:p>
                  <w:pPr>
                    <w:spacing w:line="300" w:lineRule="exact"/>
                    <w:jc w:val="center"/>
                    <w:rPr>
                      <w:bCs/>
                      <w:szCs w:val="21"/>
                    </w:rPr>
                  </w:pPr>
                  <w:r>
                    <w:rPr>
                      <w:rFonts w:hint="eastAsia" w:ascii="微软雅黑" w:hAnsi="微软雅黑" w:eastAsia="微软雅黑" w:cs="微软雅黑"/>
                      <w:bCs/>
                      <w:szCs w:val="21"/>
                    </w:rPr>
                    <w:t>10#</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9126.54</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4.56</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6.85</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54.76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vMerge w:val="continue"/>
                  <w:noWrap w:val="0"/>
                  <w:vAlign w:val="top"/>
                </w:tcPr>
                <w:p>
                  <w:pPr>
                    <w:spacing w:line="300" w:lineRule="exact"/>
                    <w:jc w:val="center"/>
                    <w:rPr>
                      <w:bCs/>
                      <w:szCs w:val="21"/>
                    </w:rPr>
                  </w:pP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车库冲 洗</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2升/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2549.83</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4</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1.28</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1.92 </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noWrap w:val="0"/>
                  <w:vAlign w:val="top"/>
                </w:tcPr>
                <w:p>
                  <w:pPr>
                    <w:spacing w:line="300" w:lineRule="exact"/>
                    <w:jc w:val="center"/>
                    <w:rPr>
                      <w:bCs/>
                      <w:szCs w:val="21"/>
                    </w:rPr>
                  </w:pPr>
                  <w:r>
                    <w:rPr>
                      <w:rFonts w:hint="eastAsia" w:ascii="微软雅黑" w:hAnsi="微软雅黑" w:eastAsia="微软雅黑" w:cs="微软雅黑"/>
                      <w:bCs/>
                      <w:szCs w:val="21"/>
                    </w:rPr>
                    <w:t>11#</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1706.63</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0.85</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1.28</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办公</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40升/ 人·班</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104</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8</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0.52</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0.78</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noWrap w:val="0"/>
                  <w:vAlign w:val="top"/>
                </w:tcPr>
                <w:p>
                  <w:pPr>
                    <w:spacing w:line="300" w:lineRule="exact"/>
                    <w:jc w:val="center"/>
                    <w:rPr>
                      <w:bCs/>
                      <w:szCs w:val="21"/>
                    </w:rPr>
                  </w:pPr>
                  <w:r>
                    <w:rPr>
                      <w:rFonts w:hint="eastAsia" w:ascii="微软雅黑" w:hAnsi="微软雅黑" w:eastAsia="微软雅黑" w:cs="微软雅黑"/>
                      <w:bCs/>
                      <w:szCs w:val="21"/>
                    </w:rPr>
                    <w:t>13#</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办公</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40升/ 人·班</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77</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8</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0.39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0.58</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noWrap w:val="0"/>
                  <w:vAlign w:val="top"/>
                </w:tcPr>
                <w:p>
                  <w:pPr>
                    <w:spacing w:line="300" w:lineRule="exact"/>
                    <w:jc w:val="center"/>
                    <w:rPr>
                      <w:bCs/>
                      <w:szCs w:val="21"/>
                    </w:rPr>
                  </w:pPr>
                  <w:r>
                    <w:rPr>
                      <w:rFonts w:hint="eastAsia" w:ascii="微软雅黑" w:hAnsi="微软雅黑" w:eastAsia="微软雅黑" w:cs="微软雅黑"/>
                      <w:bCs/>
                      <w:szCs w:val="21"/>
                    </w:rPr>
                    <w:t>14#</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1697.15</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0.85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1.27 </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10.18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jc w:val="center"/>
              </w:trPr>
              <w:tc>
                <w:tcPr>
                  <w:tcW w:w="754"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692" w:type="dxa"/>
                  <w:noWrap w:val="0"/>
                  <w:vAlign w:val="top"/>
                </w:tcPr>
                <w:p>
                  <w:pPr>
                    <w:spacing w:line="300" w:lineRule="exact"/>
                    <w:jc w:val="center"/>
                    <w:rPr>
                      <w:bCs/>
                      <w:szCs w:val="21"/>
                    </w:rPr>
                  </w:pPr>
                  <w:r>
                    <w:rPr>
                      <w:rFonts w:hint="eastAsia" w:ascii="微软雅黑" w:hAnsi="微软雅黑" w:eastAsia="微软雅黑" w:cs="微软雅黑"/>
                      <w:bCs/>
                      <w:szCs w:val="21"/>
                    </w:rPr>
                    <w:t>商业</w:t>
                  </w:r>
                </w:p>
              </w:tc>
              <w:tc>
                <w:tcPr>
                  <w:tcW w:w="1191" w:type="dxa"/>
                  <w:noWrap w:val="0"/>
                  <w:vAlign w:val="top"/>
                </w:tcPr>
                <w:p>
                  <w:pPr>
                    <w:spacing w:line="300" w:lineRule="exact"/>
                    <w:jc w:val="center"/>
                    <w:rPr>
                      <w:bCs/>
                      <w:szCs w:val="21"/>
                    </w:rPr>
                  </w:pPr>
                  <w:r>
                    <w:rPr>
                      <w:rFonts w:hint="eastAsia" w:ascii="微软雅黑" w:hAnsi="微软雅黑" w:eastAsia="微软雅黑" w:cs="微软雅黑"/>
                      <w:bCs/>
                      <w:szCs w:val="21"/>
                    </w:rPr>
                    <w:t>6升/ m</w:t>
                  </w:r>
                  <w:r>
                    <w:rPr>
                      <w:rFonts w:hint="eastAsia" w:ascii="微软雅黑" w:hAnsi="微软雅黑" w:eastAsia="微软雅黑" w:cs="微软雅黑"/>
                      <w:bCs/>
                      <w:szCs w:val="21"/>
                      <w:vertAlign w:val="superscript"/>
                    </w:rPr>
                    <w:t>2</w:t>
                  </w:r>
                  <w:r>
                    <w:rPr>
                      <w:rFonts w:hint="eastAsia" w:ascii="微软雅黑" w:hAnsi="微软雅黑" w:eastAsia="微软雅黑" w:cs="微软雅黑"/>
                      <w:bCs/>
                      <w:szCs w:val="21"/>
                    </w:rPr>
                    <w:t>·天</w:t>
                  </w:r>
                </w:p>
              </w:tc>
              <w:tc>
                <w:tcPr>
                  <w:tcW w:w="1129" w:type="dxa"/>
                  <w:noWrap w:val="0"/>
                  <w:vAlign w:val="top"/>
                </w:tcPr>
                <w:p>
                  <w:pPr>
                    <w:spacing w:line="300" w:lineRule="exact"/>
                    <w:jc w:val="center"/>
                    <w:rPr>
                      <w:bCs/>
                      <w:szCs w:val="21"/>
                    </w:rPr>
                  </w:pPr>
                  <w:r>
                    <w:rPr>
                      <w:rFonts w:hint="eastAsia" w:ascii="微软雅黑" w:hAnsi="微软雅黑" w:eastAsia="微软雅黑" w:cs="微软雅黑"/>
                      <w:bCs/>
                      <w:szCs w:val="21"/>
                    </w:rPr>
                    <w:t>789.9</w:t>
                  </w:r>
                </w:p>
              </w:tc>
              <w:tc>
                <w:tcPr>
                  <w:tcW w:w="614" w:type="dxa"/>
                  <w:noWrap w:val="0"/>
                  <w:vAlign w:val="top"/>
                </w:tcPr>
                <w:p>
                  <w:pPr>
                    <w:spacing w:line="300" w:lineRule="exact"/>
                    <w:jc w:val="center"/>
                    <w:rPr>
                      <w:bCs/>
                      <w:szCs w:val="21"/>
                    </w:rPr>
                  </w:pPr>
                  <w:r>
                    <w:rPr>
                      <w:rFonts w:hint="eastAsia" w:ascii="微软雅黑" w:hAnsi="微软雅黑" w:eastAsia="微软雅黑" w:cs="微软雅黑"/>
                      <w:bCs/>
                      <w:szCs w:val="21"/>
                    </w:rPr>
                    <w:t>12</w:t>
                  </w:r>
                </w:p>
              </w:tc>
              <w:tc>
                <w:tcPr>
                  <w:tcW w:w="752" w:type="dxa"/>
                  <w:noWrap w:val="0"/>
                  <w:vAlign w:val="top"/>
                </w:tcPr>
                <w:p>
                  <w:pPr>
                    <w:spacing w:line="300" w:lineRule="exact"/>
                    <w:jc w:val="center"/>
                    <w:rPr>
                      <w:bCs/>
                      <w:szCs w:val="21"/>
                    </w:rPr>
                  </w:pPr>
                  <w:r>
                    <w:rPr>
                      <w:rFonts w:hint="eastAsia" w:ascii="微软雅黑" w:hAnsi="微软雅黑" w:eastAsia="微软雅黑" w:cs="微软雅黑"/>
                      <w:bCs/>
                      <w:szCs w:val="21"/>
                    </w:rPr>
                    <w:t>1.5</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0.39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0.59</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5132" w:type="dxa"/>
                  <w:gridSpan w:val="6"/>
                  <w:noWrap w:val="0"/>
                  <w:vAlign w:val="top"/>
                </w:tcPr>
                <w:p>
                  <w:pPr>
                    <w:spacing w:line="300" w:lineRule="exact"/>
                    <w:jc w:val="center"/>
                    <w:rPr>
                      <w:bCs/>
                      <w:szCs w:val="21"/>
                    </w:rPr>
                  </w:pPr>
                  <w:r>
                    <w:rPr>
                      <w:rFonts w:hint="eastAsia" w:ascii="微软雅黑" w:hAnsi="微软雅黑" w:eastAsia="微软雅黑" w:cs="微软雅黑"/>
                      <w:bCs/>
                      <w:szCs w:val="21"/>
                    </w:rPr>
                    <w:t>未预见水量(按10%计)</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2.75 </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4.25</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28.27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29" w:hRule="atLeast"/>
                <w:jc w:val="center"/>
              </w:trPr>
              <w:tc>
                <w:tcPr>
                  <w:tcW w:w="5132" w:type="dxa"/>
                  <w:gridSpan w:val="6"/>
                  <w:noWrap w:val="0"/>
                  <w:vAlign w:val="top"/>
                </w:tcPr>
                <w:p>
                  <w:pPr>
                    <w:spacing w:line="300" w:lineRule="exact"/>
                    <w:jc w:val="center"/>
                    <w:rPr>
                      <w:bCs/>
                      <w:szCs w:val="21"/>
                    </w:rPr>
                  </w:pPr>
                  <w:r>
                    <w:rPr>
                      <w:rFonts w:hint="eastAsia" w:ascii="微软雅黑" w:hAnsi="微软雅黑" w:eastAsia="微软雅黑" w:cs="微软雅黑"/>
                      <w:bCs/>
                      <w:szCs w:val="21"/>
                    </w:rPr>
                    <w:t>总计</w:t>
                  </w:r>
                </w:p>
              </w:tc>
              <w:tc>
                <w:tcPr>
                  <w:tcW w:w="1057" w:type="dxa"/>
                  <w:noWrap w:val="0"/>
                  <w:vAlign w:val="top"/>
                </w:tcPr>
                <w:p>
                  <w:pPr>
                    <w:spacing w:line="300" w:lineRule="exact"/>
                    <w:jc w:val="center"/>
                    <w:rPr>
                      <w:bCs/>
                      <w:szCs w:val="21"/>
                    </w:rPr>
                  </w:pPr>
                  <w:r>
                    <w:rPr>
                      <w:rFonts w:hint="eastAsia" w:ascii="微软雅黑" w:hAnsi="微软雅黑" w:eastAsia="微软雅黑" w:cs="微软雅黑"/>
                      <w:bCs/>
                      <w:szCs w:val="21"/>
                    </w:rPr>
                    <w:t>3.03</w:t>
                  </w:r>
                </w:p>
              </w:tc>
              <w:tc>
                <w:tcPr>
                  <w:tcW w:w="855"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46.75 </w:t>
                  </w:r>
                </w:p>
              </w:tc>
              <w:tc>
                <w:tcPr>
                  <w:tcW w:w="1371" w:type="dxa"/>
                  <w:noWrap w:val="0"/>
                  <w:vAlign w:val="top"/>
                </w:tcPr>
                <w:p>
                  <w:pPr>
                    <w:spacing w:line="300" w:lineRule="exact"/>
                    <w:jc w:val="center"/>
                    <w:rPr>
                      <w:bCs/>
                      <w:szCs w:val="21"/>
                    </w:rPr>
                  </w:pPr>
                  <w:r>
                    <w:rPr>
                      <w:rFonts w:hint="eastAsia" w:ascii="微软雅黑" w:hAnsi="微软雅黑" w:eastAsia="微软雅黑" w:cs="微软雅黑"/>
                      <w:bCs/>
                      <w:szCs w:val="21"/>
                    </w:rPr>
                    <w:t xml:space="preserve">310.92 </w:t>
                  </w:r>
                </w:p>
              </w:tc>
            </w:tr>
          </w:tbl>
          <w:p>
            <w:pPr>
              <w:pStyle w:val="71"/>
              <w:spacing w:before="0" w:beforeLines="0" w:line="360" w:lineRule="auto"/>
              <w:rPr>
                <w:rFonts w:hAnsi="宋体"/>
                <w:bCs/>
                <w:color w:val="FF0000"/>
                <w:szCs w:val="24"/>
                <w:lang w:val="zh-CN"/>
              </w:rPr>
            </w:pPr>
          </w:p>
          <w:p>
            <w:pPr>
              <w:pStyle w:val="71"/>
              <w:spacing w:before="0" w:beforeLines="0" w:line="360" w:lineRule="auto"/>
              <w:rPr>
                <w:rFonts w:eastAsia="新宋体"/>
                <w:bCs/>
                <w:color w:val="auto"/>
              </w:rPr>
            </w:pPr>
            <w:r>
              <w:rPr>
                <w:rFonts w:hint="eastAsia"/>
                <w:color w:val="auto"/>
              </w:rPr>
              <w:t>项目</w:t>
            </w:r>
            <w:r>
              <w:rPr>
                <w:color w:val="auto"/>
              </w:rPr>
              <w:t>最高日</w:t>
            </w:r>
            <w:r>
              <w:rPr>
                <w:rFonts w:hint="eastAsia"/>
                <w:color w:val="auto"/>
              </w:rPr>
              <w:t>冷水</w:t>
            </w:r>
            <w:r>
              <w:rPr>
                <w:color w:val="auto"/>
              </w:rPr>
              <w:t>用水量为</w:t>
            </w:r>
            <w:r>
              <w:rPr>
                <w:rFonts w:hint="eastAsia"/>
                <w:color w:val="auto"/>
              </w:rPr>
              <w:t>310.92</w:t>
            </w:r>
            <w:r>
              <w:rPr>
                <w:color w:val="auto"/>
              </w:rPr>
              <w:t>m</w:t>
            </w:r>
            <w:r>
              <w:rPr>
                <w:color w:val="auto"/>
                <w:vertAlign w:val="superscript"/>
              </w:rPr>
              <w:t>3</w:t>
            </w:r>
            <w:r>
              <w:rPr>
                <w:color w:val="auto"/>
              </w:rPr>
              <w:t>/d，最大时</w:t>
            </w:r>
            <w:r>
              <w:rPr>
                <w:rFonts w:hint="eastAsia"/>
                <w:color w:val="auto"/>
              </w:rPr>
              <w:t>冷水</w:t>
            </w:r>
            <w:r>
              <w:rPr>
                <w:color w:val="auto"/>
              </w:rPr>
              <w:t>用水量为</w:t>
            </w:r>
            <w:r>
              <w:rPr>
                <w:rFonts w:hint="eastAsia"/>
                <w:color w:val="auto"/>
              </w:rPr>
              <w:t>46.75</w:t>
            </w:r>
            <w:r>
              <w:rPr>
                <w:color w:val="auto"/>
              </w:rPr>
              <w:t>m</w:t>
            </w:r>
            <w:r>
              <w:rPr>
                <w:color w:val="auto"/>
                <w:vertAlign w:val="superscript"/>
              </w:rPr>
              <w:t>3</w:t>
            </w:r>
            <w:r>
              <w:rPr>
                <w:color w:val="auto"/>
              </w:rPr>
              <w:t>/h。</w:t>
            </w:r>
            <w:r>
              <w:rPr>
                <w:rFonts w:eastAsia="新宋体"/>
                <w:bCs/>
                <w:color w:val="auto"/>
              </w:rPr>
              <w:t>废水产生量按经验系数80%计算，废水产生量约为248.74m</w:t>
            </w:r>
            <w:r>
              <w:rPr>
                <w:rFonts w:eastAsia="新宋体"/>
                <w:bCs/>
                <w:color w:val="auto"/>
                <w:vertAlign w:val="superscript"/>
              </w:rPr>
              <w:t>3</w:t>
            </w:r>
            <w:r>
              <w:rPr>
                <w:rFonts w:eastAsia="新宋体"/>
                <w:bCs/>
                <w:color w:val="auto"/>
              </w:rPr>
              <w:t>/d，90790m</w:t>
            </w:r>
            <w:r>
              <w:rPr>
                <w:rFonts w:eastAsia="新宋体"/>
                <w:bCs/>
                <w:color w:val="auto"/>
                <w:vertAlign w:val="superscript"/>
              </w:rPr>
              <w:t>3</w:t>
            </w:r>
            <w:r>
              <w:rPr>
                <w:rFonts w:eastAsia="新宋体"/>
                <w:bCs/>
                <w:color w:val="auto"/>
              </w:rPr>
              <w:t>/a。</w:t>
            </w:r>
          </w:p>
          <w:p>
            <w:pPr>
              <w:pStyle w:val="71"/>
              <w:spacing w:before="0" w:beforeLines="0" w:line="360" w:lineRule="auto"/>
              <w:rPr>
                <w:rFonts w:eastAsia="新宋体"/>
                <w:bCs/>
                <w:color w:val="auto"/>
              </w:rPr>
            </w:pPr>
            <w:r>
              <w:rPr>
                <w:rFonts w:hint="eastAsia" w:eastAsia="新宋体"/>
                <w:bCs/>
                <w:color w:val="auto"/>
              </w:rPr>
              <w:t>（</w:t>
            </w:r>
            <w:r>
              <w:rPr>
                <w:rFonts w:eastAsia="新宋体"/>
                <w:bCs/>
                <w:color w:val="auto"/>
              </w:rPr>
              <w:t>2</w:t>
            </w:r>
            <w:r>
              <w:rPr>
                <w:rFonts w:hint="eastAsia" w:eastAsia="新宋体"/>
                <w:bCs/>
                <w:color w:val="auto"/>
              </w:rPr>
              <w:t>）热水用水量计算</w:t>
            </w:r>
          </w:p>
          <w:p>
            <w:pPr>
              <w:pStyle w:val="71"/>
              <w:spacing w:before="0" w:beforeLines="0" w:line="360" w:lineRule="auto"/>
              <w:rPr>
                <w:color w:val="auto"/>
              </w:rPr>
            </w:pPr>
            <w:r>
              <w:rPr>
                <w:rFonts w:hint="eastAsia"/>
                <w:color w:val="auto"/>
              </w:rPr>
              <w:t>热水供水系统采用集中热水供应方式，太阳能集热板、空气源热泵和储承压保温水箱布置在屋面上，热水由屋顶承压保温水箱提供，机械全循环热水系统的方式供热水，供水方式上行下给。热水回水管末端采用温度控制阀控制回水流量，回水管最终回至承压保温水箱，以保证热水供应及时、可靠。</w:t>
            </w:r>
          </w:p>
          <w:p>
            <w:pPr>
              <w:pStyle w:val="71"/>
              <w:spacing w:before="0" w:beforeLines="0" w:line="360" w:lineRule="auto"/>
              <w:rPr>
                <w:rFonts w:hint="eastAsia" w:eastAsia="新宋体"/>
                <w:bCs/>
                <w:color w:val="auto"/>
              </w:rPr>
            </w:pPr>
            <w:r>
              <w:rPr>
                <w:rFonts w:hint="eastAsia"/>
                <w:color w:val="auto"/>
              </w:rPr>
              <w:t>热水主要供应1#-</w:t>
            </w:r>
            <w:r>
              <w:rPr>
                <w:color w:val="auto"/>
              </w:rPr>
              <w:t>4</w:t>
            </w:r>
            <w:r>
              <w:rPr>
                <w:rFonts w:hint="eastAsia"/>
                <w:color w:val="auto"/>
              </w:rPr>
              <w:t>#住宅楼。</w:t>
            </w:r>
          </w:p>
          <w:p>
            <w:pPr>
              <w:ind w:firstLine="560"/>
              <w:jc w:val="center"/>
            </w:pPr>
          </w:p>
          <w:p>
            <w:pPr>
              <w:ind w:firstLine="560"/>
              <w:jc w:val="center"/>
            </w:pPr>
          </w:p>
          <w:p>
            <w:pPr>
              <w:ind w:firstLine="560"/>
              <w:jc w:val="center"/>
            </w:pPr>
          </w:p>
          <w:p>
            <w:pPr>
              <w:ind w:firstLine="560"/>
              <w:jc w:val="center"/>
            </w:pPr>
          </w:p>
          <w:p>
            <w:pPr>
              <w:ind w:firstLine="560"/>
              <w:jc w:val="center"/>
            </w:pPr>
          </w:p>
          <w:p>
            <w:pPr>
              <w:ind w:firstLine="560"/>
              <w:jc w:val="center"/>
            </w:pPr>
          </w:p>
          <w:p>
            <w:pPr>
              <w:ind w:firstLine="560"/>
              <w:jc w:val="center"/>
            </w:pPr>
          </w:p>
          <w:p>
            <w:pPr>
              <w:ind w:firstLine="560"/>
              <w:jc w:val="center"/>
            </w:pPr>
          </w:p>
          <w:p>
            <w:pPr>
              <w:ind w:firstLine="560"/>
              <w:jc w:val="center"/>
            </w:pPr>
          </w:p>
          <w:p>
            <w:pPr>
              <w:ind w:firstLine="560"/>
              <w:jc w:val="center"/>
            </w:pPr>
          </w:p>
          <w:p>
            <w:pPr>
              <w:ind w:firstLine="560"/>
              <w:jc w:val="center"/>
            </w:pPr>
          </w:p>
          <w:p>
            <w:pPr>
              <w:ind w:firstLine="560"/>
              <w:jc w:val="center"/>
            </w:pPr>
          </w:p>
          <w:p>
            <w:pPr>
              <w:ind w:firstLine="560"/>
              <w:jc w:val="center"/>
              <w:rPr>
                <w:rFonts w:hint="eastAsia"/>
              </w:rPr>
            </w:pPr>
          </w:p>
          <w:p>
            <w:pPr>
              <w:ind w:firstLine="560"/>
              <w:jc w:val="center"/>
            </w:pPr>
            <w:r>
              <w:rPr>
                <w:rFonts w:hint="eastAsia"/>
              </w:rPr>
              <w:t xml:space="preserve">表 </w:t>
            </w:r>
            <w:r>
              <w:t>5</w:t>
            </w:r>
            <w:r>
              <w:rPr>
                <w:rFonts w:hint="eastAsia"/>
              </w:rPr>
              <w:noBreakHyphen/>
            </w:r>
            <w:r>
              <w:t>5</w:t>
            </w:r>
            <w:r>
              <w:rPr>
                <w:rFonts w:hint="eastAsia"/>
              </w:rPr>
              <w:t>热水用水量计算表</w:t>
            </w:r>
          </w:p>
          <w:p>
            <w:pPr>
              <w:ind w:firstLine="560"/>
              <w:jc w:val="center"/>
            </w:pPr>
          </w:p>
          <w:tbl>
            <w:tblPr>
              <w:tblStyle w:val="35"/>
              <w:tblpPr w:leftFromText="180" w:rightFromText="180" w:vertAnchor="text" w:horzAnchor="margin" w:tblpY="-222"/>
              <w:tblOverlap w:val="never"/>
              <w:tblW w:w="0" w:type="auto"/>
              <w:tblInd w:w="0" w:type="dxa"/>
              <w:tblLayout w:type="fixed"/>
              <w:tblCellMar>
                <w:top w:w="0" w:type="dxa"/>
                <w:left w:w="0" w:type="dxa"/>
                <w:bottom w:w="0" w:type="dxa"/>
                <w:right w:w="0" w:type="dxa"/>
              </w:tblCellMar>
            </w:tblPr>
            <w:tblGrid>
              <w:gridCol w:w="704"/>
              <w:gridCol w:w="1275"/>
              <w:gridCol w:w="1032"/>
              <w:gridCol w:w="1068"/>
              <w:gridCol w:w="882"/>
              <w:gridCol w:w="1406"/>
              <w:gridCol w:w="1031"/>
              <w:gridCol w:w="1106"/>
            </w:tblGrid>
            <w:tr>
              <w:tblPrEx>
                <w:tblCellMar>
                  <w:top w:w="0" w:type="dxa"/>
                  <w:left w:w="0" w:type="dxa"/>
                  <w:bottom w:w="0" w:type="dxa"/>
                  <w:right w:w="0" w:type="dxa"/>
                </w:tblCellMar>
              </w:tblPrEx>
              <w:trPr>
                <w:wBefore w:w="0" w:type="dxa"/>
                <w:trHeight w:val="1208" w:hRule="atLeast"/>
              </w:trPr>
              <w:tc>
                <w:tcPr>
                  <w:tcW w:w="704"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名称</w:t>
                  </w:r>
                </w:p>
              </w:tc>
              <w:tc>
                <w:tcPr>
                  <w:tcW w:w="127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用水量标准</w:t>
                  </w:r>
                </w:p>
              </w:tc>
              <w:tc>
                <w:tcPr>
                  <w:tcW w:w="103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数量</w:t>
                  </w:r>
                </w:p>
              </w:tc>
              <w:tc>
                <w:tcPr>
                  <w:tcW w:w="1068"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使用时间h</w:t>
                  </w:r>
                </w:p>
              </w:tc>
              <w:tc>
                <w:tcPr>
                  <w:tcW w:w="88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时变化系数 Kh</w:t>
                  </w:r>
                </w:p>
              </w:tc>
              <w:tc>
                <w:tcPr>
                  <w:tcW w:w="1406"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平均时 (m</w:t>
                  </w:r>
                  <w:r>
                    <w:rPr>
                      <w:rFonts w:hint="eastAsia" w:ascii="微软雅黑" w:hAnsi="微软雅黑" w:eastAsia="微软雅黑" w:cs="微软雅黑"/>
                      <w:bCs/>
                      <w:szCs w:val="21"/>
                      <w:vertAlign w:val="superscript"/>
                    </w:rPr>
                    <w:t>3</w:t>
                  </w:r>
                  <w:r>
                    <w:rPr>
                      <w:rFonts w:hint="eastAsia" w:ascii="微软雅黑" w:hAnsi="微软雅黑" w:eastAsia="微软雅黑" w:cs="微软雅黑"/>
                      <w:bCs/>
                      <w:szCs w:val="21"/>
                    </w:rPr>
                    <w:t>/h)</w:t>
                  </w:r>
                </w:p>
              </w:tc>
              <w:tc>
                <w:tcPr>
                  <w:tcW w:w="1031"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最大时(m</w:t>
                  </w:r>
                  <w:r>
                    <w:rPr>
                      <w:rFonts w:hint="eastAsia" w:ascii="微软雅黑" w:hAnsi="微软雅黑" w:eastAsia="微软雅黑" w:cs="微软雅黑"/>
                      <w:bCs/>
                      <w:szCs w:val="21"/>
                      <w:vertAlign w:val="superscript"/>
                    </w:rPr>
                    <w:t>3</w:t>
                  </w:r>
                  <w:r>
                    <w:rPr>
                      <w:rFonts w:hint="eastAsia" w:ascii="微软雅黑" w:hAnsi="微软雅黑" w:eastAsia="微软雅黑" w:cs="微软雅黑"/>
                      <w:bCs/>
                      <w:szCs w:val="21"/>
                    </w:rPr>
                    <w:t>/h)</w:t>
                  </w:r>
                </w:p>
              </w:tc>
              <w:tc>
                <w:tcPr>
                  <w:tcW w:w="1106"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最高日用水量(m</w:t>
                  </w:r>
                  <w:r>
                    <w:rPr>
                      <w:rFonts w:hint="eastAsia" w:ascii="微软雅黑" w:hAnsi="微软雅黑" w:eastAsia="微软雅黑" w:cs="微软雅黑"/>
                      <w:bCs/>
                      <w:szCs w:val="21"/>
                      <w:vertAlign w:val="superscript"/>
                    </w:rPr>
                    <w:t>3</w:t>
                  </w:r>
                  <w:r>
                    <w:rPr>
                      <w:rFonts w:hint="eastAsia" w:ascii="微软雅黑" w:hAnsi="微软雅黑" w:eastAsia="微软雅黑" w:cs="微软雅黑"/>
                      <w:bCs/>
                      <w:szCs w:val="21"/>
                    </w:rPr>
                    <w:t>/d)</w:t>
                  </w:r>
                </w:p>
              </w:tc>
            </w:tr>
            <w:tr>
              <w:tblPrEx>
                <w:tblCellMar>
                  <w:top w:w="0" w:type="dxa"/>
                  <w:left w:w="0" w:type="dxa"/>
                  <w:bottom w:w="0" w:type="dxa"/>
                  <w:right w:w="0" w:type="dxa"/>
                </w:tblCellMar>
              </w:tblPrEx>
              <w:trPr>
                <w:wBefore w:w="0" w:type="dxa"/>
                <w:trHeight w:val="330" w:hRule="atLeast"/>
              </w:trPr>
              <w:tc>
                <w:tcPr>
                  <w:tcW w:w="70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ascii="微软雅黑" w:hAnsi="微软雅黑" w:eastAsia="微软雅黑" w:cs="微软雅黑"/>
                      <w:bCs/>
                      <w:szCs w:val="21"/>
                    </w:rPr>
                    <w:t>1</w:t>
                  </w:r>
                  <w:r>
                    <w:rPr>
                      <w:rFonts w:hint="eastAsia" w:ascii="微软雅黑" w:hAnsi="微软雅黑" w:eastAsia="微软雅黑" w:cs="微软雅黑"/>
                      <w:bCs/>
                      <w:szCs w:val="21"/>
                    </w:rPr>
                    <w:t>#</w:t>
                  </w:r>
                </w:p>
              </w:tc>
              <w:tc>
                <w:tcPr>
                  <w:tcW w:w="1275"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60升/人·天</w:t>
                  </w:r>
                </w:p>
              </w:tc>
              <w:tc>
                <w:tcPr>
                  <w:tcW w:w="1032"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32</w:t>
                  </w:r>
                </w:p>
              </w:tc>
              <w:tc>
                <w:tcPr>
                  <w:tcW w:w="1068"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24</w:t>
                  </w:r>
                </w:p>
              </w:tc>
              <w:tc>
                <w:tcPr>
                  <w:tcW w:w="88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2.5</w:t>
                  </w:r>
                </w:p>
              </w:tc>
              <w:tc>
                <w:tcPr>
                  <w:tcW w:w="1406"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0.08</w:t>
                  </w:r>
                </w:p>
              </w:tc>
              <w:tc>
                <w:tcPr>
                  <w:tcW w:w="1031"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0.2</w:t>
                  </w:r>
                </w:p>
              </w:tc>
              <w:tc>
                <w:tcPr>
                  <w:tcW w:w="1106"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1.92</w:t>
                  </w:r>
                </w:p>
              </w:tc>
            </w:tr>
            <w:tr>
              <w:tblPrEx>
                <w:tblCellMar>
                  <w:top w:w="0" w:type="dxa"/>
                  <w:left w:w="0" w:type="dxa"/>
                  <w:bottom w:w="0" w:type="dxa"/>
                  <w:right w:w="0" w:type="dxa"/>
                </w:tblCellMar>
              </w:tblPrEx>
              <w:trPr>
                <w:wBefore w:w="0" w:type="dxa"/>
                <w:trHeight w:val="330" w:hRule="atLeast"/>
              </w:trPr>
              <w:tc>
                <w:tcPr>
                  <w:tcW w:w="70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2#</w:t>
                  </w:r>
                </w:p>
              </w:tc>
              <w:tc>
                <w:tcPr>
                  <w:tcW w:w="1275"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60升/人·天</w:t>
                  </w:r>
                </w:p>
              </w:tc>
              <w:tc>
                <w:tcPr>
                  <w:tcW w:w="1032"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96</w:t>
                  </w:r>
                </w:p>
              </w:tc>
              <w:tc>
                <w:tcPr>
                  <w:tcW w:w="1068"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24</w:t>
                  </w:r>
                </w:p>
              </w:tc>
              <w:tc>
                <w:tcPr>
                  <w:tcW w:w="882"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2.5</w:t>
                  </w:r>
                </w:p>
              </w:tc>
              <w:tc>
                <w:tcPr>
                  <w:tcW w:w="14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 xml:space="preserve">0.24 </w:t>
                  </w:r>
                </w:p>
              </w:tc>
              <w:tc>
                <w:tcPr>
                  <w:tcW w:w="1031"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0.6</w:t>
                  </w:r>
                </w:p>
              </w:tc>
              <w:tc>
                <w:tcPr>
                  <w:tcW w:w="11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5.76</w:t>
                  </w:r>
                </w:p>
              </w:tc>
            </w:tr>
            <w:tr>
              <w:tblPrEx>
                <w:tblCellMar>
                  <w:top w:w="0" w:type="dxa"/>
                  <w:left w:w="0" w:type="dxa"/>
                  <w:bottom w:w="0" w:type="dxa"/>
                  <w:right w:w="0" w:type="dxa"/>
                </w:tblCellMar>
              </w:tblPrEx>
              <w:trPr>
                <w:wBefore w:w="0" w:type="dxa"/>
                <w:trHeight w:val="330" w:hRule="atLeast"/>
              </w:trPr>
              <w:tc>
                <w:tcPr>
                  <w:tcW w:w="70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3#</w:t>
                  </w:r>
                </w:p>
              </w:tc>
              <w:tc>
                <w:tcPr>
                  <w:tcW w:w="1275"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60升/人·天</w:t>
                  </w:r>
                </w:p>
              </w:tc>
              <w:tc>
                <w:tcPr>
                  <w:tcW w:w="1032"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96</w:t>
                  </w:r>
                </w:p>
              </w:tc>
              <w:tc>
                <w:tcPr>
                  <w:tcW w:w="1068"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24</w:t>
                  </w:r>
                </w:p>
              </w:tc>
              <w:tc>
                <w:tcPr>
                  <w:tcW w:w="882"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2.5</w:t>
                  </w:r>
                </w:p>
              </w:tc>
              <w:tc>
                <w:tcPr>
                  <w:tcW w:w="14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 xml:space="preserve">0.24 </w:t>
                  </w:r>
                </w:p>
              </w:tc>
              <w:tc>
                <w:tcPr>
                  <w:tcW w:w="1031"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0.6</w:t>
                  </w:r>
                </w:p>
              </w:tc>
              <w:tc>
                <w:tcPr>
                  <w:tcW w:w="11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5.76</w:t>
                  </w:r>
                </w:p>
              </w:tc>
            </w:tr>
            <w:tr>
              <w:tblPrEx>
                <w:tblCellMar>
                  <w:top w:w="0" w:type="dxa"/>
                  <w:left w:w="0" w:type="dxa"/>
                  <w:bottom w:w="0" w:type="dxa"/>
                  <w:right w:w="0" w:type="dxa"/>
                </w:tblCellMar>
              </w:tblPrEx>
              <w:trPr>
                <w:wBefore w:w="0" w:type="dxa"/>
                <w:trHeight w:val="330" w:hRule="atLeast"/>
              </w:trPr>
              <w:tc>
                <w:tcPr>
                  <w:tcW w:w="70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4#</w:t>
                  </w:r>
                </w:p>
              </w:tc>
              <w:tc>
                <w:tcPr>
                  <w:tcW w:w="1275"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60升/人·天</w:t>
                  </w:r>
                </w:p>
              </w:tc>
              <w:tc>
                <w:tcPr>
                  <w:tcW w:w="1032"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64</w:t>
                  </w:r>
                </w:p>
              </w:tc>
              <w:tc>
                <w:tcPr>
                  <w:tcW w:w="1068"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24</w:t>
                  </w:r>
                </w:p>
              </w:tc>
              <w:tc>
                <w:tcPr>
                  <w:tcW w:w="882"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2.5</w:t>
                  </w:r>
                </w:p>
              </w:tc>
              <w:tc>
                <w:tcPr>
                  <w:tcW w:w="14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0.16</w:t>
                  </w:r>
                </w:p>
              </w:tc>
              <w:tc>
                <w:tcPr>
                  <w:tcW w:w="1031"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0.4</w:t>
                  </w:r>
                </w:p>
              </w:tc>
              <w:tc>
                <w:tcPr>
                  <w:tcW w:w="11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3.84</w:t>
                  </w:r>
                </w:p>
              </w:tc>
            </w:tr>
            <w:tr>
              <w:tblPrEx>
                <w:tblCellMar>
                  <w:top w:w="0" w:type="dxa"/>
                  <w:left w:w="0" w:type="dxa"/>
                  <w:bottom w:w="0" w:type="dxa"/>
                  <w:right w:w="0" w:type="dxa"/>
                </w:tblCellMar>
              </w:tblPrEx>
              <w:trPr>
                <w:wBefore w:w="0" w:type="dxa"/>
                <w:trHeight w:val="300" w:hRule="atLeast"/>
              </w:trPr>
              <w:tc>
                <w:tcPr>
                  <w:tcW w:w="4961" w:type="dxa"/>
                  <w:gridSpan w:val="5"/>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未预见水量(按10%计)</w:t>
                  </w:r>
                </w:p>
              </w:tc>
              <w:tc>
                <w:tcPr>
                  <w:tcW w:w="14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 xml:space="preserve">0.07 </w:t>
                  </w:r>
                </w:p>
              </w:tc>
              <w:tc>
                <w:tcPr>
                  <w:tcW w:w="1031"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 xml:space="preserve">0.18 </w:t>
                  </w:r>
                </w:p>
              </w:tc>
              <w:tc>
                <w:tcPr>
                  <w:tcW w:w="11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1.73</w:t>
                  </w:r>
                </w:p>
              </w:tc>
            </w:tr>
            <w:tr>
              <w:tblPrEx>
                <w:tblCellMar>
                  <w:top w:w="0" w:type="dxa"/>
                  <w:left w:w="0" w:type="dxa"/>
                  <w:bottom w:w="0" w:type="dxa"/>
                  <w:right w:w="0" w:type="dxa"/>
                </w:tblCellMar>
              </w:tblPrEx>
              <w:trPr>
                <w:wBefore w:w="0" w:type="dxa"/>
                <w:trHeight w:val="300" w:hRule="atLeast"/>
              </w:trPr>
              <w:tc>
                <w:tcPr>
                  <w:tcW w:w="4961" w:type="dxa"/>
                  <w:gridSpan w:val="5"/>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总计</w:t>
                  </w:r>
                </w:p>
              </w:tc>
              <w:tc>
                <w:tcPr>
                  <w:tcW w:w="14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0.79</w:t>
                  </w:r>
                </w:p>
              </w:tc>
              <w:tc>
                <w:tcPr>
                  <w:tcW w:w="1031"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3.24</w:t>
                  </w:r>
                </w:p>
              </w:tc>
              <w:tc>
                <w:tcPr>
                  <w:tcW w:w="1106" w:type="dxa"/>
                  <w:tcBorders>
                    <w:top w:val="nil"/>
                    <w:left w:val="nil"/>
                    <w:bottom w:val="single" w:color="000000" w:sz="8" w:space="0"/>
                    <w:right w:val="single" w:color="000000" w:sz="8" w:space="0"/>
                  </w:tcBorders>
                  <w:noWrap w:val="0"/>
                  <w:tcMar>
                    <w:top w:w="15" w:type="dxa"/>
                    <w:left w:w="15" w:type="dxa"/>
                    <w:right w:w="15" w:type="dxa"/>
                  </w:tcMar>
                  <w:vAlign w:val="center"/>
                </w:tcPr>
                <w:p>
                  <w:pPr>
                    <w:spacing w:line="300" w:lineRule="exact"/>
                    <w:jc w:val="center"/>
                    <w:rPr>
                      <w:bCs/>
                      <w:szCs w:val="21"/>
                    </w:rPr>
                  </w:pPr>
                  <w:r>
                    <w:rPr>
                      <w:rFonts w:hint="eastAsia" w:ascii="微软雅黑" w:hAnsi="微软雅黑" w:eastAsia="微软雅黑" w:cs="微软雅黑"/>
                      <w:bCs/>
                      <w:szCs w:val="21"/>
                    </w:rPr>
                    <w:t xml:space="preserve">19.00 </w:t>
                  </w:r>
                </w:p>
              </w:tc>
            </w:tr>
          </w:tbl>
          <w:p>
            <w:pPr>
              <w:pStyle w:val="71"/>
              <w:spacing w:before="0" w:beforeLines="0" w:line="360" w:lineRule="auto"/>
              <w:rPr>
                <w:color w:val="auto"/>
              </w:rPr>
            </w:pPr>
            <w:r>
              <w:rPr>
                <w:rFonts w:hint="eastAsia"/>
                <w:color w:val="auto"/>
              </w:rPr>
              <w:t>最高日热水用水量为19.0m</w:t>
            </w:r>
            <w:r>
              <w:rPr>
                <w:rFonts w:hint="eastAsia"/>
                <w:color w:val="auto"/>
                <w:vertAlign w:val="superscript"/>
              </w:rPr>
              <w:t>3</w:t>
            </w:r>
            <w:r>
              <w:rPr>
                <w:rFonts w:hint="eastAsia"/>
                <w:color w:val="auto"/>
              </w:rPr>
              <w:t>/d，最大时用水量为3.24m</w:t>
            </w:r>
            <w:r>
              <w:rPr>
                <w:rFonts w:hint="eastAsia"/>
                <w:color w:val="auto"/>
                <w:vertAlign w:val="superscript"/>
              </w:rPr>
              <w:t>3</w:t>
            </w:r>
            <w:r>
              <w:rPr>
                <w:rFonts w:hint="eastAsia"/>
                <w:color w:val="auto"/>
              </w:rPr>
              <w:t>/h。</w:t>
            </w:r>
            <w:r>
              <w:rPr>
                <w:rFonts w:eastAsia="新宋体"/>
                <w:bCs/>
                <w:color w:val="auto"/>
              </w:rPr>
              <w:t>废水产生量按经验系数80%计算，废水产生量约为15.2m</w:t>
            </w:r>
            <w:r>
              <w:rPr>
                <w:rFonts w:eastAsia="新宋体"/>
                <w:bCs/>
                <w:color w:val="auto"/>
                <w:vertAlign w:val="superscript"/>
              </w:rPr>
              <w:t>3</w:t>
            </w:r>
            <w:r>
              <w:rPr>
                <w:rFonts w:eastAsia="新宋体"/>
                <w:bCs/>
                <w:color w:val="auto"/>
              </w:rPr>
              <w:t>/d，5548m</w:t>
            </w:r>
            <w:r>
              <w:rPr>
                <w:rFonts w:eastAsia="新宋体"/>
                <w:bCs/>
                <w:color w:val="auto"/>
                <w:vertAlign w:val="superscript"/>
              </w:rPr>
              <w:t>3</w:t>
            </w:r>
            <w:r>
              <w:rPr>
                <w:rFonts w:eastAsia="新宋体"/>
                <w:bCs/>
                <w:color w:val="auto"/>
              </w:rPr>
              <w:t>/a。</w:t>
            </w:r>
          </w:p>
          <w:p>
            <w:pPr>
              <w:pStyle w:val="71"/>
              <w:spacing w:before="0" w:beforeLines="0" w:line="360" w:lineRule="auto"/>
              <w:rPr>
                <w:rFonts w:hint="eastAsia"/>
                <w:color w:val="auto"/>
              </w:rPr>
            </w:pPr>
            <w:r>
              <w:rPr>
                <w:rFonts w:hint="eastAsia"/>
                <w:color w:val="auto"/>
              </w:rPr>
              <w:t>合计废水产生量为2</w:t>
            </w:r>
            <w:r>
              <w:rPr>
                <w:color w:val="auto"/>
              </w:rPr>
              <w:t>63.94</w:t>
            </w:r>
            <w:r>
              <w:rPr>
                <w:rFonts w:eastAsia="新宋体"/>
                <w:bCs/>
                <w:color w:val="auto"/>
              </w:rPr>
              <w:t xml:space="preserve"> m</w:t>
            </w:r>
            <w:r>
              <w:rPr>
                <w:rFonts w:eastAsia="新宋体"/>
                <w:bCs/>
                <w:color w:val="auto"/>
                <w:vertAlign w:val="superscript"/>
              </w:rPr>
              <w:t>3</w:t>
            </w:r>
            <w:r>
              <w:rPr>
                <w:rFonts w:eastAsia="新宋体"/>
                <w:bCs/>
                <w:color w:val="auto"/>
              </w:rPr>
              <w:t>/d，96338m</w:t>
            </w:r>
            <w:r>
              <w:rPr>
                <w:rFonts w:eastAsia="新宋体"/>
                <w:bCs/>
                <w:color w:val="auto"/>
                <w:vertAlign w:val="superscript"/>
              </w:rPr>
              <w:t>3</w:t>
            </w:r>
            <w:r>
              <w:rPr>
                <w:rFonts w:eastAsia="新宋体"/>
                <w:bCs/>
                <w:color w:val="auto"/>
              </w:rPr>
              <w:t>/a</w:t>
            </w:r>
            <w:r>
              <w:rPr>
                <w:rFonts w:hint="eastAsia" w:eastAsia="新宋体"/>
                <w:bCs/>
                <w:color w:val="auto"/>
              </w:rPr>
              <w:t>。</w:t>
            </w:r>
          </w:p>
          <w:p>
            <w:pPr>
              <w:pStyle w:val="71"/>
              <w:spacing w:before="0" w:beforeLines="0" w:line="360" w:lineRule="auto"/>
              <w:rPr>
                <w:rFonts w:hint="eastAsia"/>
                <w:color w:val="auto"/>
              </w:rPr>
            </w:pPr>
            <w:r>
              <w:rPr>
                <w:rFonts w:hint="eastAsia"/>
                <w:color w:val="auto"/>
              </w:rPr>
              <w:t>（2）中水</w:t>
            </w:r>
            <w:r>
              <w:rPr>
                <w:color w:val="auto"/>
              </w:rPr>
              <w:t>回用</w:t>
            </w:r>
          </w:p>
          <w:p>
            <w:pPr>
              <w:pStyle w:val="71"/>
              <w:spacing w:before="0" w:beforeLines="0" w:line="360" w:lineRule="auto"/>
              <w:rPr>
                <w:rFonts w:hint="eastAsia"/>
                <w:color w:val="auto"/>
              </w:rPr>
            </w:pPr>
            <w:r>
              <w:rPr>
                <w:rFonts w:hint="eastAsia"/>
                <w:color w:val="auto"/>
              </w:rPr>
              <w:t>项目</w:t>
            </w:r>
            <w:r>
              <w:rPr>
                <w:color w:val="auto"/>
              </w:rPr>
              <w:t>设计有中水回用系统，</w:t>
            </w:r>
            <w:r>
              <w:rPr>
                <w:rFonts w:hint="eastAsia"/>
                <w:color w:val="auto"/>
              </w:rPr>
              <w:t>部分</w:t>
            </w:r>
            <w:r>
              <w:rPr>
                <w:color w:val="auto"/>
              </w:rPr>
              <w:t>废水经中水系统处理后回用，</w:t>
            </w:r>
            <w:r>
              <w:rPr>
                <w:rFonts w:hint="eastAsia"/>
                <w:color w:val="auto"/>
              </w:rPr>
              <w:t>部分废水经化粪池预处理后</w:t>
            </w:r>
            <w:r>
              <w:rPr>
                <w:color w:val="auto"/>
              </w:rPr>
              <w:t>排污市政管网</w:t>
            </w:r>
            <w:r>
              <w:rPr>
                <w:rFonts w:hint="eastAsia"/>
                <w:color w:val="auto"/>
              </w:rPr>
              <w:t>，进入维西县污水处理厂处理</w:t>
            </w:r>
            <w:r>
              <w:rPr>
                <w:color w:val="auto"/>
              </w:rPr>
              <w:t>。</w:t>
            </w:r>
          </w:p>
          <w:p>
            <w:pPr>
              <w:pStyle w:val="71"/>
              <w:spacing w:before="0" w:beforeLines="0" w:line="360" w:lineRule="auto"/>
              <w:rPr>
                <w:color w:val="auto"/>
              </w:rPr>
            </w:pPr>
            <w:r>
              <w:rPr>
                <w:rFonts w:hint="eastAsia"/>
                <w:color w:val="auto"/>
              </w:rPr>
              <w:t>中水供水系统：道路浇洒、车库地面冲洗采用回收处理后的中水为供水水源。中水供水管网</w:t>
            </w:r>
            <w:r>
              <w:rPr>
                <w:color w:val="auto"/>
              </w:rPr>
              <w:t>按要求合理设置水表，对中水进行计量。</w:t>
            </w:r>
            <w:r>
              <w:rPr>
                <w:rFonts w:hint="eastAsia"/>
                <w:color w:val="auto"/>
              </w:rPr>
              <w:t>同时，中水供水管网采取严格的防止误饮、误用的措施。</w:t>
            </w:r>
          </w:p>
          <w:p>
            <w:pPr>
              <w:pStyle w:val="71"/>
              <w:spacing w:before="0" w:beforeLines="0" w:line="360" w:lineRule="auto"/>
              <w:jc w:val="center"/>
              <w:rPr>
                <w:rFonts w:hint="eastAsia"/>
                <w:color w:val="auto"/>
              </w:rPr>
            </w:pPr>
            <w:r>
              <w:rPr>
                <w:rFonts w:hint="eastAsia"/>
                <w:color w:val="auto"/>
              </w:rPr>
              <w:t>表5-</w:t>
            </w:r>
            <w:r>
              <w:rPr>
                <w:color w:val="auto"/>
              </w:rPr>
              <w:t>5</w:t>
            </w:r>
            <w:r>
              <w:rPr>
                <w:rFonts w:hint="eastAsia"/>
                <w:color w:val="auto"/>
              </w:rPr>
              <w:t xml:space="preserve">  中水</w:t>
            </w:r>
            <w:r>
              <w:rPr>
                <w:color w:val="auto"/>
              </w:rPr>
              <w:t>用水量</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298"/>
              <w:gridCol w:w="1046"/>
              <w:gridCol w:w="897"/>
              <w:gridCol w:w="914"/>
              <w:gridCol w:w="915"/>
              <w:gridCol w:w="1029"/>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057" w:hRule="atLeast"/>
                <w:jc w:val="center"/>
              </w:trPr>
              <w:tc>
                <w:tcPr>
                  <w:tcW w:w="989" w:type="dxa"/>
                  <w:noWrap w:val="0"/>
                  <w:vAlign w:val="top"/>
                </w:tcPr>
                <w:p>
                  <w:pPr>
                    <w:spacing w:line="240" w:lineRule="exact"/>
                    <w:jc w:val="center"/>
                    <w:rPr>
                      <w:bCs/>
                      <w:szCs w:val="21"/>
                    </w:rPr>
                  </w:pPr>
                  <w:r>
                    <w:rPr>
                      <w:rFonts w:hint="eastAsia"/>
                      <w:bCs/>
                      <w:szCs w:val="21"/>
                    </w:rPr>
                    <w:t>名称</w:t>
                  </w:r>
                </w:p>
              </w:tc>
              <w:tc>
                <w:tcPr>
                  <w:tcW w:w="1298" w:type="dxa"/>
                  <w:noWrap w:val="0"/>
                  <w:vAlign w:val="top"/>
                </w:tcPr>
                <w:p>
                  <w:pPr>
                    <w:spacing w:line="240" w:lineRule="exact"/>
                    <w:jc w:val="center"/>
                    <w:rPr>
                      <w:bCs/>
                      <w:szCs w:val="21"/>
                    </w:rPr>
                  </w:pPr>
                  <w:r>
                    <w:rPr>
                      <w:rFonts w:hint="eastAsia"/>
                      <w:bCs/>
                      <w:szCs w:val="21"/>
                    </w:rPr>
                    <w:t>用水量</w:t>
                  </w:r>
                </w:p>
                <w:p>
                  <w:pPr>
                    <w:spacing w:line="240" w:lineRule="exact"/>
                    <w:jc w:val="center"/>
                    <w:rPr>
                      <w:bCs/>
                      <w:szCs w:val="21"/>
                    </w:rPr>
                  </w:pPr>
                  <w:r>
                    <w:rPr>
                      <w:rFonts w:hint="eastAsia"/>
                      <w:bCs/>
                      <w:szCs w:val="21"/>
                    </w:rPr>
                    <w:t>标准</w:t>
                  </w:r>
                </w:p>
              </w:tc>
              <w:tc>
                <w:tcPr>
                  <w:tcW w:w="1046" w:type="dxa"/>
                  <w:noWrap w:val="0"/>
                  <w:vAlign w:val="top"/>
                </w:tcPr>
                <w:p>
                  <w:pPr>
                    <w:spacing w:line="240" w:lineRule="exact"/>
                    <w:jc w:val="center"/>
                    <w:rPr>
                      <w:bCs/>
                      <w:szCs w:val="21"/>
                    </w:rPr>
                  </w:pPr>
                  <w:r>
                    <w:rPr>
                      <w:rFonts w:hint="eastAsia"/>
                      <w:bCs/>
                      <w:szCs w:val="21"/>
                    </w:rPr>
                    <w:t>数量</w:t>
                  </w:r>
                </w:p>
              </w:tc>
              <w:tc>
                <w:tcPr>
                  <w:tcW w:w="897" w:type="dxa"/>
                  <w:noWrap w:val="0"/>
                  <w:vAlign w:val="top"/>
                </w:tcPr>
                <w:p>
                  <w:pPr>
                    <w:spacing w:line="240" w:lineRule="exact"/>
                    <w:jc w:val="center"/>
                    <w:rPr>
                      <w:bCs/>
                      <w:szCs w:val="21"/>
                    </w:rPr>
                  </w:pPr>
                  <w:r>
                    <w:rPr>
                      <w:rFonts w:hint="eastAsia"/>
                      <w:bCs/>
                      <w:szCs w:val="21"/>
                    </w:rPr>
                    <w:t>使用</w:t>
                  </w:r>
                </w:p>
                <w:p>
                  <w:pPr>
                    <w:spacing w:line="240" w:lineRule="exact"/>
                    <w:jc w:val="center"/>
                    <w:rPr>
                      <w:bCs/>
                      <w:szCs w:val="21"/>
                    </w:rPr>
                  </w:pPr>
                  <w:r>
                    <w:rPr>
                      <w:rFonts w:hint="eastAsia"/>
                      <w:bCs/>
                      <w:szCs w:val="21"/>
                    </w:rPr>
                    <w:t>时间h</w:t>
                  </w:r>
                </w:p>
              </w:tc>
              <w:tc>
                <w:tcPr>
                  <w:tcW w:w="914" w:type="dxa"/>
                  <w:noWrap w:val="0"/>
                  <w:vAlign w:val="top"/>
                </w:tcPr>
                <w:p>
                  <w:pPr>
                    <w:spacing w:line="240" w:lineRule="exact"/>
                    <w:jc w:val="center"/>
                    <w:rPr>
                      <w:bCs/>
                      <w:szCs w:val="21"/>
                    </w:rPr>
                  </w:pPr>
                  <w:r>
                    <w:rPr>
                      <w:rFonts w:hint="eastAsia"/>
                      <w:bCs/>
                      <w:szCs w:val="21"/>
                    </w:rPr>
                    <w:t>时变化数 Kh</w:t>
                  </w:r>
                </w:p>
              </w:tc>
              <w:tc>
                <w:tcPr>
                  <w:tcW w:w="915" w:type="dxa"/>
                  <w:noWrap w:val="0"/>
                  <w:vAlign w:val="top"/>
                </w:tcPr>
                <w:p>
                  <w:pPr>
                    <w:spacing w:line="240" w:lineRule="exact"/>
                    <w:jc w:val="center"/>
                    <w:rPr>
                      <w:bCs/>
                      <w:szCs w:val="21"/>
                    </w:rPr>
                  </w:pPr>
                  <w:r>
                    <w:rPr>
                      <w:rFonts w:hint="eastAsia"/>
                      <w:bCs/>
                      <w:szCs w:val="21"/>
                    </w:rPr>
                    <w:t>平均时</w:t>
                  </w:r>
                </w:p>
                <w:p>
                  <w:pPr>
                    <w:spacing w:line="240" w:lineRule="exact"/>
                    <w:jc w:val="center"/>
                    <w:rPr>
                      <w:bCs/>
                      <w:szCs w:val="21"/>
                    </w:rPr>
                  </w:pPr>
                  <w:r>
                    <w:rPr>
                      <w:rFonts w:hint="eastAsia"/>
                      <w:bCs/>
                      <w:szCs w:val="21"/>
                    </w:rPr>
                    <w:t>(m3/h)</w:t>
                  </w:r>
                </w:p>
              </w:tc>
              <w:tc>
                <w:tcPr>
                  <w:tcW w:w="1029" w:type="dxa"/>
                  <w:noWrap w:val="0"/>
                  <w:vAlign w:val="top"/>
                </w:tcPr>
                <w:p>
                  <w:pPr>
                    <w:spacing w:line="240" w:lineRule="exact"/>
                    <w:jc w:val="center"/>
                    <w:rPr>
                      <w:bCs/>
                      <w:szCs w:val="21"/>
                    </w:rPr>
                  </w:pPr>
                  <w:r>
                    <w:rPr>
                      <w:rFonts w:hint="eastAsia"/>
                      <w:bCs/>
                      <w:szCs w:val="21"/>
                    </w:rPr>
                    <w:t>最大时</w:t>
                  </w:r>
                </w:p>
                <w:p>
                  <w:pPr>
                    <w:spacing w:line="240" w:lineRule="exact"/>
                    <w:jc w:val="center"/>
                    <w:rPr>
                      <w:bCs/>
                      <w:szCs w:val="21"/>
                    </w:rPr>
                  </w:pPr>
                  <w:r>
                    <w:rPr>
                      <w:rFonts w:hint="eastAsia"/>
                      <w:bCs/>
                      <w:szCs w:val="21"/>
                    </w:rPr>
                    <w:t>(m3/h)</w:t>
                  </w:r>
                </w:p>
              </w:tc>
              <w:tc>
                <w:tcPr>
                  <w:tcW w:w="1372" w:type="dxa"/>
                  <w:noWrap w:val="0"/>
                  <w:vAlign w:val="top"/>
                </w:tcPr>
                <w:p>
                  <w:pPr>
                    <w:spacing w:line="240" w:lineRule="exact"/>
                    <w:jc w:val="center"/>
                    <w:rPr>
                      <w:bCs/>
                      <w:szCs w:val="21"/>
                    </w:rPr>
                  </w:pPr>
                  <w:r>
                    <w:rPr>
                      <w:rFonts w:hint="eastAsia"/>
                      <w:bCs/>
                      <w:szCs w:val="21"/>
                    </w:rPr>
                    <w:t>最高日</w:t>
                  </w:r>
                </w:p>
                <w:p>
                  <w:pPr>
                    <w:spacing w:line="240" w:lineRule="exact"/>
                    <w:jc w:val="center"/>
                    <w:rPr>
                      <w:bCs/>
                      <w:szCs w:val="21"/>
                    </w:rPr>
                  </w:pPr>
                  <w:r>
                    <w:rPr>
                      <w:rFonts w:hint="eastAsia"/>
                      <w:bCs/>
                      <w:szCs w:val="21"/>
                    </w:rPr>
                    <w:t>用水量</w:t>
                  </w:r>
                </w:p>
                <w:p>
                  <w:pPr>
                    <w:spacing w:line="240" w:lineRule="exact"/>
                    <w:jc w:val="center"/>
                    <w:rPr>
                      <w:bCs/>
                      <w:szCs w:val="21"/>
                    </w:rPr>
                  </w:pPr>
                  <w:r>
                    <w:rPr>
                      <w:rFonts w:hint="eastAsia"/>
                      <w:bCs/>
                      <w:szCs w:val="21"/>
                    </w:rPr>
                    <w:t>(m3/d)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87" w:hRule="atLeast"/>
                <w:jc w:val="center"/>
              </w:trPr>
              <w:tc>
                <w:tcPr>
                  <w:tcW w:w="989" w:type="dxa"/>
                  <w:noWrap w:val="0"/>
                  <w:vAlign w:val="top"/>
                </w:tcPr>
                <w:p>
                  <w:pPr>
                    <w:spacing w:line="240" w:lineRule="exact"/>
                    <w:jc w:val="center"/>
                    <w:rPr>
                      <w:bCs/>
                      <w:szCs w:val="21"/>
                    </w:rPr>
                  </w:pPr>
                  <w:r>
                    <w:rPr>
                      <w:rFonts w:hint="eastAsia"/>
                      <w:bCs/>
                      <w:szCs w:val="21"/>
                    </w:rPr>
                    <w:t>绿化和道路浇洒</w:t>
                  </w:r>
                </w:p>
              </w:tc>
              <w:tc>
                <w:tcPr>
                  <w:tcW w:w="1298" w:type="dxa"/>
                  <w:noWrap w:val="0"/>
                  <w:vAlign w:val="top"/>
                </w:tcPr>
                <w:p>
                  <w:pPr>
                    <w:spacing w:line="240" w:lineRule="exact"/>
                    <w:jc w:val="center"/>
                    <w:rPr>
                      <w:bCs/>
                      <w:szCs w:val="21"/>
                    </w:rPr>
                  </w:pPr>
                  <w:r>
                    <w:rPr>
                      <w:rFonts w:hint="eastAsia"/>
                      <w:bCs/>
                      <w:szCs w:val="21"/>
                    </w:rPr>
                    <w:t>2升/m</w:t>
                  </w:r>
                  <w:r>
                    <w:rPr>
                      <w:rFonts w:hint="eastAsia"/>
                      <w:bCs/>
                      <w:szCs w:val="21"/>
                      <w:vertAlign w:val="superscript"/>
                    </w:rPr>
                    <w:t>2</w:t>
                  </w:r>
                  <w:r>
                    <w:rPr>
                      <w:rFonts w:hint="eastAsia"/>
                      <w:bCs/>
                      <w:szCs w:val="21"/>
                    </w:rPr>
                    <w:t>.天</w:t>
                  </w:r>
                </w:p>
              </w:tc>
              <w:tc>
                <w:tcPr>
                  <w:tcW w:w="1046" w:type="dxa"/>
                  <w:noWrap w:val="0"/>
                  <w:vAlign w:val="top"/>
                </w:tcPr>
                <w:p>
                  <w:pPr>
                    <w:spacing w:line="240" w:lineRule="exact"/>
                    <w:jc w:val="center"/>
                    <w:rPr>
                      <w:bCs/>
                      <w:szCs w:val="21"/>
                    </w:rPr>
                  </w:pPr>
                  <w:r>
                    <w:rPr>
                      <w:rFonts w:hint="eastAsia"/>
                      <w:bCs/>
                      <w:szCs w:val="21"/>
                    </w:rPr>
                    <w:t>31822.54</w:t>
                  </w:r>
                </w:p>
              </w:tc>
              <w:tc>
                <w:tcPr>
                  <w:tcW w:w="897" w:type="dxa"/>
                  <w:noWrap w:val="0"/>
                  <w:vAlign w:val="top"/>
                </w:tcPr>
                <w:p>
                  <w:pPr>
                    <w:spacing w:line="240" w:lineRule="exact"/>
                    <w:jc w:val="center"/>
                    <w:rPr>
                      <w:bCs/>
                      <w:szCs w:val="21"/>
                    </w:rPr>
                  </w:pPr>
                  <w:r>
                    <w:rPr>
                      <w:rFonts w:hint="eastAsia"/>
                      <w:bCs/>
                      <w:szCs w:val="21"/>
                    </w:rPr>
                    <w:t>4</w:t>
                  </w:r>
                </w:p>
              </w:tc>
              <w:tc>
                <w:tcPr>
                  <w:tcW w:w="914" w:type="dxa"/>
                  <w:noWrap w:val="0"/>
                  <w:vAlign w:val="top"/>
                </w:tcPr>
                <w:p>
                  <w:pPr>
                    <w:spacing w:line="240" w:lineRule="exact"/>
                    <w:jc w:val="center"/>
                    <w:rPr>
                      <w:bCs/>
                      <w:szCs w:val="21"/>
                    </w:rPr>
                  </w:pPr>
                  <w:r>
                    <w:rPr>
                      <w:rFonts w:hint="eastAsia"/>
                      <w:bCs/>
                      <w:szCs w:val="21"/>
                    </w:rPr>
                    <w:t>1.5</w:t>
                  </w:r>
                </w:p>
              </w:tc>
              <w:tc>
                <w:tcPr>
                  <w:tcW w:w="915" w:type="dxa"/>
                  <w:noWrap w:val="0"/>
                  <w:vAlign w:val="top"/>
                </w:tcPr>
                <w:p>
                  <w:pPr>
                    <w:spacing w:line="240" w:lineRule="exact"/>
                    <w:jc w:val="center"/>
                    <w:rPr>
                      <w:bCs/>
                      <w:szCs w:val="21"/>
                    </w:rPr>
                  </w:pPr>
                  <w:r>
                    <w:rPr>
                      <w:rFonts w:hint="eastAsia"/>
                      <w:bCs/>
                      <w:szCs w:val="21"/>
                    </w:rPr>
                    <w:t>15.91</w:t>
                  </w:r>
                </w:p>
              </w:tc>
              <w:tc>
                <w:tcPr>
                  <w:tcW w:w="1029" w:type="dxa"/>
                  <w:noWrap w:val="0"/>
                  <w:vAlign w:val="top"/>
                </w:tcPr>
                <w:p>
                  <w:pPr>
                    <w:spacing w:line="240" w:lineRule="exact"/>
                    <w:jc w:val="center"/>
                    <w:rPr>
                      <w:bCs/>
                      <w:szCs w:val="21"/>
                    </w:rPr>
                  </w:pPr>
                  <w:r>
                    <w:rPr>
                      <w:rFonts w:hint="eastAsia"/>
                      <w:bCs/>
                      <w:szCs w:val="21"/>
                    </w:rPr>
                    <w:t>23.87</w:t>
                  </w:r>
                </w:p>
              </w:tc>
              <w:tc>
                <w:tcPr>
                  <w:tcW w:w="1372" w:type="dxa"/>
                  <w:noWrap w:val="0"/>
                  <w:vAlign w:val="top"/>
                </w:tcPr>
                <w:p>
                  <w:pPr>
                    <w:spacing w:line="240" w:lineRule="exact"/>
                    <w:jc w:val="center"/>
                    <w:rPr>
                      <w:bCs/>
                      <w:szCs w:val="21"/>
                    </w:rPr>
                  </w:pPr>
                  <w:r>
                    <w:rPr>
                      <w:rFonts w:hint="eastAsia"/>
                      <w:bCs/>
                      <w:szCs w:val="21"/>
                    </w:rPr>
                    <w:t>63.65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87" w:hRule="atLeast"/>
                <w:jc w:val="center"/>
              </w:trPr>
              <w:tc>
                <w:tcPr>
                  <w:tcW w:w="989" w:type="dxa"/>
                  <w:noWrap w:val="0"/>
                  <w:vAlign w:val="top"/>
                </w:tcPr>
                <w:p>
                  <w:pPr>
                    <w:spacing w:line="240" w:lineRule="exact"/>
                    <w:jc w:val="center"/>
                    <w:rPr>
                      <w:bCs/>
                      <w:szCs w:val="21"/>
                    </w:rPr>
                  </w:pPr>
                  <w:r>
                    <w:rPr>
                      <w:rFonts w:hint="eastAsia"/>
                      <w:bCs/>
                      <w:szCs w:val="21"/>
                    </w:rPr>
                    <w:t>车库地面冲洗</w:t>
                  </w:r>
                </w:p>
              </w:tc>
              <w:tc>
                <w:tcPr>
                  <w:tcW w:w="1298" w:type="dxa"/>
                  <w:noWrap w:val="0"/>
                  <w:vAlign w:val="top"/>
                </w:tcPr>
                <w:p>
                  <w:pPr>
                    <w:spacing w:line="240" w:lineRule="exact"/>
                    <w:jc w:val="center"/>
                    <w:rPr>
                      <w:bCs/>
                      <w:szCs w:val="21"/>
                    </w:rPr>
                  </w:pPr>
                  <w:r>
                    <w:rPr>
                      <w:rFonts w:hint="eastAsia"/>
                      <w:bCs/>
                      <w:szCs w:val="21"/>
                    </w:rPr>
                    <w:t>2升/ m</w:t>
                  </w:r>
                  <w:r>
                    <w:rPr>
                      <w:rFonts w:hint="eastAsia"/>
                      <w:bCs/>
                      <w:szCs w:val="21"/>
                      <w:vertAlign w:val="superscript"/>
                    </w:rPr>
                    <w:t>2</w:t>
                  </w:r>
                  <w:r>
                    <w:rPr>
                      <w:rFonts w:hint="eastAsia"/>
                      <w:bCs/>
                      <w:szCs w:val="21"/>
                    </w:rPr>
                    <w:t>.天</w:t>
                  </w:r>
                </w:p>
              </w:tc>
              <w:tc>
                <w:tcPr>
                  <w:tcW w:w="1046" w:type="dxa"/>
                  <w:noWrap w:val="0"/>
                  <w:vAlign w:val="top"/>
                </w:tcPr>
                <w:p>
                  <w:pPr>
                    <w:spacing w:line="240" w:lineRule="exact"/>
                    <w:jc w:val="center"/>
                    <w:rPr>
                      <w:bCs/>
                      <w:szCs w:val="21"/>
                    </w:rPr>
                  </w:pPr>
                  <w:r>
                    <w:rPr>
                      <w:rFonts w:hint="eastAsia"/>
                      <w:bCs/>
                      <w:szCs w:val="21"/>
                    </w:rPr>
                    <w:t>14209.10</w:t>
                  </w:r>
                </w:p>
              </w:tc>
              <w:tc>
                <w:tcPr>
                  <w:tcW w:w="897" w:type="dxa"/>
                  <w:noWrap w:val="0"/>
                  <w:vAlign w:val="top"/>
                </w:tcPr>
                <w:p>
                  <w:pPr>
                    <w:spacing w:line="240" w:lineRule="exact"/>
                    <w:jc w:val="center"/>
                    <w:rPr>
                      <w:bCs/>
                      <w:szCs w:val="21"/>
                    </w:rPr>
                  </w:pPr>
                  <w:r>
                    <w:rPr>
                      <w:rFonts w:hint="eastAsia"/>
                      <w:bCs/>
                      <w:szCs w:val="21"/>
                    </w:rPr>
                    <w:t>4</w:t>
                  </w:r>
                </w:p>
              </w:tc>
              <w:tc>
                <w:tcPr>
                  <w:tcW w:w="914" w:type="dxa"/>
                  <w:noWrap w:val="0"/>
                  <w:vAlign w:val="top"/>
                </w:tcPr>
                <w:p>
                  <w:pPr>
                    <w:spacing w:line="240" w:lineRule="exact"/>
                    <w:jc w:val="center"/>
                    <w:rPr>
                      <w:bCs/>
                      <w:szCs w:val="21"/>
                    </w:rPr>
                  </w:pPr>
                  <w:r>
                    <w:rPr>
                      <w:rFonts w:hint="eastAsia"/>
                      <w:bCs/>
                      <w:szCs w:val="21"/>
                    </w:rPr>
                    <w:t>1.0</w:t>
                  </w:r>
                </w:p>
              </w:tc>
              <w:tc>
                <w:tcPr>
                  <w:tcW w:w="915" w:type="dxa"/>
                  <w:noWrap w:val="0"/>
                  <w:vAlign w:val="top"/>
                </w:tcPr>
                <w:p>
                  <w:pPr>
                    <w:spacing w:line="240" w:lineRule="exact"/>
                    <w:jc w:val="center"/>
                    <w:rPr>
                      <w:bCs/>
                      <w:szCs w:val="21"/>
                    </w:rPr>
                  </w:pPr>
                  <w:r>
                    <w:rPr>
                      <w:rFonts w:hint="eastAsia"/>
                      <w:bCs/>
                      <w:szCs w:val="21"/>
                    </w:rPr>
                    <w:t>7.10</w:t>
                  </w:r>
                </w:p>
              </w:tc>
              <w:tc>
                <w:tcPr>
                  <w:tcW w:w="1029" w:type="dxa"/>
                  <w:noWrap w:val="0"/>
                  <w:vAlign w:val="top"/>
                </w:tcPr>
                <w:p>
                  <w:pPr>
                    <w:spacing w:line="240" w:lineRule="exact"/>
                    <w:jc w:val="center"/>
                    <w:rPr>
                      <w:bCs/>
                      <w:szCs w:val="21"/>
                    </w:rPr>
                  </w:pPr>
                  <w:r>
                    <w:rPr>
                      <w:rFonts w:hint="eastAsia"/>
                      <w:bCs/>
                      <w:szCs w:val="21"/>
                    </w:rPr>
                    <w:t>7.10</w:t>
                  </w:r>
                </w:p>
              </w:tc>
              <w:tc>
                <w:tcPr>
                  <w:tcW w:w="1372" w:type="dxa"/>
                  <w:noWrap w:val="0"/>
                  <w:vAlign w:val="top"/>
                </w:tcPr>
                <w:p>
                  <w:pPr>
                    <w:spacing w:line="240" w:lineRule="exact"/>
                    <w:jc w:val="center"/>
                    <w:rPr>
                      <w:bCs/>
                      <w:szCs w:val="21"/>
                    </w:rPr>
                  </w:pPr>
                  <w:r>
                    <w:rPr>
                      <w:rFonts w:hint="eastAsia"/>
                      <w:bCs/>
                      <w:szCs w:val="21"/>
                    </w:rPr>
                    <w:t>28.41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87" w:hRule="atLeast"/>
                <w:jc w:val="center"/>
              </w:trPr>
              <w:tc>
                <w:tcPr>
                  <w:tcW w:w="5144" w:type="dxa"/>
                  <w:gridSpan w:val="5"/>
                  <w:noWrap w:val="0"/>
                  <w:vAlign w:val="top"/>
                </w:tcPr>
                <w:p>
                  <w:pPr>
                    <w:spacing w:line="240" w:lineRule="exact"/>
                    <w:jc w:val="center"/>
                    <w:rPr>
                      <w:bCs/>
                      <w:szCs w:val="21"/>
                    </w:rPr>
                  </w:pPr>
                  <w:r>
                    <w:rPr>
                      <w:rFonts w:hint="eastAsia"/>
                      <w:bCs/>
                      <w:szCs w:val="21"/>
                    </w:rPr>
                    <w:t>未预见水量(按10%计)</w:t>
                  </w:r>
                </w:p>
              </w:tc>
              <w:tc>
                <w:tcPr>
                  <w:tcW w:w="915" w:type="dxa"/>
                  <w:noWrap w:val="0"/>
                  <w:vAlign w:val="top"/>
                </w:tcPr>
                <w:p>
                  <w:pPr>
                    <w:spacing w:line="240" w:lineRule="exact"/>
                    <w:jc w:val="center"/>
                    <w:rPr>
                      <w:bCs/>
                      <w:szCs w:val="21"/>
                    </w:rPr>
                  </w:pPr>
                  <w:r>
                    <w:rPr>
                      <w:rFonts w:hint="eastAsia"/>
                      <w:bCs/>
                      <w:szCs w:val="21"/>
                    </w:rPr>
                    <w:t>2.3</w:t>
                  </w:r>
                </w:p>
              </w:tc>
              <w:tc>
                <w:tcPr>
                  <w:tcW w:w="1029" w:type="dxa"/>
                  <w:noWrap w:val="0"/>
                  <w:vAlign w:val="top"/>
                </w:tcPr>
                <w:p>
                  <w:pPr>
                    <w:spacing w:line="240" w:lineRule="exact"/>
                    <w:jc w:val="center"/>
                    <w:rPr>
                      <w:bCs/>
                      <w:szCs w:val="21"/>
                    </w:rPr>
                  </w:pPr>
                  <w:r>
                    <w:rPr>
                      <w:rFonts w:hint="eastAsia"/>
                      <w:bCs/>
                      <w:szCs w:val="21"/>
                    </w:rPr>
                    <w:t>3.10</w:t>
                  </w:r>
                </w:p>
              </w:tc>
              <w:tc>
                <w:tcPr>
                  <w:tcW w:w="1372" w:type="dxa"/>
                  <w:noWrap w:val="0"/>
                  <w:vAlign w:val="top"/>
                </w:tcPr>
                <w:p>
                  <w:pPr>
                    <w:spacing w:line="240" w:lineRule="exact"/>
                    <w:jc w:val="center"/>
                    <w:rPr>
                      <w:bCs/>
                      <w:szCs w:val="21"/>
                    </w:rPr>
                  </w:pPr>
                  <w:r>
                    <w:rPr>
                      <w:rFonts w:hint="eastAsia"/>
                      <w:bCs/>
                      <w:szCs w:val="21"/>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1" w:hRule="atLeast"/>
                <w:jc w:val="center"/>
              </w:trPr>
              <w:tc>
                <w:tcPr>
                  <w:tcW w:w="5144" w:type="dxa"/>
                  <w:gridSpan w:val="5"/>
                  <w:noWrap w:val="0"/>
                  <w:vAlign w:val="top"/>
                </w:tcPr>
                <w:p>
                  <w:pPr>
                    <w:spacing w:line="240" w:lineRule="exact"/>
                    <w:jc w:val="center"/>
                    <w:rPr>
                      <w:bCs/>
                      <w:szCs w:val="21"/>
                    </w:rPr>
                  </w:pPr>
                  <w:r>
                    <w:rPr>
                      <w:rFonts w:hint="eastAsia"/>
                      <w:bCs/>
                      <w:szCs w:val="21"/>
                    </w:rPr>
                    <w:t>总计</w:t>
                  </w:r>
                </w:p>
              </w:tc>
              <w:tc>
                <w:tcPr>
                  <w:tcW w:w="915" w:type="dxa"/>
                  <w:noWrap w:val="0"/>
                  <w:vAlign w:val="top"/>
                </w:tcPr>
                <w:p>
                  <w:pPr>
                    <w:spacing w:line="240" w:lineRule="exact"/>
                    <w:jc w:val="center"/>
                    <w:rPr>
                      <w:bCs/>
                      <w:szCs w:val="21"/>
                    </w:rPr>
                  </w:pPr>
                  <w:r>
                    <w:rPr>
                      <w:rFonts w:hint="eastAsia"/>
                      <w:bCs/>
                      <w:szCs w:val="21"/>
                    </w:rPr>
                    <w:t>25.31</w:t>
                  </w:r>
                </w:p>
              </w:tc>
              <w:tc>
                <w:tcPr>
                  <w:tcW w:w="1029" w:type="dxa"/>
                  <w:noWrap w:val="0"/>
                  <w:vAlign w:val="top"/>
                </w:tcPr>
                <w:p>
                  <w:pPr>
                    <w:spacing w:line="240" w:lineRule="exact"/>
                    <w:jc w:val="center"/>
                    <w:rPr>
                      <w:bCs/>
                      <w:szCs w:val="21"/>
                    </w:rPr>
                  </w:pPr>
                  <w:r>
                    <w:rPr>
                      <w:rFonts w:hint="eastAsia"/>
                      <w:bCs/>
                      <w:szCs w:val="21"/>
                    </w:rPr>
                    <w:t>34.07</w:t>
                  </w:r>
                </w:p>
              </w:tc>
              <w:tc>
                <w:tcPr>
                  <w:tcW w:w="1372" w:type="dxa"/>
                  <w:noWrap w:val="0"/>
                  <w:vAlign w:val="top"/>
                </w:tcPr>
                <w:p>
                  <w:pPr>
                    <w:spacing w:line="240" w:lineRule="exact"/>
                    <w:jc w:val="center"/>
                    <w:rPr>
                      <w:bCs/>
                      <w:szCs w:val="21"/>
                    </w:rPr>
                  </w:pPr>
                  <w:r>
                    <w:rPr>
                      <w:rFonts w:hint="eastAsia"/>
                      <w:bCs/>
                      <w:szCs w:val="21"/>
                    </w:rPr>
                    <w:t>101.27</w:t>
                  </w:r>
                </w:p>
              </w:tc>
            </w:tr>
          </w:tbl>
          <w:p>
            <w:pPr>
              <w:ind w:firstLine="560"/>
            </w:pPr>
            <w:r>
              <w:rPr>
                <w:rFonts w:hint="eastAsia"/>
              </w:rPr>
              <w:t xml:space="preserve">                        </w:t>
            </w:r>
          </w:p>
          <w:p>
            <w:pPr>
              <w:pStyle w:val="71"/>
              <w:spacing w:before="0" w:beforeLines="0" w:line="360" w:lineRule="auto"/>
              <w:rPr>
                <w:color w:val="auto"/>
              </w:rPr>
            </w:pPr>
            <w:r>
              <w:rPr>
                <w:rFonts w:hint="eastAsia" w:ascii="宋体" w:hAnsi="宋体"/>
                <w:szCs w:val="21"/>
              </w:rPr>
              <w:t xml:space="preserve"> </w:t>
            </w:r>
            <w:r>
              <w:rPr>
                <w:rFonts w:hint="eastAsia"/>
                <w:color w:val="auto"/>
              </w:rPr>
              <w:t>中水处理站规模及处理工艺经计算，本项目最高日再生水用水量为101.27m</w:t>
            </w:r>
            <w:r>
              <w:rPr>
                <w:rFonts w:hint="eastAsia"/>
                <w:color w:val="auto"/>
                <w:vertAlign w:val="superscript"/>
              </w:rPr>
              <w:t>3</w:t>
            </w:r>
            <w:r>
              <w:rPr>
                <w:rFonts w:hint="eastAsia"/>
                <w:color w:val="auto"/>
              </w:rPr>
              <w:t>/d。在场地东北侧边室外绿化带内设置1座埋地式中水处理站，处理规模120 m</w:t>
            </w:r>
            <w:r>
              <w:rPr>
                <w:rFonts w:hint="eastAsia"/>
                <w:color w:val="auto"/>
                <w:vertAlign w:val="superscript"/>
              </w:rPr>
              <w:t>3</w:t>
            </w:r>
            <w:r>
              <w:rPr>
                <w:rFonts w:hint="eastAsia"/>
                <w:color w:val="auto"/>
              </w:rPr>
              <w:t>/d。中水原水为收集各单体生活污水，生活污水一部分排至市政污水管网，一部分经污水管网排至中水处理站，处理达标后的中水由中水变频供水设备供给项目中水用水点。</w:t>
            </w:r>
          </w:p>
          <w:p>
            <w:pPr>
              <w:adjustRightInd w:val="0"/>
              <w:spacing w:line="360" w:lineRule="auto"/>
              <w:ind w:firstLine="480" w:firstLineChars="200"/>
              <w:rPr>
                <w:rFonts w:hint="eastAsia" w:hAnsi="新宋体" w:eastAsia="新宋体"/>
                <w:bCs/>
                <w:sz w:val="24"/>
              </w:rPr>
            </w:pPr>
            <w:r>
              <w:rPr>
                <w:rFonts w:hint="eastAsia" w:hAnsi="新宋体" w:eastAsia="新宋体"/>
                <w:bCs/>
                <w:sz w:val="24"/>
              </w:rPr>
              <w:t>（</w:t>
            </w:r>
            <w:r>
              <w:rPr>
                <w:rFonts w:hAnsi="新宋体" w:eastAsia="新宋体"/>
                <w:bCs/>
                <w:sz w:val="24"/>
              </w:rPr>
              <w:t>3</w:t>
            </w:r>
            <w:r>
              <w:rPr>
                <w:rFonts w:hint="eastAsia" w:hAnsi="新宋体" w:eastAsia="新宋体"/>
                <w:bCs/>
                <w:sz w:val="24"/>
              </w:rPr>
              <w:t>）</w:t>
            </w:r>
            <w:r>
              <w:rPr>
                <w:rFonts w:hint="eastAsia"/>
                <w:sz w:val="24"/>
              </w:rPr>
              <w:t>废水污染物源强：</w:t>
            </w:r>
            <w:r>
              <w:rPr>
                <w:rFonts w:hint="eastAsia" w:hAnsi="新宋体" w:eastAsia="新宋体"/>
                <w:bCs/>
                <w:sz w:val="24"/>
              </w:rPr>
              <w:t xml:space="preserve"> </w:t>
            </w:r>
          </w:p>
          <w:p>
            <w:pPr>
              <w:adjustRightInd w:val="0"/>
              <w:spacing w:line="360" w:lineRule="auto"/>
              <w:ind w:firstLine="480" w:firstLineChars="200"/>
              <w:rPr>
                <w:sz w:val="24"/>
              </w:rPr>
            </w:pPr>
            <w:r>
              <w:rPr>
                <w:rFonts w:hAnsi="新宋体" w:eastAsia="新宋体"/>
                <w:bCs/>
                <w:sz w:val="24"/>
              </w:rPr>
              <w:t>通过以上</w:t>
            </w:r>
            <w:r>
              <w:rPr>
                <w:rFonts w:hint="eastAsia" w:hAnsi="新宋体" w:eastAsia="新宋体"/>
                <w:bCs/>
                <w:sz w:val="24"/>
              </w:rPr>
              <w:t>计算</w:t>
            </w:r>
            <w:r>
              <w:rPr>
                <w:rFonts w:hAnsi="新宋体" w:eastAsia="新宋体"/>
                <w:bCs/>
                <w:sz w:val="24"/>
              </w:rPr>
              <w:t>，</w:t>
            </w:r>
            <w:r>
              <w:rPr>
                <w:rFonts w:hint="eastAsia" w:eastAsia="新宋体"/>
                <w:bCs/>
                <w:sz w:val="24"/>
              </w:rPr>
              <w:t>本项目</w:t>
            </w:r>
            <w:r>
              <w:rPr>
                <w:rFonts w:eastAsia="新宋体"/>
                <w:bCs/>
                <w:sz w:val="24"/>
              </w:rPr>
              <w:t>排</w:t>
            </w:r>
            <w:r>
              <w:rPr>
                <w:rFonts w:hint="eastAsia" w:eastAsia="新宋体"/>
                <w:bCs/>
                <w:sz w:val="24"/>
              </w:rPr>
              <w:t>入</w:t>
            </w:r>
            <w:r>
              <w:rPr>
                <w:rFonts w:eastAsia="新宋体"/>
                <w:bCs/>
                <w:sz w:val="24"/>
              </w:rPr>
              <w:t>城市管网的废水水量为162.67 m</w:t>
            </w:r>
            <w:r>
              <w:rPr>
                <w:rFonts w:eastAsia="新宋体"/>
                <w:bCs/>
                <w:sz w:val="24"/>
                <w:vertAlign w:val="superscript"/>
              </w:rPr>
              <w:t>3</w:t>
            </w:r>
            <w:r>
              <w:rPr>
                <w:rFonts w:eastAsia="新宋体"/>
                <w:bCs/>
                <w:sz w:val="24"/>
              </w:rPr>
              <w:t>/d。</w:t>
            </w:r>
            <w:r>
              <w:rPr>
                <w:rFonts w:hint="eastAsia"/>
                <w:sz w:val="24"/>
              </w:rPr>
              <w:t>类比相同类型项目，</w:t>
            </w:r>
            <w:r>
              <w:rPr>
                <w:sz w:val="24"/>
              </w:rPr>
              <w:t>污水中</w:t>
            </w:r>
            <w:r>
              <w:rPr>
                <w:rFonts w:hint="eastAsia"/>
                <w:sz w:val="24"/>
              </w:rPr>
              <w:t>污染物</w:t>
            </w:r>
            <w:r>
              <w:rPr>
                <w:sz w:val="24"/>
              </w:rPr>
              <w:t>浓度分别COD</w:t>
            </w:r>
            <w:r>
              <w:rPr>
                <w:rFonts w:hint="eastAsia"/>
                <w:sz w:val="24"/>
              </w:rPr>
              <w:t>500</w:t>
            </w:r>
            <w:r>
              <w:rPr>
                <w:sz w:val="24"/>
              </w:rPr>
              <w:t>mg/L、BOD</w:t>
            </w:r>
            <w:r>
              <w:rPr>
                <w:sz w:val="24"/>
                <w:vertAlign w:val="subscript"/>
              </w:rPr>
              <w:t>5</w:t>
            </w:r>
            <w:r>
              <w:rPr>
                <w:rFonts w:hint="eastAsia"/>
                <w:sz w:val="24"/>
              </w:rPr>
              <w:t>350</w:t>
            </w:r>
            <w:r>
              <w:rPr>
                <w:sz w:val="24"/>
              </w:rPr>
              <w:t>mg/L、SS</w:t>
            </w:r>
            <w:r>
              <w:rPr>
                <w:rFonts w:hint="eastAsia"/>
                <w:sz w:val="24"/>
              </w:rPr>
              <w:t>4</w:t>
            </w:r>
            <w:r>
              <w:rPr>
                <w:sz w:val="24"/>
              </w:rPr>
              <w:t>00mg/L、氨氮</w:t>
            </w:r>
            <w:r>
              <w:rPr>
                <w:rFonts w:hint="eastAsia"/>
                <w:sz w:val="24"/>
              </w:rPr>
              <w:t>46</w:t>
            </w:r>
            <w:r>
              <w:rPr>
                <w:sz w:val="24"/>
              </w:rPr>
              <w:t>mg/L、动植物油</w:t>
            </w:r>
            <w:r>
              <w:rPr>
                <w:rFonts w:hint="eastAsia"/>
                <w:sz w:val="24"/>
              </w:rPr>
              <w:t>30</w:t>
            </w:r>
            <w:r>
              <w:rPr>
                <w:sz w:val="24"/>
              </w:rPr>
              <w:t>mg/L 。</w:t>
            </w:r>
            <w:r>
              <w:rPr>
                <w:rFonts w:hint="eastAsia"/>
                <w:sz w:val="24"/>
              </w:rPr>
              <w:t>化粪池对</w:t>
            </w:r>
            <w:r>
              <w:rPr>
                <w:sz w:val="24"/>
              </w:rPr>
              <w:t>COD、BOD</w:t>
            </w:r>
            <w:r>
              <w:rPr>
                <w:sz w:val="24"/>
                <w:vertAlign w:val="subscript"/>
              </w:rPr>
              <w:t>5</w:t>
            </w:r>
            <w:r>
              <w:rPr>
                <w:sz w:val="24"/>
              </w:rPr>
              <w:t>、SS、氨氮</w:t>
            </w:r>
            <w:r>
              <w:rPr>
                <w:rFonts w:hint="eastAsia"/>
                <w:sz w:val="24"/>
              </w:rPr>
              <w:t>、动植物油的去除率可分别达到15%、16%、30%、6%、3%，</w:t>
            </w:r>
            <w:r>
              <w:rPr>
                <w:sz w:val="24"/>
              </w:rPr>
              <w:t>各种污染物的</w:t>
            </w:r>
            <w:r>
              <w:rPr>
                <w:rFonts w:hint="eastAsia"/>
                <w:sz w:val="24"/>
              </w:rPr>
              <w:t>产</w:t>
            </w:r>
            <w:r>
              <w:rPr>
                <w:sz w:val="24"/>
              </w:rPr>
              <w:t>生量</w:t>
            </w:r>
            <w:r>
              <w:rPr>
                <w:rFonts w:hint="eastAsia"/>
                <w:sz w:val="24"/>
              </w:rPr>
              <w:t>、排放情况</w:t>
            </w:r>
            <w:r>
              <w:rPr>
                <w:sz w:val="24"/>
              </w:rPr>
              <w:t>见表5-</w:t>
            </w:r>
            <w:r>
              <w:rPr>
                <w:rFonts w:hint="eastAsia"/>
                <w:sz w:val="24"/>
              </w:rPr>
              <w:t>5</w:t>
            </w:r>
            <w:r>
              <w:rPr>
                <w:sz w:val="24"/>
              </w:rPr>
              <w:t>。</w:t>
            </w:r>
          </w:p>
          <w:p>
            <w:pPr>
              <w:spacing w:line="360" w:lineRule="auto"/>
              <w:ind w:firstLine="482" w:firstLineChars="200"/>
              <w:jc w:val="center"/>
              <w:rPr>
                <w:b/>
                <w:sz w:val="24"/>
              </w:rPr>
            </w:pPr>
            <w:r>
              <w:rPr>
                <w:b/>
                <w:sz w:val="24"/>
              </w:rPr>
              <w:t>表5-6 废水污染物产生量</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228"/>
              <w:gridCol w:w="1228"/>
              <w:gridCol w:w="1228"/>
              <w:gridCol w:w="1228"/>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376" w:type="dxa"/>
                  <w:noWrap w:val="0"/>
                  <w:vAlign w:val="center"/>
                </w:tcPr>
                <w:p>
                  <w:pPr>
                    <w:jc w:val="center"/>
                    <w:rPr>
                      <w:szCs w:val="21"/>
                    </w:rPr>
                  </w:pPr>
                  <w:r>
                    <w:rPr>
                      <w:szCs w:val="21"/>
                    </w:rPr>
                    <w:t>污染物</w:t>
                  </w:r>
                </w:p>
              </w:tc>
              <w:tc>
                <w:tcPr>
                  <w:tcW w:w="1228" w:type="dxa"/>
                  <w:noWrap w:val="0"/>
                  <w:vAlign w:val="center"/>
                </w:tcPr>
                <w:p>
                  <w:pPr>
                    <w:jc w:val="center"/>
                    <w:rPr>
                      <w:szCs w:val="21"/>
                    </w:rPr>
                  </w:pPr>
                  <w:r>
                    <w:rPr>
                      <w:szCs w:val="21"/>
                    </w:rPr>
                    <w:t>COD</w:t>
                  </w:r>
                </w:p>
              </w:tc>
              <w:tc>
                <w:tcPr>
                  <w:tcW w:w="1228" w:type="dxa"/>
                  <w:noWrap w:val="0"/>
                  <w:vAlign w:val="center"/>
                </w:tcPr>
                <w:p>
                  <w:pPr>
                    <w:jc w:val="center"/>
                    <w:rPr>
                      <w:szCs w:val="21"/>
                    </w:rPr>
                  </w:pPr>
                  <w:r>
                    <w:rPr>
                      <w:szCs w:val="21"/>
                    </w:rPr>
                    <w:t>BOD</w:t>
                  </w:r>
                  <w:r>
                    <w:rPr>
                      <w:szCs w:val="21"/>
                      <w:vertAlign w:val="subscript"/>
                    </w:rPr>
                    <w:t>5</w:t>
                  </w:r>
                </w:p>
              </w:tc>
              <w:tc>
                <w:tcPr>
                  <w:tcW w:w="1228" w:type="dxa"/>
                  <w:noWrap w:val="0"/>
                  <w:vAlign w:val="center"/>
                </w:tcPr>
                <w:p>
                  <w:pPr>
                    <w:jc w:val="center"/>
                    <w:rPr>
                      <w:szCs w:val="21"/>
                    </w:rPr>
                  </w:pPr>
                  <w:r>
                    <w:rPr>
                      <w:szCs w:val="21"/>
                    </w:rPr>
                    <w:t>SS</w:t>
                  </w:r>
                </w:p>
              </w:tc>
              <w:tc>
                <w:tcPr>
                  <w:tcW w:w="1228" w:type="dxa"/>
                  <w:noWrap w:val="0"/>
                  <w:vAlign w:val="center"/>
                </w:tcPr>
                <w:p>
                  <w:pPr>
                    <w:jc w:val="center"/>
                    <w:rPr>
                      <w:szCs w:val="21"/>
                    </w:rPr>
                  </w:pPr>
                  <w:r>
                    <w:rPr>
                      <w:szCs w:val="21"/>
                    </w:rPr>
                    <w:t>氨氮</w:t>
                  </w:r>
                </w:p>
              </w:tc>
              <w:tc>
                <w:tcPr>
                  <w:tcW w:w="1226" w:type="dxa"/>
                  <w:noWrap w:val="0"/>
                  <w:vAlign w:val="center"/>
                </w:tcPr>
                <w:p>
                  <w:pPr>
                    <w:jc w:val="center"/>
                    <w:rPr>
                      <w:szCs w:val="21"/>
                    </w:rPr>
                  </w:pPr>
                  <w:r>
                    <w:rPr>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376" w:type="dxa"/>
                  <w:noWrap w:val="0"/>
                  <w:vAlign w:val="center"/>
                </w:tcPr>
                <w:p>
                  <w:pPr>
                    <w:jc w:val="center"/>
                    <w:rPr>
                      <w:szCs w:val="21"/>
                    </w:rPr>
                  </w:pPr>
                  <w:r>
                    <w:rPr>
                      <w:szCs w:val="21"/>
                    </w:rPr>
                    <w:t>产生浓度（mg/L）</w:t>
                  </w:r>
                </w:p>
              </w:tc>
              <w:tc>
                <w:tcPr>
                  <w:tcW w:w="1228" w:type="dxa"/>
                  <w:noWrap w:val="0"/>
                  <w:vAlign w:val="center"/>
                </w:tcPr>
                <w:p>
                  <w:pPr>
                    <w:jc w:val="center"/>
                    <w:rPr>
                      <w:szCs w:val="21"/>
                    </w:rPr>
                  </w:pPr>
                  <w:r>
                    <w:rPr>
                      <w:rFonts w:hint="eastAsia"/>
                      <w:szCs w:val="21"/>
                    </w:rPr>
                    <w:t>500</w:t>
                  </w:r>
                </w:p>
              </w:tc>
              <w:tc>
                <w:tcPr>
                  <w:tcW w:w="1228" w:type="dxa"/>
                  <w:noWrap w:val="0"/>
                  <w:vAlign w:val="center"/>
                </w:tcPr>
                <w:p>
                  <w:pPr>
                    <w:jc w:val="center"/>
                    <w:rPr>
                      <w:szCs w:val="21"/>
                    </w:rPr>
                  </w:pPr>
                  <w:r>
                    <w:rPr>
                      <w:rFonts w:hint="eastAsia"/>
                      <w:szCs w:val="21"/>
                    </w:rPr>
                    <w:t>350</w:t>
                  </w:r>
                </w:p>
              </w:tc>
              <w:tc>
                <w:tcPr>
                  <w:tcW w:w="1228" w:type="dxa"/>
                  <w:noWrap w:val="0"/>
                  <w:vAlign w:val="center"/>
                </w:tcPr>
                <w:p>
                  <w:pPr>
                    <w:jc w:val="center"/>
                    <w:rPr>
                      <w:szCs w:val="21"/>
                    </w:rPr>
                  </w:pPr>
                  <w:r>
                    <w:rPr>
                      <w:rFonts w:hint="eastAsia"/>
                      <w:szCs w:val="21"/>
                    </w:rPr>
                    <w:t>400</w:t>
                  </w:r>
                </w:p>
              </w:tc>
              <w:tc>
                <w:tcPr>
                  <w:tcW w:w="1228" w:type="dxa"/>
                  <w:noWrap w:val="0"/>
                  <w:vAlign w:val="center"/>
                </w:tcPr>
                <w:p>
                  <w:pPr>
                    <w:jc w:val="center"/>
                    <w:rPr>
                      <w:szCs w:val="21"/>
                    </w:rPr>
                  </w:pPr>
                  <w:r>
                    <w:rPr>
                      <w:rFonts w:hint="eastAsia"/>
                      <w:szCs w:val="21"/>
                    </w:rPr>
                    <w:t>46</w:t>
                  </w:r>
                </w:p>
              </w:tc>
              <w:tc>
                <w:tcPr>
                  <w:tcW w:w="1226" w:type="dxa"/>
                  <w:noWrap w:val="0"/>
                  <w:vAlign w:val="center"/>
                </w:tcPr>
                <w:p>
                  <w:pPr>
                    <w:jc w:val="center"/>
                    <w:rPr>
                      <w:szCs w:val="21"/>
                    </w:rPr>
                  </w:pPr>
                  <w:r>
                    <w:rPr>
                      <w:rFonts w:hint="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376" w:type="dxa"/>
                  <w:noWrap w:val="0"/>
                  <w:vAlign w:val="center"/>
                </w:tcPr>
                <w:p>
                  <w:pPr>
                    <w:jc w:val="center"/>
                    <w:rPr>
                      <w:szCs w:val="21"/>
                    </w:rPr>
                  </w:pPr>
                  <w:r>
                    <w:rPr>
                      <w:szCs w:val="21"/>
                    </w:rPr>
                    <w:t>预测日</w:t>
                  </w:r>
                  <w:r>
                    <w:rPr>
                      <w:rFonts w:hint="eastAsia"/>
                      <w:szCs w:val="21"/>
                    </w:rPr>
                    <w:t>产</w:t>
                  </w:r>
                  <w:r>
                    <w:rPr>
                      <w:szCs w:val="21"/>
                    </w:rPr>
                    <w:t>生量（kg/d）</w:t>
                  </w:r>
                </w:p>
              </w:tc>
              <w:tc>
                <w:tcPr>
                  <w:tcW w:w="1228" w:type="dxa"/>
                  <w:noWrap w:val="0"/>
                  <w:vAlign w:val="center"/>
                </w:tcPr>
                <w:p>
                  <w:pPr>
                    <w:widowControl/>
                    <w:jc w:val="center"/>
                    <w:rPr>
                      <w:kern w:val="0"/>
                      <w:sz w:val="22"/>
                      <w:szCs w:val="22"/>
                    </w:rPr>
                  </w:pPr>
                  <w:r>
                    <w:rPr>
                      <w:rFonts w:hint="eastAsia"/>
                      <w:color w:val="000000"/>
                      <w:sz w:val="22"/>
                      <w:szCs w:val="22"/>
                    </w:rPr>
                    <w:t>81.3</w:t>
                  </w:r>
                  <w:r>
                    <w:rPr>
                      <w:color w:val="000000"/>
                      <w:sz w:val="22"/>
                      <w:szCs w:val="22"/>
                    </w:rPr>
                    <w:t>4</w:t>
                  </w:r>
                </w:p>
              </w:tc>
              <w:tc>
                <w:tcPr>
                  <w:tcW w:w="1228" w:type="dxa"/>
                  <w:noWrap w:val="0"/>
                  <w:vAlign w:val="center"/>
                </w:tcPr>
                <w:p>
                  <w:pPr>
                    <w:jc w:val="center"/>
                    <w:rPr>
                      <w:rFonts w:hint="eastAsia"/>
                      <w:sz w:val="22"/>
                      <w:szCs w:val="22"/>
                    </w:rPr>
                  </w:pPr>
                  <w:r>
                    <w:rPr>
                      <w:rFonts w:hint="eastAsia"/>
                      <w:color w:val="000000"/>
                      <w:sz w:val="22"/>
                      <w:szCs w:val="22"/>
                    </w:rPr>
                    <w:t>56.9</w:t>
                  </w:r>
                  <w:r>
                    <w:rPr>
                      <w:color w:val="000000"/>
                      <w:sz w:val="22"/>
                      <w:szCs w:val="22"/>
                    </w:rPr>
                    <w:t>3</w:t>
                  </w:r>
                </w:p>
              </w:tc>
              <w:tc>
                <w:tcPr>
                  <w:tcW w:w="1228" w:type="dxa"/>
                  <w:noWrap w:val="0"/>
                  <w:vAlign w:val="center"/>
                </w:tcPr>
                <w:p>
                  <w:pPr>
                    <w:jc w:val="center"/>
                    <w:rPr>
                      <w:rFonts w:hint="eastAsia"/>
                      <w:sz w:val="22"/>
                      <w:szCs w:val="22"/>
                    </w:rPr>
                  </w:pPr>
                  <w:r>
                    <w:rPr>
                      <w:rFonts w:hint="eastAsia"/>
                      <w:color w:val="000000"/>
                      <w:sz w:val="22"/>
                      <w:szCs w:val="22"/>
                    </w:rPr>
                    <w:t>65.0</w:t>
                  </w:r>
                  <w:r>
                    <w:rPr>
                      <w:color w:val="000000"/>
                      <w:sz w:val="22"/>
                      <w:szCs w:val="22"/>
                    </w:rPr>
                    <w:t>7</w:t>
                  </w:r>
                </w:p>
              </w:tc>
              <w:tc>
                <w:tcPr>
                  <w:tcW w:w="1228" w:type="dxa"/>
                  <w:noWrap w:val="0"/>
                  <w:vAlign w:val="center"/>
                </w:tcPr>
                <w:p>
                  <w:pPr>
                    <w:jc w:val="center"/>
                    <w:rPr>
                      <w:rFonts w:hint="eastAsia"/>
                      <w:sz w:val="22"/>
                      <w:szCs w:val="22"/>
                    </w:rPr>
                  </w:pPr>
                  <w:r>
                    <w:rPr>
                      <w:rFonts w:hint="eastAsia"/>
                      <w:color w:val="000000"/>
                      <w:sz w:val="22"/>
                      <w:szCs w:val="22"/>
                    </w:rPr>
                    <w:t>7.48</w:t>
                  </w:r>
                </w:p>
              </w:tc>
              <w:tc>
                <w:tcPr>
                  <w:tcW w:w="1226" w:type="dxa"/>
                  <w:noWrap w:val="0"/>
                  <w:vAlign w:val="center"/>
                </w:tcPr>
                <w:p>
                  <w:pPr>
                    <w:jc w:val="center"/>
                    <w:rPr>
                      <w:rFonts w:hint="eastAsia"/>
                      <w:sz w:val="22"/>
                      <w:szCs w:val="22"/>
                    </w:rPr>
                  </w:pPr>
                  <w:r>
                    <w:rPr>
                      <w:rFonts w:hint="eastAsia"/>
                      <w:color w:val="000000"/>
                      <w:sz w:val="22"/>
                      <w:szCs w:val="22"/>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376" w:type="dxa"/>
                  <w:noWrap w:val="0"/>
                  <w:vAlign w:val="center"/>
                </w:tcPr>
                <w:p>
                  <w:pPr>
                    <w:jc w:val="center"/>
                    <w:rPr>
                      <w:szCs w:val="21"/>
                    </w:rPr>
                  </w:pPr>
                  <w:r>
                    <w:rPr>
                      <w:szCs w:val="21"/>
                    </w:rPr>
                    <w:t>预测年</w:t>
                  </w:r>
                  <w:r>
                    <w:rPr>
                      <w:rFonts w:hint="eastAsia"/>
                      <w:szCs w:val="21"/>
                    </w:rPr>
                    <w:t>产</w:t>
                  </w:r>
                  <w:r>
                    <w:rPr>
                      <w:szCs w:val="21"/>
                    </w:rPr>
                    <w:t>生量（t/</w:t>
                  </w:r>
                  <w:r>
                    <w:rPr>
                      <w:rFonts w:hint="eastAsia"/>
                      <w:szCs w:val="21"/>
                    </w:rPr>
                    <w:t>a</w:t>
                  </w:r>
                  <w:r>
                    <w:rPr>
                      <w:szCs w:val="21"/>
                    </w:rPr>
                    <w:t>）</w:t>
                  </w:r>
                </w:p>
              </w:tc>
              <w:tc>
                <w:tcPr>
                  <w:tcW w:w="1228" w:type="dxa"/>
                  <w:noWrap w:val="0"/>
                  <w:vAlign w:val="center"/>
                </w:tcPr>
                <w:p>
                  <w:pPr>
                    <w:widowControl/>
                    <w:jc w:val="center"/>
                    <w:rPr>
                      <w:kern w:val="0"/>
                      <w:sz w:val="22"/>
                      <w:szCs w:val="22"/>
                    </w:rPr>
                  </w:pPr>
                  <w:r>
                    <w:rPr>
                      <w:rFonts w:hint="eastAsia"/>
                      <w:color w:val="000000"/>
                      <w:sz w:val="22"/>
                      <w:szCs w:val="22"/>
                    </w:rPr>
                    <w:t>28.79</w:t>
                  </w:r>
                </w:p>
              </w:tc>
              <w:tc>
                <w:tcPr>
                  <w:tcW w:w="1228" w:type="dxa"/>
                  <w:noWrap w:val="0"/>
                  <w:vAlign w:val="center"/>
                </w:tcPr>
                <w:p>
                  <w:pPr>
                    <w:jc w:val="center"/>
                    <w:rPr>
                      <w:rFonts w:hint="eastAsia"/>
                      <w:sz w:val="22"/>
                      <w:szCs w:val="22"/>
                    </w:rPr>
                  </w:pPr>
                  <w:r>
                    <w:rPr>
                      <w:rFonts w:hint="eastAsia"/>
                      <w:color w:val="000000"/>
                      <w:sz w:val="22"/>
                      <w:szCs w:val="22"/>
                    </w:rPr>
                    <w:t>20.15</w:t>
                  </w:r>
                </w:p>
              </w:tc>
              <w:tc>
                <w:tcPr>
                  <w:tcW w:w="1228" w:type="dxa"/>
                  <w:noWrap w:val="0"/>
                  <w:vAlign w:val="center"/>
                </w:tcPr>
                <w:p>
                  <w:pPr>
                    <w:jc w:val="center"/>
                    <w:rPr>
                      <w:rFonts w:hint="eastAsia"/>
                      <w:sz w:val="22"/>
                      <w:szCs w:val="22"/>
                    </w:rPr>
                  </w:pPr>
                  <w:r>
                    <w:rPr>
                      <w:rFonts w:hint="eastAsia"/>
                      <w:color w:val="000000"/>
                      <w:sz w:val="22"/>
                      <w:szCs w:val="22"/>
                    </w:rPr>
                    <w:t>23.03</w:t>
                  </w:r>
                </w:p>
              </w:tc>
              <w:tc>
                <w:tcPr>
                  <w:tcW w:w="1228" w:type="dxa"/>
                  <w:noWrap w:val="0"/>
                  <w:vAlign w:val="center"/>
                </w:tcPr>
                <w:p>
                  <w:pPr>
                    <w:jc w:val="center"/>
                    <w:rPr>
                      <w:rFonts w:hint="eastAsia"/>
                      <w:sz w:val="22"/>
                      <w:szCs w:val="22"/>
                    </w:rPr>
                  </w:pPr>
                  <w:r>
                    <w:rPr>
                      <w:rFonts w:hint="eastAsia"/>
                      <w:color w:val="000000"/>
                      <w:sz w:val="22"/>
                      <w:szCs w:val="22"/>
                    </w:rPr>
                    <w:t>2.64</w:t>
                  </w:r>
                </w:p>
              </w:tc>
              <w:tc>
                <w:tcPr>
                  <w:tcW w:w="1226" w:type="dxa"/>
                  <w:noWrap w:val="0"/>
                  <w:vAlign w:val="center"/>
                </w:tcPr>
                <w:p>
                  <w:pPr>
                    <w:jc w:val="center"/>
                    <w:rPr>
                      <w:rFonts w:hint="eastAsia"/>
                      <w:sz w:val="22"/>
                      <w:szCs w:val="22"/>
                    </w:rPr>
                  </w:pPr>
                  <w:r>
                    <w:rPr>
                      <w:rFonts w:hint="eastAsia"/>
                      <w:color w:val="000000"/>
                      <w:sz w:val="22"/>
                      <w:szCs w:val="22"/>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376" w:type="dxa"/>
                  <w:noWrap w:val="0"/>
                  <w:vAlign w:val="center"/>
                </w:tcPr>
                <w:p>
                  <w:pPr>
                    <w:jc w:val="center"/>
                    <w:rPr>
                      <w:szCs w:val="21"/>
                    </w:rPr>
                  </w:pPr>
                  <w:r>
                    <w:rPr>
                      <w:rFonts w:hint="eastAsia"/>
                      <w:szCs w:val="21"/>
                    </w:rPr>
                    <w:t>去除率</w:t>
                  </w:r>
                </w:p>
              </w:tc>
              <w:tc>
                <w:tcPr>
                  <w:tcW w:w="1228" w:type="dxa"/>
                  <w:noWrap w:val="0"/>
                  <w:vAlign w:val="center"/>
                </w:tcPr>
                <w:p>
                  <w:pPr>
                    <w:jc w:val="center"/>
                    <w:rPr>
                      <w:rFonts w:hint="eastAsia"/>
                      <w:szCs w:val="21"/>
                    </w:rPr>
                  </w:pPr>
                  <w:r>
                    <w:rPr>
                      <w:rFonts w:hint="eastAsia"/>
                      <w:szCs w:val="21"/>
                    </w:rPr>
                    <w:t>15%</w:t>
                  </w:r>
                </w:p>
              </w:tc>
              <w:tc>
                <w:tcPr>
                  <w:tcW w:w="1228" w:type="dxa"/>
                  <w:noWrap w:val="0"/>
                  <w:vAlign w:val="center"/>
                </w:tcPr>
                <w:p>
                  <w:pPr>
                    <w:jc w:val="center"/>
                    <w:rPr>
                      <w:rFonts w:hint="eastAsia"/>
                      <w:szCs w:val="21"/>
                    </w:rPr>
                  </w:pPr>
                  <w:r>
                    <w:rPr>
                      <w:rFonts w:hint="eastAsia"/>
                      <w:szCs w:val="21"/>
                    </w:rPr>
                    <w:t>16%</w:t>
                  </w:r>
                </w:p>
              </w:tc>
              <w:tc>
                <w:tcPr>
                  <w:tcW w:w="1228" w:type="dxa"/>
                  <w:noWrap w:val="0"/>
                  <w:vAlign w:val="center"/>
                </w:tcPr>
                <w:p>
                  <w:pPr>
                    <w:jc w:val="center"/>
                    <w:rPr>
                      <w:szCs w:val="21"/>
                    </w:rPr>
                  </w:pPr>
                  <w:r>
                    <w:rPr>
                      <w:rFonts w:hint="eastAsia"/>
                      <w:szCs w:val="21"/>
                    </w:rPr>
                    <w:t>30%</w:t>
                  </w:r>
                </w:p>
              </w:tc>
              <w:tc>
                <w:tcPr>
                  <w:tcW w:w="1228" w:type="dxa"/>
                  <w:noWrap w:val="0"/>
                  <w:vAlign w:val="center"/>
                </w:tcPr>
                <w:p>
                  <w:pPr>
                    <w:jc w:val="center"/>
                    <w:rPr>
                      <w:rFonts w:hint="eastAsia"/>
                      <w:szCs w:val="21"/>
                    </w:rPr>
                  </w:pPr>
                  <w:r>
                    <w:rPr>
                      <w:rFonts w:hint="eastAsia"/>
                      <w:szCs w:val="21"/>
                    </w:rPr>
                    <w:t>6%</w:t>
                  </w:r>
                </w:p>
              </w:tc>
              <w:tc>
                <w:tcPr>
                  <w:tcW w:w="1226" w:type="dxa"/>
                  <w:noWrap w:val="0"/>
                  <w:vAlign w:val="center"/>
                </w:tcPr>
                <w:p>
                  <w:pPr>
                    <w:jc w:val="center"/>
                    <w:rPr>
                      <w:rFonts w:hint="eastAsia"/>
                      <w:szCs w:val="21"/>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376" w:type="dxa"/>
                  <w:noWrap w:val="0"/>
                  <w:vAlign w:val="center"/>
                </w:tcPr>
                <w:p>
                  <w:pPr>
                    <w:jc w:val="center"/>
                    <w:rPr>
                      <w:szCs w:val="21"/>
                    </w:rPr>
                  </w:pPr>
                  <w:r>
                    <w:rPr>
                      <w:rFonts w:hint="eastAsia"/>
                      <w:szCs w:val="21"/>
                    </w:rPr>
                    <w:t>排放</w:t>
                  </w:r>
                  <w:r>
                    <w:rPr>
                      <w:szCs w:val="21"/>
                    </w:rPr>
                    <w:t>浓度（mg/L）</w:t>
                  </w:r>
                </w:p>
              </w:tc>
              <w:tc>
                <w:tcPr>
                  <w:tcW w:w="1228" w:type="dxa"/>
                  <w:noWrap w:val="0"/>
                  <w:vAlign w:val="center"/>
                </w:tcPr>
                <w:p>
                  <w:pPr>
                    <w:jc w:val="center"/>
                    <w:rPr>
                      <w:rFonts w:hint="eastAsia"/>
                      <w:szCs w:val="21"/>
                    </w:rPr>
                  </w:pPr>
                  <w:r>
                    <w:rPr>
                      <w:rFonts w:hint="eastAsia"/>
                      <w:szCs w:val="21"/>
                    </w:rPr>
                    <w:t>425</w:t>
                  </w:r>
                </w:p>
              </w:tc>
              <w:tc>
                <w:tcPr>
                  <w:tcW w:w="1228" w:type="dxa"/>
                  <w:noWrap w:val="0"/>
                  <w:vAlign w:val="center"/>
                </w:tcPr>
                <w:p>
                  <w:pPr>
                    <w:jc w:val="center"/>
                    <w:rPr>
                      <w:rFonts w:hint="eastAsia"/>
                      <w:szCs w:val="21"/>
                    </w:rPr>
                  </w:pPr>
                  <w:r>
                    <w:rPr>
                      <w:rFonts w:hint="eastAsia"/>
                      <w:szCs w:val="21"/>
                    </w:rPr>
                    <w:t>294</w:t>
                  </w:r>
                </w:p>
              </w:tc>
              <w:tc>
                <w:tcPr>
                  <w:tcW w:w="1228" w:type="dxa"/>
                  <w:noWrap w:val="0"/>
                  <w:vAlign w:val="center"/>
                </w:tcPr>
                <w:p>
                  <w:pPr>
                    <w:jc w:val="center"/>
                    <w:rPr>
                      <w:szCs w:val="21"/>
                    </w:rPr>
                  </w:pPr>
                  <w:r>
                    <w:rPr>
                      <w:rFonts w:hint="eastAsia"/>
                      <w:szCs w:val="21"/>
                    </w:rPr>
                    <w:t>280</w:t>
                  </w:r>
                </w:p>
              </w:tc>
              <w:tc>
                <w:tcPr>
                  <w:tcW w:w="1228" w:type="dxa"/>
                  <w:noWrap w:val="0"/>
                  <w:vAlign w:val="center"/>
                </w:tcPr>
                <w:p>
                  <w:pPr>
                    <w:jc w:val="center"/>
                    <w:rPr>
                      <w:rFonts w:hint="eastAsia"/>
                      <w:szCs w:val="21"/>
                    </w:rPr>
                  </w:pPr>
                  <w:r>
                    <w:rPr>
                      <w:rFonts w:hint="eastAsia"/>
                      <w:szCs w:val="21"/>
                    </w:rPr>
                    <w:t>43.24</w:t>
                  </w:r>
                </w:p>
              </w:tc>
              <w:tc>
                <w:tcPr>
                  <w:tcW w:w="1226" w:type="dxa"/>
                  <w:noWrap w:val="0"/>
                  <w:vAlign w:val="center"/>
                </w:tcPr>
                <w:p>
                  <w:pPr>
                    <w:jc w:val="center"/>
                    <w:rPr>
                      <w:rFonts w:hint="eastAsia"/>
                      <w:szCs w:val="21"/>
                    </w:rPr>
                  </w:pPr>
                  <w:r>
                    <w:rPr>
                      <w:rFonts w:hint="eastAsia"/>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376" w:type="dxa"/>
                  <w:noWrap w:val="0"/>
                  <w:vAlign w:val="center"/>
                </w:tcPr>
                <w:p>
                  <w:pPr>
                    <w:jc w:val="center"/>
                    <w:rPr>
                      <w:szCs w:val="21"/>
                    </w:rPr>
                  </w:pPr>
                  <w:r>
                    <w:rPr>
                      <w:szCs w:val="21"/>
                    </w:rPr>
                    <w:t>日</w:t>
                  </w:r>
                  <w:r>
                    <w:rPr>
                      <w:rFonts w:hint="eastAsia"/>
                      <w:szCs w:val="21"/>
                    </w:rPr>
                    <w:t>排放</w:t>
                  </w:r>
                  <w:r>
                    <w:rPr>
                      <w:szCs w:val="21"/>
                    </w:rPr>
                    <w:t>量（kg/</w:t>
                  </w:r>
                  <w:r>
                    <w:rPr>
                      <w:rFonts w:hint="eastAsia"/>
                      <w:szCs w:val="21"/>
                    </w:rPr>
                    <w:t>d</w:t>
                  </w:r>
                  <w:r>
                    <w:rPr>
                      <w:szCs w:val="21"/>
                    </w:rPr>
                    <w:t>）</w:t>
                  </w:r>
                </w:p>
              </w:tc>
              <w:tc>
                <w:tcPr>
                  <w:tcW w:w="1228" w:type="dxa"/>
                  <w:noWrap w:val="0"/>
                  <w:vAlign w:val="center"/>
                </w:tcPr>
                <w:p>
                  <w:pPr>
                    <w:widowControl/>
                    <w:jc w:val="center"/>
                    <w:rPr>
                      <w:kern w:val="0"/>
                      <w:sz w:val="22"/>
                      <w:szCs w:val="22"/>
                    </w:rPr>
                  </w:pPr>
                  <w:r>
                    <w:rPr>
                      <w:rFonts w:hint="eastAsia"/>
                      <w:color w:val="000000"/>
                      <w:sz w:val="22"/>
                      <w:szCs w:val="22"/>
                    </w:rPr>
                    <w:t>69.13</w:t>
                  </w:r>
                </w:p>
              </w:tc>
              <w:tc>
                <w:tcPr>
                  <w:tcW w:w="1228" w:type="dxa"/>
                  <w:noWrap w:val="0"/>
                  <w:vAlign w:val="center"/>
                </w:tcPr>
                <w:p>
                  <w:pPr>
                    <w:jc w:val="center"/>
                    <w:rPr>
                      <w:rFonts w:hint="eastAsia"/>
                      <w:sz w:val="22"/>
                      <w:szCs w:val="22"/>
                    </w:rPr>
                  </w:pPr>
                  <w:r>
                    <w:rPr>
                      <w:rFonts w:hint="eastAsia"/>
                      <w:color w:val="000000"/>
                      <w:sz w:val="22"/>
                      <w:szCs w:val="22"/>
                    </w:rPr>
                    <w:t>47.82</w:t>
                  </w:r>
                </w:p>
              </w:tc>
              <w:tc>
                <w:tcPr>
                  <w:tcW w:w="1228" w:type="dxa"/>
                  <w:noWrap w:val="0"/>
                  <w:vAlign w:val="center"/>
                </w:tcPr>
                <w:p>
                  <w:pPr>
                    <w:jc w:val="center"/>
                    <w:rPr>
                      <w:rFonts w:hint="eastAsia"/>
                      <w:sz w:val="22"/>
                      <w:szCs w:val="22"/>
                    </w:rPr>
                  </w:pPr>
                  <w:r>
                    <w:rPr>
                      <w:rFonts w:hint="eastAsia"/>
                      <w:color w:val="000000"/>
                      <w:sz w:val="22"/>
                      <w:szCs w:val="22"/>
                    </w:rPr>
                    <w:t>45.54</w:t>
                  </w:r>
                </w:p>
              </w:tc>
              <w:tc>
                <w:tcPr>
                  <w:tcW w:w="1228" w:type="dxa"/>
                  <w:noWrap w:val="0"/>
                  <w:vAlign w:val="center"/>
                </w:tcPr>
                <w:p>
                  <w:pPr>
                    <w:jc w:val="center"/>
                    <w:rPr>
                      <w:rFonts w:hint="eastAsia"/>
                      <w:sz w:val="22"/>
                      <w:szCs w:val="22"/>
                    </w:rPr>
                  </w:pPr>
                  <w:r>
                    <w:rPr>
                      <w:rFonts w:hint="eastAsia"/>
                      <w:color w:val="000000"/>
                      <w:sz w:val="22"/>
                      <w:szCs w:val="22"/>
                    </w:rPr>
                    <w:t>7.03</w:t>
                  </w:r>
                </w:p>
              </w:tc>
              <w:tc>
                <w:tcPr>
                  <w:tcW w:w="1226" w:type="dxa"/>
                  <w:noWrap w:val="0"/>
                  <w:vAlign w:val="center"/>
                </w:tcPr>
                <w:p>
                  <w:pPr>
                    <w:jc w:val="center"/>
                    <w:rPr>
                      <w:rFonts w:hint="eastAsia"/>
                      <w:sz w:val="22"/>
                      <w:szCs w:val="22"/>
                    </w:rPr>
                  </w:pPr>
                  <w:r>
                    <w:rPr>
                      <w:rFonts w:hint="eastAsia"/>
                      <w:color w:val="000000"/>
                      <w:sz w:val="22"/>
                      <w:szCs w:val="22"/>
                    </w:rPr>
                    <w:t>4.7</w:t>
                  </w:r>
                  <w:r>
                    <w:rPr>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376" w:type="dxa"/>
                  <w:noWrap w:val="0"/>
                  <w:vAlign w:val="center"/>
                </w:tcPr>
                <w:p>
                  <w:pPr>
                    <w:jc w:val="center"/>
                    <w:rPr>
                      <w:szCs w:val="21"/>
                    </w:rPr>
                  </w:pPr>
                  <w:r>
                    <w:rPr>
                      <w:rFonts w:hint="eastAsia"/>
                      <w:szCs w:val="21"/>
                    </w:rPr>
                    <w:t>年排放</w:t>
                  </w:r>
                  <w:r>
                    <w:rPr>
                      <w:szCs w:val="21"/>
                    </w:rPr>
                    <w:t>量（t/</w:t>
                  </w:r>
                  <w:r>
                    <w:rPr>
                      <w:rFonts w:hint="eastAsia"/>
                      <w:szCs w:val="21"/>
                    </w:rPr>
                    <w:t>a</w:t>
                  </w:r>
                  <w:r>
                    <w:rPr>
                      <w:szCs w:val="21"/>
                    </w:rPr>
                    <w:t>）</w:t>
                  </w:r>
                </w:p>
              </w:tc>
              <w:tc>
                <w:tcPr>
                  <w:tcW w:w="1228" w:type="dxa"/>
                  <w:noWrap w:val="0"/>
                  <w:vAlign w:val="center"/>
                </w:tcPr>
                <w:p>
                  <w:pPr>
                    <w:jc w:val="center"/>
                    <w:rPr>
                      <w:rFonts w:hint="eastAsia"/>
                      <w:sz w:val="22"/>
                      <w:szCs w:val="22"/>
                    </w:rPr>
                  </w:pPr>
                  <w:r>
                    <w:rPr>
                      <w:rFonts w:hint="eastAsia"/>
                      <w:color w:val="000000"/>
                      <w:sz w:val="22"/>
                      <w:szCs w:val="22"/>
                    </w:rPr>
                    <w:t>25.23</w:t>
                  </w:r>
                </w:p>
              </w:tc>
              <w:tc>
                <w:tcPr>
                  <w:tcW w:w="1228" w:type="dxa"/>
                  <w:noWrap w:val="0"/>
                  <w:vAlign w:val="center"/>
                </w:tcPr>
                <w:p>
                  <w:pPr>
                    <w:jc w:val="center"/>
                    <w:rPr>
                      <w:rFonts w:hint="eastAsia"/>
                      <w:sz w:val="22"/>
                      <w:szCs w:val="22"/>
                    </w:rPr>
                  </w:pPr>
                  <w:r>
                    <w:rPr>
                      <w:rFonts w:hint="eastAsia"/>
                      <w:color w:val="000000"/>
                      <w:sz w:val="22"/>
                      <w:szCs w:val="22"/>
                    </w:rPr>
                    <w:t>17.45</w:t>
                  </w:r>
                </w:p>
              </w:tc>
              <w:tc>
                <w:tcPr>
                  <w:tcW w:w="1228" w:type="dxa"/>
                  <w:noWrap w:val="0"/>
                  <w:vAlign w:val="center"/>
                </w:tcPr>
                <w:p>
                  <w:pPr>
                    <w:jc w:val="center"/>
                    <w:rPr>
                      <w:rFonts w:hint="eastAsia"/>
                      <w:sz w:val="22"/>
                      <w:szCs w:val="22"/>
                    </w:rPr>
                  </w:pPr>
                  <w:r>
                    <w:rPr>
                      <w:rFonts w:hint="eastAsia"/>
                      <w:color w:val="000000"/>
                      <w:sz w:val="22"/>
                      <w:szCs w:val="22"/>
                    </w:rPr>
                    <w:t>16.62</w:t>
                  </w:r>
                </w:p>
              </w:tc>
              <w:tc>
                <w:tcPr>
                  <w:tcW w:w="1228" w:type="dxa"/>
                  <w:noWrap w:val="0"/>
                  <w:vAlign w:val="center"/>
                </w:tcPr>
                <w:p>
                  <w:pPr>
                    <w:jc w:val="center"/>
                    <w:rPr>
                      <w:rFonts w:hint="eastAsia"/>
                      <w:sz w:val="22"/>
                      <w:szCs w:val="22"/>
                    </w:rPr>
                  </w:pPr>
                  <w:r>
                    <w:rPr>
                      <w:rFonts w:hint="eastAsia"/>
                      <w:color w:val="000000"/>
                      <w:sz w:val="22"/>
                      <w:szCs w:val="22"/>
                    </w:rPr>
                    <w:t>2.5</w:t>
                  </w:r>
                  <w:r>
                    <w:rPr>
                      <w:color w:val="000000"/>
                      <w:sz w:val="22"/>
                      <w:szCs w:val="22"/>
                    </w:rPr>
                    <w:t>7</w:t>
                  </w:r>
                </w:p>
              </w:tc>
              <w:tc>
                <w:tcPr>
                  <w:tcW w:w="1226" w:type="dxa"/>
                  <w:noWrap w:val="0"/>
                  <w:vAlign w:val="center"/>
                </w:tcPr>
                <w:p>
                  <w:pPr>
                    <w:jc w:val="center"/>
                    <w:rPr>
                      <w:rFonts w:hint="eastAsia"/>
                      <w:sz w:val="22"/>
                      <w:szCs w:val="22"/>
                    </w:rPr>
                  </w:pPr>
                  <w:r>
                    <w:rPr>
                      <w:rFonts w:hint="eastAsia"/>
                      <w:color w:val="000000"/>
                      <w:sz w:val="22"/>
                      <w:szCs w:val="22"/>
                    </w:rPr>
                    <w:t>1.72</w:t>
                  </w:r>
                </w:p>
              </w:tc>
            </w:tr>
          </w:tbl>
          <w:p>
            <w:pPr>
              <w:spacing w:before="156" w:beforeLines="50" w:line="360" w:lineRule="auto"/>
              <w:ind w:firstLine="480" w:firstLineChars="200"/>
              <w:rPr>
                <w:rFonts w:hint="eastAsia"/>
                <w:sz w:val="24"/>
              </w:rPr>
            </w:pPr>
            <w:r>
              <w:rPr>
                <w:sz w:val="24"/>
              </w:rPr>
              <w:t>（</w:t>
            </w:r>
            <w:r>
              <w:rPr>
                <w:rFonts w:hint="eastAsia"/>
                <w:sz w:val="24"/>
              </w:rPr>
              <w:t>7</w:t>
            </w:r>
            <w:r>
              <w:rPr>
                <w:sz w:val="24"/>
              </w:rPr>
              <w:t>）污水处理措施可行性分析</w:t>
            </w:r>
            <w:r>
              <w:rPr>
                <w:rFonts w:hint="eastAsia"/>
                <w:sz w:val="24"/>
              </w:rPr>
              <w:t>：</w:t>
            </w:r>
          </w:p>
          <w:p>
            <w:pPr>
              <w:spacing w:line="360" w:lineRule="auto"/>
              <w:ind w:firstLine="480" w:firstLineChars="200"/>
              <w:rPr>
                <w:rFonts w:hint="eastAsia"/>
                <w:sz w:val="24"/>
              </w:rPr>
            </w:pPr>
            <w:r>
              <w:rPr>
                <w:rFonts w:hint="eastAsia"/>
                <w:sz w:val="24"/>
              </w:rPr>
              <w:t>项目废水产生量为2</w:t>
            </w:r>
            <w:r>
              <w:rPr>
                <w:sz w:val="24"/>
              </w:rPr>
              <w:t>63.94</w:t>
            </w:r>
            <w:r>
              <w:rPr>
                <w:rFonts w:eastAsia="新宋体"/>
                <w:bCs/>
                <w:sz w:val="24"/>
              </w:rPr>
              <w:t xml:space="preserve"> m</w:t>
            </w:r>
            <w:r>
              <w:rPr>
                <w:rFonts w:eastAsia="新宋体"/>
                <w:bCs/>
                <w:sz w:val="24"/>
                <w:vertAlign w:val="superscript"/>
              </w:rPr>
              <w:t>3</w:t>
            </w:r>
            <w:r>
              <w:rPr>
                <w:rFonts w:eastAsia="新宋体"/>
                <w:bCs/>
                <w:sz w:val="24"/>
              </w:rPr>
              <w:t>/d</w:t>
            </w:r>
            <w:r>
              <w:rPr>
                <w:rFonts w:hint="eastAsia" w:eastAsia="新宋体"/>
                <w:bCs/>
                <w:sz w:val="24"/>
              </w:rPr>
              <w:t>，其中</w:t>
            </w:r>
            <w:r>
              <w:rPr>
                <w:rFonts w:hint="eastAsia"/>
                <w:sz w:val="24"/>
              </w:rPr>
              <w:t>101.27m</w:t>
            </w:r>
            <w:r>
              <w:rPr>
                <w:rFonts w:hint="eastAsia"/>
                <w:sz w:val="24"/>
                <w:vertAlign w:val="superscript"/>
              </w:rPr>
              <w:t>3</w:t>
            </w:r>
            <w:r>
              <w:rPr>
                <w:rFonts w:hint="eastAsia"/>
                <w:sz w:val="24"/>
              </w:rPr>
              <w:t>/d进入中水处理站处理后回用，剩余的</w:t>
            </w:r>
            <w:r>
              <w:rPr>
                <w:sz w:val="24"/>
              </w:rPr>
              <w:t>162.67m</w:t>
            </w:r>
            <w:r>
              <w:rPr>
                <w:sz w:val="24"/>
                <w:vertAlign w:val="superscript"/>
              </w:rPr>
              <w:t>3</w:t>
            </w:r>
            <w:r>
              <w:rPr>
                <w:sz w:val="24"/>
              </w:rPr>
              <w:t>/d</w:t>
            </w:r>
            <w:r>
              <w:rPr>
                <w:rFonts w:hint="eastAsia"/>
                <w:sz w:val="24"/>
              </w:rPr>
              <w:t>经</w:t>
            </w:r>
            <w:r>
              <w:rPr>
                <w:sz w:val="24"/>
              </w:rPr>
              <w:t>化粪池处理</w:t>
            </w:r>
            <w:r>
              <w:rPr>
                <w:rFonts w:hint="eastAsia"/>
                <w:sz w:val="24"/>
              </w:rPr>
              <w:t>后（北区</w:t>
            </w:r>
            <w:r>
              <w:rPr>
                <w:sz w:val="24"/>
              </w:rPr>
              <w:t>化粪池90 m</w:t>
            </w:r>
            <w:r>
              <w:rPr>
                <w:rFonts w:hint="eastAsia"/>
                <w:sz w:val="24"/>
                <w:vertAlign w:val="superscript"/>
              </w:rPr>
              <w:t>3</w:t>
            </w:r>
            <w:r>
              <w:rPr>
                <w:rFonts w:hint="eastAsia"/>
                <w:sz w:val="24"/>
              </w:rPr>
              <w:t>，</w:t>
            </w:r>
            <w:r>
              <w:rPr>
                <w:sz w:val="24"/>
              </w:rPr>
              <w:t>南</w:t>
            </w:r>
            <w:r>
              <w:rPr>
                <w:rFonts w:hint="eastAsia"/>
                <w:sz w:val="24"/>
              </w:rPr>
              <w:t>区</w:t>
            </w:r>
            <w:r>
              <w:rPr>
                <w:sz w:val="24"/>
              </w:rPr>
              <w:t>化粪池18</w:t>
            </w:r>
            <w:r>
              <w:rPr>
                <w:rFonts w:hint="eastAsia"/>
                <w:sz w:val="24"/>
              </w:rPr>
              <w:t>0</w:t>
            </w:r>
            <w:r>
              <w:rPr>
                <w:sz w:val="24"/>
              </w:rPr>
              <w:t xml:space="preserve"> m</w:t>
            </w:r>
            <w:r>
              <w:rPr>
                <w:rFonts w:hint="eastAsia"/>
                <w:sz w:val="24"/>
                <w:vertAlign w:val="superscript"/>
              </w:rPr>
              <w:t>3</w:t>
            </w:r>
            <w:r>
              <w:rPr>
                <w:rFonts w:hint="eastAsia"/>
                <w:sz w:val="24"/>
              </w:rPr>
              <w:t>），</w:t>
            </w:r>
            <w:r>
              <w:rPr>
                <w:sz w:val="24"/>
              </w:rPr>
              <w:t>达到《污水综合排放标准》（GB8978-1996）表4三级标准和《污水排入城镇下水道水质标准》（CJ343-2010）表1中B等级标准后排入城市污水管网，进入</w:t>
            </w:r>
            <w:r>
              <w:rPr>
                <w:rFonts w:hint="eastAsia"/>
                <w:sz w:val="24"/>
              </w:rPr>
              <w:t>维西县</w:t>
            </w:r>
            <w:r>
              <w:rPr>
                <w:sz w:val="24"/>
              </w:rPr>
              <w:t>污水处理厂处理。因此项目污水对环境的影响较小。</w:t>
            </w:r>
          </w:p>
          <w:p>
            <w:pPr>
              <w:spacing w:line="360" w:lineRule="auto"/>
              <w:ind w:firstLine="482" w:firstLineChars="200"/>
              <w:jc w:val="left"/>
              <w:rPr>
                <w:b/>
                <w:sz w:val="24"/>
              </w:rPr>
            </w:pPr>
          </w:p>
          <w:p>
            <w:pPr>
              <w:spacing w:line="360" w:lineRule="auto"/>
              <w:ind w:firstLine="482" w:firstLineChars="200"/>
              <w:jc w:val="left"/>
              <w:rPr>
                <w:b/>
                <w:sz w:val="24"/>
              </w:rPr>
            </w:pPr>
          </w:p>
          <w:p>
            <w:pPr>
              <w:spacing w:line="360" w:lineRule="auto"/>
              <w:ind w:firstLine="482" w:firstLineChars="200"/>
              <w:jc w:val="left"/>
              <w:rPr>
                <w:b/>
                <w:sz w:val="24"/>
              </w:rPr>
            </w:pPr>
          </w:p>
          <w:p>
            <w:pPr>
              <w:spacing w:line="360" w:lineRule="auto"/>
              <w:ind w:firstLine="482" w:firstLineChars="200"/>
              <w:jc w:val="left"/>
              <w:rPr>
                <w:b/>
                <w:sz w:val="24"/>
              </w:rPr>
            </w:pPr>
          </w:p>
          <w:p>
            <w:pPr>
              <w:spacing w:line="360" w:lineRule="auto"/>
              <w:ind w:firstLine="482" w:firstLineChars="200"/>
              <w:jc w:val="left"/>
              <w:rPr>
                <w:b/>
                <w:sz w:val="24"/>
              </w:rPr>
            </w:pPr>
          </w:p>
          <w:p>
            <w:pPr>
              <w:spacing w:line="360" w:lineRule="auto"/>
              <w:ind w:firstLine="482" w:firstLineChars="200"/>
              <w:jc w:val="left"/>
              <w:rPr>
                <w:b/>
                <w:sz w:val="24"/>
              </w:rPr>
            </w:pPr>
          </w:p>
          <w:p>
            <w:pPr>
              <w:spacing w:line="360" w:lineRule="auto"/>
              <w:ind w:firstLine="482" w:firstLineChars="200"/>
              <w:jc w:val="left"/>
              <w:rPr>
                <w:b/>
                <w:sz w:val="24"/>
              </w:rPr>
            </w:pPr>
          </w:p>
          <w:p>
            <w:pPr>
              <w:spacing w:line="360" w:lineRule="auto"/>
              <w:ind w:firstLine="482" w:firstLineChars="200"/>
              <w:jc w:val="left"/>
              <w:rPr>
                <w:b/>
                <w:sz w:val="24"/>
              </w:rPr>
            </w:pPr>
          </w:p>
          <w:p>
            <w:pPr>
              <w:spacing w:line="360" w:lineRule="auto"/>
              <w:ind w:firstLine="482" w:firstLineChars="200"/>
              <w:jc w:val="left"/>
              <w:rPr>
                <w:b/>
                <w:sz w:val="24"/>
              </w:rPr>
            </w:pPr>
          </w:p>
          <w:p>
            <w:pPr>
              <w:spacing w:line="360" w:lineRule="auto"/>
              <w:ind w:firstLine="482" w:firstLineChars="200"/>
              <w:jc w:val="left"/>
              <w:rPr>
                <w:b/>
                <w:sz w:val="24"/>
              </w:rPr>
            </w:pPr>
          </w:p>
          <w:p>
            <w:pPr>
              <w:spacing w:line="360" w:lineRule="auto"/>
              <w:ind w:firstLine="482" w:firstLineChars="200"/>
              <w:jc w:val="left"/>
              <w:rPr>
                <w:b/>
                <w:sz w:val="24"/>
              </w:rPr>
            </w:pPr>
            <w:r>
              <w:rPr>
                <w:rFonts w:hAnsi="宋体"/>
                <w:b/>
                <w:sz w:val="24"/>
                <w:lang/>
              </w:rPr>
              <mc:AlternateContent>
                <mc:Choice Requires="wps">
                  <w:drawing>
                    <wp:anchor distT="0" distB="0" distL="114300" distR="114300" simplePos="0" relativeHeight="251668480" behindDoc="0" locked="0" layoutInCell="1" allowOverlap="1">
                      <wp:simplePos x="0" y="0"/>
                      <wp:positionH relativeFrom="column">
                        <wp:posOffset>1741170</wp:posOffset>
                      </wp:positionH>
                      <wp:positionV relativeFrom="paragraph">
                        <wp:posOffset>107315</wp:posOffset>
                      </wp:positionV>
                      <wp:extent cx="746760" cy="288290"/>
                      <wp:effectExtent l="0" t="0" r="15240" b="16510"/>
                      <wp:wrapNone/>
                      <wp:docPr id="37" name="文本框 1318"/>
                      <wp:cNvGraphicFramePr/>
                      <a:graphic xmlns:a="http://schemas.openxmlformats.org/drawingml/2006/main">
                        <a:graphicData uri="http://schemas.microsoft.com/office/word/2010/wordprocessingShape">
                          <wps:wsp>
                            <wps:cNvSpPr txBox="1"/>
                            <wps:spPr>
                              <a:xfrm>
                                <a:off x="0" y="0"/>
                                <a:ext cx="746760" cy="288290"/>
                              </a:xfrm>
                              <a:prstGeom prst="rect">
                                <a:avLst/>
                              </a:prstGeom>
                              <a:solidFill>
                                <a:srgbClr val="FFFFFF"/>
                              </a:solidFill>
                              <a:ln>
                                <a:noFill/>
                              </a:ln>
                            </wps:spPr>
                            <wps:txbx>
                              <w:txbxContent>
                                <w:p>
                                  <w:pPr>
                                    <w:jc w:val="center"/>
                                  </w:pPr>
                                  <w:r>
                                    <w:t>13.1632</w:t>
                                  </w:r>
                                </w:p>
                              </w:txbxContent>
                            </wps:txbx>
                            <wps:bodyPr wrap="square" upright="1"/>
                          </wps:wsp>
                        </a:graphicData>
                      </a:graphic>
                    </wp:anchor>
                  </w:drawing>
                </mc:Choice>
                <mc:Fallback>
                  <w:pict>
                    <v:shape id="文本框 1318" o:spid="_x0000_s1026" o:spt="202" type="#_x0000_t202" style="position:absolute;left:0pt;margin-left:137.1pt;margin-top:8.45pt;height:22.7pt;width:58.8pt;z-index:251668480;mso-width-relative:page;mso-height-relative:page;" fillcolor="#FFFFFF" filled="t" stroked="f" coordsize="21600,21600" o:gfxdata="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&#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m6h51gAAAAkBAAAPAAAAAAAAAAEAIAAAACIAAABk&#10;cnMvZG93bnJldi54bWxQSwECFAAUAAAACACHTuJAMBPa0c8BAACIAwAADgAAAAAAAAABACAAAAAl&#10;AQAAZHJzL2Uyb0RvYy54bWxQSwUGAAAAAAYABgBZAQAAZgUAAAAA&#10;">
                      <v:fill on="t" focussize="0,0"/>
                      <v:stroke on="f"/>
                      <v:imagedata o:title=""/>
                      <o:lock v:ext="edit" aspectratio="f"/>
                      <v:textbox>
                        <w:txbxContent>
                          <w:p>
                            <w:pPr>
                              <w:jc w:val="center"/>
                            </w:pPr>
                            <w:r>
                              <w:t>13.1632</w:t>
                            </w:r>
                          </w:p>
                        </w:txbxContent>
                      </v:textbox>
                    </v:shape>
                  </w:pict>
                </mc:Fallback>
              </mc:AlternateContent>
            </w:r>
            <w:r>
              <w:rPr>
                <w:b/>
                <w:sz w:val="24"/>
                <w:lang/>
              </w:rPr>
              <mc:AlternateContent>
                <mc:Choice Requires="wps">
                  <w:drawing>
                    <wp:anchor distT="0" distB="0" distL="114300" distR="114300" simplePos="0" relativeHeight="251680768" behindDoc="0" locked="0" layoutInCell="1" allowOverlap="1">
                      <wp:simplePos x="0" y="0"/>
                      <wp:positionH relativeFrom="column">
                        <wp:posOffset>1887855</wp:posOffset>
                      </wp:positionH>
                      <wp:positionV relativeFrom="paragraph">
                        <wp:posOffset>318135</wp:posOffset>
                      </wp:positionV>
                      <wp:extent cx="201930" cy="161925"/>
                      <wp:effectExtent l="5080" t="0" r="23495" b="7620"/>
                      <wp:wrapNone/>
                      <wp:docPr id="48" name="自选图形 1330"/>
                      <wp:cNvGraphicFramePr/>
                      <a:graphic xmlns:a="http://schemas.openxmlformats.org/drawingml/2006/main">
                        <a:graphicData uri="http://schemas.microsoft.com/office/word/2010/wordprocessingShape">
                          <wps:wsp>
                            <wps:cNvCnPr/>
                            <wps:spPr>
                              <a:xfrm rot="16200000">
                                <a:off x="0" y="0"/>
                                <a:ext cx="201930" cy="161925"/>
                              </a:xfrm>
                              <a:prstGeom prst="curvedConnector3">
                                <a:avLst>
                                  <a:gd name="adj1" fmla="val 50000"/>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330" o:spid="_x0000_s1026" o:spt="38" type="#_x0000_t38" style="position:absolute;left:0pt;margin-left:148.65pt;margin-top:25.05pt;height:12.75pt;width:15.9pt;rotation:-5898240f;z-index:251680768;mso-width-relative:page;mso-height-relative:page;" filled="f" stroked="t" coordsize="21600,21600" o:gfxdata="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y505Ha&#10;AAAACQEAAA8AAAAAAAAAAQAgAAAAIgAAAGRycy9kb3ducmV2LnhtbFBLAQIUABQAAAAIAIdO4kD6&#10;sxvPHgIAACgEAAAOAAAAAAAAAAEAIAAAACkBAABkcnMvZTJvRG9jLnhtbFBLBQYAAAAABgAGAFkB&#10;AAC5BQAAAAA=&#10;" adj="10800">
                      <v:fill on="f" focussize="0,0"/>
                      <v:stroke color="#000000" joinstyle="round" dashstyle="dash" endarrow="block"/>
                      <v:imagedata o:title=""/>
                      <o:lock v:ext="edit" aspectratio="f"/>
                    </v:shape>
                  </w:pict>
                </mc:Fallback>
              </mc:AlternateContent>
            </w:r>
          </w:p>
          <w:p>
            <w:pPr>
              <w:spacing w:line="360" w:lineRule="auto"/>
              <w:ind w:firstLine="482" w:firstLineChars="200"/>
              <w:jc w:val="left"/>
              <w:rPr>
                <w:b/>
                <w:sz w:val="24"/>
              </w:rPr>
            </w:pPr>
            <w:r>
              <w:rPr>
                <w:b/>
                <w:sz w:val="24"/>
                <w:lang/>
              </w:rPr>
              <mc:AlternateContent>
                <mc:Choice Requires="wps">
                  <w:drawing>
                    <wp:anchor distT="0" distB="0" distL="114300" distR="114300" simplePos="0" relativeHeight="251674624" behindDoc="0" locked="0" layoutInCell="1" allowOverlap="1">
                      <wp:simplePos x="0" y="0"/>
                      <wp:positionH relativeFrom="column">
                        <wp:posOffset>2402840</wp:posOffset>
                      </wp:positionH>
                      <wp:positionV relativeFrom="paragraph">
                        <wp:posOffset>69215</wp:posOffset>
                      </wp:positionV>
                      <wp:extent cx="767715" cy="288290"/>
                      <wp:effectExtent l="0" t="0" r="13335" b="16510"/>
                      <wp:wrapNone/>
                      <wp:docPr id="43" name="文本框 1324"/>
                      <wp:cNvGraphicFramePr/>
                      <a:graphic xmlns:a="http://schemas.openxmlformats.org/drawingml/2006/main">
                        <a:graphicData uri="http://schemas.microsoft.com/office/word/2010/wordprocessingShape">
                          <wps:wsp>
                            <wps:cNvSpPr txBox="1"/>
                            <wps:spPr>
                              <a:xfrm>
                                <a:off x="0" y="0"/>
                                <a:ext cx="767715" cy="288290"/>
                              </a:xfrm>
                              <a:prstGeom prst="rect">
                                <a:avLst/>
                              </a:prstGeom>
                              <a:solidFill>
                                <a:srgbClr val="FFFFFF"/>
                              </a:solidFill>
                              <a:ln>
                                <a:noFill/>
                              </a:ln>
                            </wps:spPr>
                            <wps:txbx>
                              <w:txbxContent>
                                <w:p>
                                  <w:pPr>
                                    <w:jc w:val="center"/>
                                  </w:pPr>
                                  <w:r>
                                    <w:t>52.6528</w:t>
                                  </w:r>
                                </w:p>
                              </w:txbxContent>
                            </wps:txbx>
                            <wps:bodyPr wrap="square" upright="1"/>
                          </wps:wsp>
                        </a:graphicData>
                      </a:graphic>
                    </wp:anchor>
                  </w:drawing>
                </mc:Choice>
                <mc:Fallback>
                  <w:pict>
                    <v:shape id="文本框 1324" o:spid="_x0000_s1026" o:spt="202" type="#_x0000_t202" style="position:absolute;left:0pt;margin-left:189.2pt;margin-top:5.45pt;height:22.7pt;width:60.45pt;z-index:251674624;mso-width-relative:page;mso-height-relative:page;" fillcolor="#FFFFFF" filled="t" stroked="f" coordsize="21600,21600" o:gfxdata="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bVqZb2AAAAAkBAAAPAAAAAAAAAAEAIAAAACIA&#10;AABkcnMvZG93bnJldi54bWxQSwECFAAUAAAACACHTuJAaUfxR9ABAACIAwAADgAAAAAAAAABACAA&#10;AAAnAQAAZHJzL2Uyb0RvYy54bWxQSwUGAAAAAAYABgBZAQAAaQUAAAAA&#10;">
                      <v:fill on="t" focussize="0,0"/>
                      <v:stroke on="f"/>
                      <v:imagedata o:title=""/>
                      <o:lock v:ext="edit" aspectratio="f"/>
                      <v:textbox>
                        <w:txbxContent>
                          <w:p>
                            <w:pPr>
                              <w:jc w:val="center"/>
                            </w:pPr>
                            <w:r>
                              <w:t>52.6528</w:t>
                            </w:r>
                          </w:p>
                        </w:txbxContent>
                      </v:textbox>
                    </v:shape>
                  </w:pict>
                </mc:Fallback>
              </mc:AlternateContent>
            </w:r>
            <w:r>
              <w:rPr>
                <w:b/>
                <w:sz w:val="24"/>
                <w:lang/>
              </w:rPr>
              <mc:AlternateContent>
                <mc:Choice Requires="wps">
                  <w:drawing>
                    <wp:anchor distT="0" distB="0" distL="114300" distR="114300" simplePos="0" relativeHeight="251673600" behindDoc="0" locked="0" layoutInCell="1" allowOverlap="1">
                      <wp:simplePos x="0" y="0"/>
                      <wp:positionH relativeFrom="column">
                        <wp:posOffset>639445</wp:posOffset>
                      </wp:positionH>
                      <wp:positionV relativeFrom="paragraph">
                        <wp:posOffset>69215</wp:posOffset>
                      </wp:positionV>
                      <wp:extent cx="655320" cy="288290"/>
                      <wp:effectExtent l="0" t="0" r="11430" b="16510"/>
                      <wp:wrapNone/>
                      <wp:docPr id="42" name="文本框 1323"/>
                      <wp:cNvGraphicFramePr/>
                      <a:graphic xmlns:a="http://schemas.openxmlformats.org/drawingml/2006/main">
                        <a:graphicData uri="http://schemas.microsoft.com/office/word/2010/wordprocessingShape">
                          <wps:wsp>
                            <wps:cNvSpPr txBox="1"/>
                            <wps:spPr>
                              <a:xfrm>
                                <a:off x="0" y="0"/>
                                <a:ext cx="655320" cy="288290"/>
                              </a:xfrm>
                              <a:prstGeom prst="rect">
                                <a:avLst/>
                              </a:prstGeom>
                              <a:solidFill>
                                <a:srgbClr val="FFFFFF"/>
                              </a:solidFill>
                              <a:ln>
                                <a:noFill/>
                              </a:ln>
                            </wps:spPr>
                            <wps:txbx>
                              <w:txbxContent>
                                <w:p>
                                  <w:pPr>
                                    <w:jc w:val="center"/>
                                  </w:pPr>
                                  <w:r>
                                    <w:t>65.816</w:t>
                                  </w:r>
                                </w:p>
                              </w:txbxContent>
                            </wps:txbx>
                            <wps:bodyPr wrap="square" upright="1"/>
                          </wps:wsp>
                        </a:graphicData>
                      </a:graphic>
                    </wp:anchor>
                  </w:drawing>
                </mc:Choice>
                <mc:Fallback>
                  <w:pict>
                    <v:shape id="文本框 1323" o:spid="_x0000_s1026" o:spt="202" type="#_x0000_t202" style="position:absolute;left:0pt;margin-left:50.35pt;margin-top:5.45pt;height:22.7pt;width:51.6pt;z-index:251673600;mso-width-relative:page;mso-height-relative:page;" fillcolor="#FFFFFF" filled="t" stroked="f" coordsize="21600,21600" o:gfxdata="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&#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OQAa1gAAAAkBAAAPAAAAAAAAAAEAIAAAACIAAABk&#10;cnMvZG93bnJldi54bWxQSwECFAAUAAAACACHTuJA/gc+yM8BAACIAwAADgAAAAAAAAABACAAAAAl&#10;AQAAZHJzL2Uyb0RvYy54bWxQSwUGAAAAAAYABgBZAQAAZgUAAAAA&#10;">
                      <v:fill on="t" focussize="0,0"/>
                      <v:stroke on="f"/>
                      <v:imagedata o:title=""/>
                      <o:lock v:ext="edit" aspectratio="f"/>
                      <v:textbox>
                        <w:txbxContent>
                          <w:p>
                            <w:pPr>
                              <w:jc w:val="center"/>
                            </w:pPr>
                            <w:r>
                              <w:t>65.816</w:t>
                            </w:r>
                          </w:p>
                        </w:txbxContent>
                      </v:textbox>
                    </v:shape>
                  </w:pict>
                </mc:Fallback>
              </mc:AlternateContent>
            </w:r>
            <w:r>
              <w:rPr>
                <w:rFonts w:hAnsi="宋体"/>
                <w:b/>
                <w:sz w:val="24"/>
                <w:lang/>
              </w:rPr>
              <mc:AlternateContent>
                <mc:Choice Requires="wps">
                  <w:drawing>
                    <wp:anchor distT="0" distB="0" distL="114300" distR="114300" simplePos="0" relativeHeight="251675648" behindDoc="0" locked="0" layoutInCell="1" allowOverlap="1">
                      <wp:simplePos x="0" y="0"/>
                      <wp:positionH relativeFrom="column">
                        <wp:posOffset>1785620</wp:posOffset>
                      </wp:positionH>
                      <wp:positionV relativeFrom="paragraph">
                        <wp:posOffset>300990</wp:posOffset>
                      </wp:positionV>
                      <wp:extent cx="201295" cy="161925"/>
                      <wp:effectExtent l="4445" t="0" r="24130" b="8255"/>
                      <wp:wrapNone/>
                      <wp:docPr id="44" name="自选图形 1325"/>
                      <wp:cNvGraphicFramePr/>
                      <a:graphic xmlns:a="http://schemas.openxmlformats.org/drawingml/2006/main">
                        <a:graphicData uri="http://schemas.microsoft.com/office/word/2010/wordprocessingShape">
                          <wps:wsp>
                            <wps:cNvCnPr/>
                            <wps:spPr>
                              <a:xfrm rot="16200000">
                                <a:off x="0" y="0"/>
                                <a:ext cx="201295" cy="161925"/>
                              </a:xfrm>
                              <a:prstGeom prst="curvedConnector3">
                                <a:avLst>
                                  <a:gd name="adj1" fmla="val 49843"/>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325" o:spid="_x0000_s1026" o:spt="38" type="#_x0000_t38" style="position:absolute;left:0pt;margin-left:140.6pt;margin-top:23.7pt;height:12.75pt;width:15.85pt;rotation:-5898240f;z-index:251675648;mso-width-relative:page;mso-height-relative:page;" filled="f" stroked="t" coordsize="21600,21600" o:gfxdata="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Pgv&#10;VtgAAAAJAQAADwAAAAAAAAABACAAAAAiAAAAZHJzL2Rvd25yZXYueG1sUEsBAhQAFAAAAAgAh07i&#10;QLFOSEgiAgAAKAQAAA4AAAAAAAAAAQAgAAAAJwEAAGRycy9lMm9Eb2MueG1sUEsFBgAAAAAGAAYA&#10;WQEAALsFAAAAAA==&#10;" adj="10766">
                      <v:fill on="f" focussize="0,0"/>
                      <v:stroke color="#000000" joinstyle="round" dashstyle="dash" endarrow="block"/>
                      <v:imagedata o:title=""/>
                      <o:lock v:ext="edit" aspectratio="f"/>
                    </v:shape>
                  </w:pict>
                </mc:Fallback>
              </mc:AlternateContent>
            </w:r>
            <w:r>
              <w:rPr>
                <w:b/>
                <w:sz w:val="24"/>
                <w:lang/>
              </w:rPr>
              <mc:AlternateContent>
                <mc:Choice Requires="wps">
                  <w:drawing>
                    <wp:anchor distT="0" distB="0" distL="114300" distR="114300" simplePos="0" relativeHeight="251704320" behindDoc="0" locked="0" layoutInCell="1" allowOverlap="1">
                      <wp:simplePos x="0" y="0"/>
                      <wp:positionH relativeFrom="column">
                        <wp:posOffset>1367790</wp:posOffset>
                      </wp:positionH>
                      <wp:positionV relativeFrom="paragraph">
                        <wp:posOffset>186055</wp:posOffset>
                      </wp:positionV>
                      <wp:extent cx="998855" cy="288290"/>
                      <wp:effectExtent l="4445" t="4445" r="6350" b="12065"/>
                      <wp:wrapNone/>
                      <wp:docPr id="71"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1#-</w:t>
                                  </w:r>
                                  <w:r>
                                    <w:rPr>
                                      <w:sz w:val="24"/>
                                    </w:rPr>
                                    <w:t>4</w:t>
                                  </w:r>
                                  <w:r>
                                    <w:rPr>
                                      <w:rFonts w:hint="eastAsia"/>
                                      <w:sz w:val="24"/>
                                    </w:rPr>
                                    <w:t>#</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107.7pt;margin-top:14.65pt;height:22.7pt;width:78.65pt;z-index:251704320;mso-width-relative:page;mso-height-relative:page;" fillcolor="#FFFFFF" filled="t" stroked="t" coordsize="21600,21600" o:gfxdata="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3HnJ2AAAAAkBAAAPAAAAAAAAAAEAIAAAACIAAABkcnMvZG93&#10;bnJldi54bWxQSwECFAAUAAAACACHTuJAjrQz5zkCAACPBAAADgAAAAAAAAABACAAAAAnAQAAZHJz&#10;L2Uyb0RvYy54bWxQSwUGAAAAAAYABgBZAQAA0gUAAAAA&#10;">
                      <v:fill on="t" focussize="0,0"/>
                      <v:stroke color="#000000" miterlimit="8" joinstyle="miter"/>
                      <v:imagedata o:title=""/>
                      <o:lock v:ext="edit" aspectratio="f"/>
                      <v:textbox>
                        <w:txbxContent>
                          <w:p>
                            <w:pPr>
                              <w:jc w:val="center"/>
                              <w:rPr>
                                <w:sz w:val="24"/>
                              </w:rPr>
                            </w:pPr>
                            <w:r>
                              <w:rPr>
                                <w:rFonts w:hint="eastAsia"/>
                                <w:sz w:val="24"/>
                              </w:rPr>
                              <w:t>1#-</w:t>
                            </w:r>
                            <w:r>
                              <w:rPr>
                                <w:sz w:val="24"/>
                              </w:rPr>
                              <w:t>4</w:t>
                            </w:r>
                            <w:r>
                              <w:rPr>
                                <w:rFonts w:hint="eastAsia"/>
                                <w:sz w:val="24"/>
                              </w:rPr>
                              <w:t>#</w:t>
                            </w:r>
                          </w:p>
                        </w:txbxContent>
                      </v:textbox>
                    </v:rect>
                  </w:pict>
                </mc:Fallback>
              </mc:AlternateContent>
            </w:r>
          </w:p>
          <w:p>
            <w:pPr>
              <w:spacing w:line="360" w:lineRule="auto"/>
              <w:ind w:firstLine="482" w:firstLineChars="200"/>
              <w:jc w:val="left"/>
              <w:rPr>
                <w:b/>
                <w:sz w:val="24"/>
              </w:rPr>
            </w:pPr>
            <w:r>
              <w:rPr>
                <w:b/>
                <w:sz w:val="24"/>
                <w:lang/>
              </w:rPr>
              <mc:AlternateContent>
                <mc:Choice Requires="wps">
                  <w:drawing>
                    <wp:anchor distT="0" distB="0" distL="114300" distR="114300" simplePos="0" relativeHeight="251696128" behindDoc="0" locked="0" layoutInCell="1" allowOverlap="1">
                      <wp:simplePos x="0" y="0"/>
                      <wp:positionH relativeFrom="column">
                        <wp:posOffset>3020060</wp:posOffset>
                      </wp:positionH>
                      <wp:positionV relativeFrom="paragraph">
                        <wp:posOffset>257810</wp:posOffset>
                      </wp:positionV>
                      <wp:extent cx="706755" cy="288290"/>
                      <wp:effectExtent l="0" t="0" r="17145" b="16510"/>
                      <wp:wrapNone/>
                      <wp:docPr id="63" name="文本框 1346"/>
                      <wp:cNvGraphicFramePr/>
                      <a:graphic xmlns:a="http://schemas.openxmlformats.org/drawingml/2006/main">
                        <a:graphicData uri="http://schemas.microsoft.com/office/word/2010/wordprocessingShape">
                          <wps:wsp>
                            <wps:cNvSpPr txBox="1"/>
                            <wps:spPr>
                              <a:xfrm>
                                <a:off x="0" y="0"/>
                                <a:ext cx="706755" cy="288290"/>
                              </a:xfrm>
                              <a:prstGeom prst="rect">
                                <a:avLst/>
                              </a:prstGeom>
                              <a:solidFill>
                                <a:srgbClr val="FFFFFF"/>
                              </a:solidFill>
                              <a:ln>
                                <a:noFill/>
                              </a:ln>
                            </wps:spPr>
                            <wps:txbx>
                              <w:txbxContent>
                                <w:p>
                                  <w:pPr>
                                    <w:jc w:val="center"/>
                                  </w:pPr>
                                  <w:r>
                                    <w:t>89.5688</w:t>
                                  </w:r>
                                </w:p>
                              </w:txbxContent>
                            </wps:txbx>
                            <wps:bodyPr wrap="square" upright="1"/>
                          </wps:wsp>
                        </a:graphicData>
                      </a:graphic>
                    </wp:anchor>
                  </w:drawing>
                </mc:Choice>
                <mc:Fallback>
                  <w:pict>
                    <v:shape id="文本框 1346" o:spid="_x0000_s1026" o:spt="202" type="#_x0000_t202" style="position:absolute;left:0pt;margin-left:237.8pt;margin-top:20.3pt;height:22.7pt;width:55.65pt;z-index:251696128;mso-width-relative:page;mso-height-relative:page;" fillcolor="#FFFFFF" filled="t" stroked="f" coordsize="21600,21600" o:gfxdata="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aZpy7XAAAACQEAAA8AAAAAAAAAAQAgAAAAIgAA&#10;AGRycy9kb3ducmV2LnhtbFBLAQIUABQAAAAIAIdO4kCG1yhM0AEAAIgDAAAOAAAAAAAAAAEAIAAA&#10;ACYBAABkcnMvZTJvRG9jLnhtbFBLBQYAAAAABgAGAFkBAABoBQAAAAA=&#10;">
                      <v:fill on="t" focussize="0,0"/>
                      <v:stroke on="f"/>
                      <v:imagedata o:title=""/>
                      <o:lock v:ext="edit" aspectratio="f"/>
                      <v:textbox>
                        <w:txbxContent>
                          <w:p>
                            <w:pPr>
                              <w:jc w:val="center"/>
                            </w:pPr>
                            <w:r>
                              <w:t>89.5688</w:t>
                            </w:r>
                          </w:p>
                        </w:txbxContent>
                      </v:textbox>
                    </v:shape>
                  </w:pict>
                </mc:Fallback>
              </mc:AlternateContent>
            </w:r>
            <w:r>
              <w:rPr>
                <w:rFonts w:hAnsi="宋体"/>
                <w:b/>
                <w:sz w:val="24"/>
                <w:lang/>
              </w:rPr>
              <mc:AlternateContent>
                <mc:Choice Requires="wps">
                  <w:drawing>
                    <wp:anchor distT="0" distB="0" distL="114300" distR="114300" simplePos="0" relativeHeight="251719680" behindDoc="0" locked="0" layoutInCell="1" allowOverlap="1">
                      <wp:simplePos x="0" y="0"/>
                      <wp:positionH relativeFrom="column">
                        <wp:posOffset>4130040</wp:posOffset>
                      </wp:positionH>
                      <wp:positionV relativeFrom="paragraph">
                        <wp:posOffset>671830</wp:posOffset>
                      </wp:positionV>
                      <wp:extent cx="15875" cy="516890"/>
                      <wp:effectExtent l="4445" t="0" r="17780" b="16510"/>
                      <wp:wrapNone/>
                      <wp:docPr id="86" name="自选图形 1371"/>
                      <wp:cNvGraphicFramePr/>
                      <a:graphic xmlns:a="http://schemas.openxmlformats.org/drawingml/2006/main">
                        <a:graphicData uri="http://schemas.microsoft.com/office/word/2010/wordprocessingShape">
                          <wps:wsp>
                            <wps:cNvCnPr/>
                            <wps:spPr>
                              <a:xfrm>
                                <a:off x="0" y="0"/>
                                <a:ext cx="15875" cy="5168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71" o:spid="_x0000_s1026" o:spt="32" type="#_x0000_t32" style="position:absolute;left:0pt;margin-left:325.2pt;margin-top:52.9pt;height:40.7pt;width:1.25pt;z-index:251719680;mso-width-relative:page;mso-height-relative:page;" filled="f" stroked="t" coordsize="21600,21600" o:gfxdata="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mPpx2QAAAAsBAAAPAAAAAAAAAAEAIAAAACIAAABkcnMvZG93bnJl&#10;di54bWxQSwECFAAUAAAACACHTuJAUB3WyvwBAADqAwAADgAAAAAAAAABACAAAAAoAQAAZHJzL2Uy&#10;b0RvYy54bWxQSwUGAAAAAAYABgBZAQAAlgUAAAAA&#10;">
                      <v:fill on="f" focussize="0,0"/>
                      <v:stroke color="#000000" joinstyle="round"/>
                      <v:imagedata o:title=""/>
                      <o:lock v:ext="edit" aspectratio="f"/>
                    </v:shape>
                  </w:pict>
                </mc:Fallback>
              </mc:AlternateContent>
            </w:r>
            <w:r>
              <w:rPr>
                <w:b/>
                <w:sz w:val="24"/>
                <w:lang/>
              </w:rPr>
              <mc:AlternateContent>
                <mc:Choice Requires="wps">
                  <w:drawing>
                    <wp:anchor distT="0" distB="0" distL="114300" distR="114300" simplePos="0" relativeHeight="251689984" behindDoc="0" locked="0" layoutInCell="1" allowOverlap="1">
                      <wp:simplePos x="0" y="0"/>
                      <wp:positionH relativeFrom="column">
                        <wp:posOffset>776605</wp:posOffset>
                      </wp:positionH>
                      <wp:positionV relativeFrom="paragraph">
                        <wp:posOffset>60325</wp:posOffset>
                      </wp:positionV>
                      <wp:extent cx="1270" cy="1640205"/>
                      <wp:effectExtent l="4445" t="0" r="13335" b="17145"/>
                      <wp:wrapNone/>
                      <wp:docPr id="57" name="自选图形 1339"/>
                      <wp:cNvGraphicFramePr/>
                      <a:graphic xmlns:a="http://schemas.openxmlformats.org/drawingml/2006/main">
                        <a:graphicData uri="http://schemas.microsoft.com/office/word/2010/wordprocessingShape">
                          <wps:wsp>
                            <wps:cNvCnPr/>
                            <wps:spPr>
                              <a:xfrm flipV="1">
                                <a:off x="0" y="0"/>
                                <a:ext cx="1270" cy="16402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39" o:spid="_x0000_s1026" o:spt="32" type="#_x0000_t32" style="position:absolute;left:0pt;flip:y;margin-left:61.15pt;margin-top:4.75pt;height:129.15pt;width:0.1pt;z-index:251689984;mso-width-relative:page;mso-height-relative:page;" filled="f" stroked="t" coordsize="21600,21600" o:gfxdata="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dB+hjWAAAACQEAAA8AAAAAAAAAAQAgAAAAIgAAAGRycy9kb3du&#10;cmV2LnhtbFBLAQIUABQAAAAIAIdO4kBoS9dJAQIAAPQDAAAOAAAAAAAAAAEAIAAAACUBAABkcnMv&#10;ZTJvRG9jLnhtbFBLBQYAAAAABgAGAFkBAACYBQAAAAA=&#10;">
                      <v:fill on="f" focussize="0,0"/>
                      <v:stroke color="#000000" joinstyle="round"/>
                      <v:imagedata o:title=""/>
                      <o:lock v:ext="edit" aspectratio="f"/>
                    </v:shape>
                  </w:pict>
                </mc:Fallback>
              </mc:AlternateContent>
            </w:r>
            <w:r>
              <w:rPr>
                <w:b/>
                <w:sz w:val="24"/>
                <w:lang/>
              </w:rPr>
              <mc:AlternateContent>
                <mc:Choice Requires="wps">
                  <w:drawing>
                    <wp:anchor distT="0" distB="0" distL="114300" distR="114300" simplePos="0" relativeHeight="251695104" behindDoc="0" locked="0" layoutInCell="1" allowOverlap="1">
                      <wp:simplePos x="0" y="0"/>
                      <wp:positionH relativeFrom="column">
                        <wp:posOffset>2974975</wp:posOffset>
                      </wp:positionH>
                      <wp:positionV relativeFrom="paragraph">
                        <wp:posOffset>50165</wp:posOffset>
                      </wp:positionV>
                      <wp:extent cx="635" cy="827405"/>
                      <wp:effectExtent l="4445" t="0" r="13970" b="10795"/>
                      <wp:wrapNone/>
                      <wp:docPr id="62" name="自选图形 1345"/>
                      <wp:cNvGraphicFramePr/>
                      <a:graphic xmlns:a="http://schemas.openxmlformats.org/drawingml/2006/main">
                        <a:graphicData uri="http://schemas.microsoft.com/office/word/2010/wordprocessingShape">
                          <wps:wsp>
                            <wps:cNvCnPr/>
                            <wps:spPr>
                              <a:xfrm>
                                <a:off x="0" y="0"/>
                                <a:ext cx="635" cy="8274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45" o:spid="_x0000_s1026" o:spt="32" type="#_x0000_t32" style="position:absolute;left:0pt;margin-left:234.25pt;margin-top:3.95pt;height:65.15pt;width:0.05pt;z-index:251695104;mso-width-relative:page;mso-height-relative:page;" filled="f" stroked="t" coordsize="21600,21600" o:gfxdata="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IWgd1wAAAAkBAAAPAAAAAAAAAAEAIAAAACIAAABkcnMvZG93bnJldi54&#10;bWxQSwECFAAUAAAACACHTuJAHQYnx/sBAADoAwAADgAAAAAAAAABACAAAAAmAQAAZHJzL2Uyb0Rv&#10;Yy54bWxQSwUGAAAAAAYABgBZAQAAkwUAAAAA&#10;">
                      <v:fill on="f" focussize="0,0"/>
                      <v:stroke color="#000000" joinstyle="round"/>
                      <v:imagedata o:title=""/>
                      <o:lock v:ext="edit" aspectratio="f"/>
                    </v:shape>
                  </w:pict>
                </mc:Fallback>
              </mc:AlternateContent>
            </w:r>
            <w:r>
              <w:rPr>
                <w:b/>
                <w:sz w:val="24"/>
                <w:lang/>
              </w:rPr>
              <mc:AlternateContent>
                <mc:Choice Requires="wps">
                  <w:drawing>
                    <wp:anchor distT="0" distB="0" distL="114300" distR="114300" simplePos="0" relativeHeight="251677696" behindDoc="0" locked="0" layoutInCell="1" allowOverlap="1">
                      <wp:simplePos x="0" y="0"/>
                      <wp:positionH relativeFrom="column">
                        <wp:posOffset>777240</wp:posOffset>
                      </wp:positionH>
                      <wp:positionV relativeFrom="paragraph">
                        <wp:posOffset>60325</wp:posOffset>
                      </wp:positionV>
                      <wp:extent cx="590550" cy="0"/>
                      <wp:effectExtent l="0" t="38100" r="0" b="38100"/>
                      <wp:wrapNone/>
                      <wp:docPr id="46" name="自选图形 1327"/>
                      <wp:cNvGraphicFramePr/>
                      <a:graphic xmlns:a="http://schemas.openxmlformats.org/drawingml/2006/main">
                        <a:graphicData uri="http://schemas.microsoft.com/office/word/2010/wordprocessingShape">
                          <wps:wsp>
                            <wps:cNvCnPr/>
                            <wps:spPr>
                              <a:xfrm>
                                <a:off x="0" y="0"/>
                                <a:ext cx="590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27" o:spid="_x0000_s1026" o:spt="32" type="#_x0000_t32" style="position:absolute;left:0pt;margin-left:61.2pt;margin-top:4.75pt;height:0pt;width:46.5pt;z-index:251677696;mso-width-relative:page;mso-height-relative:page;" filled="f" stroked="t" coordsize="21600,21600" o:gfxdata="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795EdQAAAAHAQAADwAAAAAAAAABACAAAAAiAAAAZHJzL2Rvd25yZXYu&#10;eG1sUEsBAhQAFAAAAAgAh07iQG5W3i//AQAA6gMAAA4AAAAAAAAAAQAgAAAAIwEAAGRycy9lMm9E&#10;b2MueG1sUEsFBgAAAAAGAAYAWQEAAJQFA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76672" behindDoc="0" locked="0" layoutInCell="1" allowOverlap="1">
                      <wp:simplePos x="0" y="0"/>
                      <wp:positionH relativeFrom="column">
                        <wp:posOffset>2366645</wp:posOffset>
                      </wp:positionH>
                      <wp:positionV relativeFrom="paragraph">
                        <wp:posOffset>60325</wp:posOffset>
                      </wp:positionV>
                      <wp:extent cx="607695" cy="0"/>
                      <wp:effectExtent l="0" t="38100" r="1905" b="38100"/>
                      <wp:wrapNone/>
                      <wp:docPr id="45" name="自选图形 1326"/>
                      <wp:cNvGraphicFramePr/>
                      <a:graphic xmlns:a="http://schemas.openxmlformats.org/drawingml/2006/main">
                        <a:graphicData uri="http://schemas.microsoft.com/office/word/2010/wordprocessingShape">
                          <wps:wsp>
                            <wps:cNvCnPr/>
                            <wps:spPr>
                              <a:xfrm>
                                <a:off x="0" y="0"/>
                                <a:ext cx="60769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26" o:spid="_x0000_s1026" o:spt="32" type="#_x0000_t32" style="position:absolute;left:0pt;margin-left:186.35pt;margin-top:4.75pt;height:0pt;width:47.85pt;z-index:251676672;mso-width-relative:page;mso-height-relative:page;" filled="f" stroked="t" coordsize="21600,21600" o:gfxdata="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PrBv1wAAAAcBAAAPAAAAAAAAAAEAIAAAACIAAABkcnMvZG93bnJl&#10;di54bWxQSwECFAAUAAAACACHTuJAC4/g5P4BAADqAwAADgAAAAAAAAABACAAAAAmAQAAZHJzL2Uy&#10;b0RvYy54bWxQSwUGAAAAAAYABgBZAQAAlgU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70528" behindDoc="0" locked="0" layoutInCell="1" allowOverlap="1">
                      <wp:simplePos x="0" y="0"/>
                      <wp:positionH relativeFrom="column">
                        <wp:posOffset>1805940</wp:posOffset>
                      </wp:positionH>
                      <wp:positionV relativeFrom="paragraph">
                        <wp:posOffset>257810</wp:posOffset>
                      </wp:positionV>
                      <wp:extent cx="483870" cy="288290"/>
                      <wp:effectExtent l="0" t="0" r="11430" b="16510"/>
                      <wp:wrapNone/>
                      <wp:docPr id="39" name="文本框 1320"/>
                      <wp:cNvGraphicFramePr/>
                      <a:graphic xmlns:a="http://schemas.openxmlformats.org/drawingml/2006/main">
                        <a:graphicData uri="http://schemas.microsoft.com/office/word/2010/wordprocessingShape">
                          <wps:wsp>
                            <wps:cNvSpPr txBox="1"/>
                            <wps:spPr>
                              <a:xfrm>
                                <a:off x="0" y="0"/>
                                <a:ext cx="483870" cy="288290"/>
                              </a:xfrm>
                              <a:prstGeom prst="rect">
                                <a:avLst/>
                              </a:prstGeom>
                              <a:solidFill>
                                <a:srgbClr val="FFFFFF"/>
                              </a:solidFill>
                              <a:ln>
                                <a:noFill/>
                              </a:ln>
                            </wps:spPr>
                            <wps:txbx>
                              <w:txbxContent>
                                <w:p>
                                  <w:pPr>
                                    <w:jc w:val="center"/>
                                  </w:pPr>
                                  <w:r>
                                    <w:t>9.229</w:t>
                                  </w:r>
                                </w:p>
                              </w:txbxContent>
                            </wps:txbx>
                            <wps:bodyPr wrap="square" upright="1"/>
                          </wps:wsp>
                        </a:graphicData>
                      </a:graphic>
                    </wp:anchor>
                  </w:drawing>
                </mc:Choice>
                <mc:Fallback>
                  <w:pict>
                    <v:shape id="文本框 1320" o:spid="_x0000_s1026" o:spt="202" type="#_x0000_t202" style="position:absolute;left:0pt;margin-left:142.2pt;margin-top:20.3pt;height:22.7pt;width:38.1pt;z-index:251670528;mso-width-relative:page;mso-height-relative:page;" fillcolor="#FFFFFF" filled="t" stroked="f" coordsize="21600,21600" o:gfxdata="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imxOtYAAAAJAQAADwAAAAAAAAABACAAAAAiAAAAZHJz&#10;L2Rvd25yZXYueG1sUEsBAhQAFAAAAAgAh07iQMqfHSLNAQAAiAMAAA4AAAAAAAAAAQAgAAAAJQEA&#10;AGRycy9lMm9Eb2MueG1sUEsFBgAAAAAGAAYAWQEAAGQFAAAAAA==&#10;">
                      <v:fill on="t" focussize="0,0"/>
                      <v:stroke on="f"/>
                      <v:imagedata o:title=""/>
                      <o:lock v:ext="edit" aspectratio="f"/>
                      <v:textbox>
                        <w:txbxContent>
                          <w:p>
                            <w:pPr>
                              <w:jc w:val="center"/>
                            </w:pPr>
                            <w:r>
                              <w:t>9.229</w:t>
                            </w:r>
                          </w:p>
                        </w:txbxContent>
                      </v:textbox>
                    </v:shape>
                  </w:pict>
                </mc:Fallback>
              </mc:AlternateContent>
            </w:r>
          </w:p>
          <w:p>
            <w:pPr>
              <w:spacing w:line="360" w:lineRule="auto"/>
              <w:ind w:firstLine="482" w:firstLineChars="200"/>
              <w:jc w:val="left"/>
              <w:rPr>
                <w:b/>
                <w:sz w:val="24"/>
              </w:rPr>
            </w:pPr>
            <w:r>
              <w:rPr>
                <w:b/>
                <w:sz w:val="24"/>
                <w:lang/>
              </w:rPr>
              <mc:AlternateContent>
                <mc:Choice Requires="wps">
                  <w:drawing>
                    <wp:anchor distT="0" distB="0" distL="114300" distR="114300" simplePos="0" relativeHeight="251672576" behindDoc="0" locked="0" layoutInCell="1" allowOverlap="1">
                      <wp:simplePos x="0" y="0"/>
                      <wp:positionH relativeFrom="column">
                        <wp:posOffset>2402840</wp:posOffset>
                      </wp:positionH>
                      <wp:positionV relativeFrom="paragraph">
                        <wp:posOffset>301625</wp:posOffset>
                      </wp:positionV>
                      <wp:extent cx="552450" cy="288290"/>
                      <wp:effectExtent l="0" t="0" r="0" b="16510"/>
                      <wp:wrapNone/>
                      <wp:docPr id="41" name="文本框 1322"/>
                      <wp:cNvGraphicFramePr/>
                      <a:graphic xmlns:a="http://schemas.openxmlformats.org/drawingml/2006/main">
                        <a:graphicData uri="http://schemas.microsoft.com/office/word/2010/wordprocessingShape">
                          <wps:wsp>
                            <wps:cNvSpPr txBox="1"/>
                            <wps:spPr>
                              <a:xfrm>
                                <a:off x="0" y="0"/>
                                <a:ext cx="552450" cy="288290"/>
                              </a:xfrm>
                              <a:prstGeom prst="rect">
                                <a:avLst/>
                              </a:prstGeom>
                              <a:solidFill>
                                <a:srgbClr val="FFFFFF"/>
                              </a:solidFill>
                              <a:ln>
                                <a:noFill/>
                              </a:ln>
                            </wps:spPr>
                            <wps:txbx>
                              <w:txbxContent>
                                <w:p>
                                  <w:pPr>
                                    <w:jc w:val="center"/>
                                  </w:pPr>
                                  <w:r>
                                    <w:t>36.916</w:t>
                                  </w:r>
                                </w:p>
                              </w:txbxContent>
                            </wps:txbx>
                            <wps:bodyPr wrap="square" upright="1"/>
                          </wps:wsp>
                        </a:graphicData>
                      </a:graphic>
                    </wp:anchor>
                  </w:drawing>
                </mc:Choice>
                <mc:Fallback>
                  <w:pict>
                    <v:shape id="文本框 1322" o:spid="_x0000_s1026" o:spt="202" type="#_x0000_t202" style="position:absolute;left:0pt;margin-left:189.2pt;margin-top:23.75pt;height:22.7pt;width:43.5pt;z-index:251672576;mso-width-relative:page;mso-height-relative:page;" fillcolor="#FFFFFF" filled="t" stroked="f" coordsize="21600,21600" o:gfxdata="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G9uHDYAAAACQEAAA8AAAAAAAAAAQAgAAAAIgAA&#10;AGRycy9kb3ducmV2LnhtbFBLAQIUABQAAAAIAIdO4kA2s1aTzwEAAIgDAAAOAAAAAAAAAAEAIAAA&#10;ACcBAABkcnMvZTJvRG9jLnhtbFBLBQYAAAAABgAGAFkBAABoBQAAAAA=&#10;">
                      <v:fill on="t" focussize="0,0"/>
                      <v:stroke on="f"/>
                      <v:imagedata o:title=""/>
                      <o:lock v:ext="edit" aspectratio="f"/>
                      <v:textbox>
                        <w:txbxContent>
                          <w:p>
                            <w:pPr>
                              <w:jc w:val="center"/>
                            </w:pPr>
                            <w:r>
                              <w:t>36.916</w:t>
                            </w:r>
                          </w:p>
                        </w:txbxContent>
                      </v:textbox>
                    </v:shape>
                  </w:pict>
                </mc:Fallback>
              </mc:AlternateContent>
            </w:r>
            <w:r>
              <w:rPr>
                <w:rFonts w:hAnsi="宋体"/>
                <w:b/>
                <w:sz w:val="24"/>
                <w:lang/>
              </w:rPr>
              <mc:AlternateContent>
                <mc:Choice Requires="wps">
                  <w:drawing>
                    <wp:anchor distT="0" distB="0" distL="114300" distR="114300" simplePos="0" relativeHeight="251720704" behindDoc="0" locked="0" layoutInCell="1" allowOverlap="1">
                      <wp:simplePos x="0" y="0"/>
                      <wp:positionH relativeFrom="column">
                        <wp:posOffset>1826895</wp:posOffset>
                      </wp:positionH>
                      <wp:positionV relativeFrom="paragraph">
                        <wp:posOffset>207010</wp:posOffset>
                      </wp:positionV>
                      <wp:extent cx="201930" cy="161925"/>
                      <wp:effectExtent l="5080" t="0" r="23495" b="7620"/>
                      <wp:wrapNone/>
                      <wp:docPr id="87" name="自选图形 1372"/>
                      <wp:cNvGraphicFramePr/>
                      <a:graphic xmlns:a="http://schemas.openxmlformats.org/drawingml/2006/main">
                        <a:graphicData uri="http://schemas.microsoft.com/office/word/2010/wordprocessingShape">
                          <wps:wsp>
                            <wps:cNvCnPr/>
                            <wps:spPr>
                              <a:xfrm rot="16200000">
                                <a:off x="0" y="0"/>
                                <a:ext cx="201930" cy="161925"/>
                              </a:xfrm>
                              <a:prstGeom prst="curvedConnector3">
                                <a:avLst>
                                  <a:gd name="adj1" fmla="val 50000"/>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372" o:spid="_x0000_s1026" o:spt="38" type="#_x0000_t38" style="position:absolute;left:0pt;margin-left:143.85pt;margin-top:16.3pt;height:12.75pt;width:15.9pt;rotation:-5898240f;z-index:251720704;mso-width-relative:page;mso-height-relative:page;" filled="f" stroked="t" coordsize="21600,21600" o:gfxdata="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1E&#10;qYfaAAAACQEAAA8AAAAAAAAAAQAgAAAAIgAAAGRycy9kb3ducmV2LnhtbFBLAQIUABQAAAAIAIdO&#10;4kD8QRJ7IQIAACgEAAAOAAAAAAAAAAEAIAAAACkBAABkcnMvZTJvRG9jLnhtbFBLBQYAAAAABgAG&#10;AFkBAAC8BQAAAAA=&#10;" adj="10800">
                      <v:fill on="f" focussize="0,0"/>
                      <v:stroke color="#000000" joinstyle="round" dashstyle="dash" endarrow="block"/>
                      <v:imagedata o:title=""/>
                      <o:lock v:ext="edit" aspectratio="f"/>
                    </v:shape>
                  </w:pict>
                </mc:Fallback>
              </mc:AlternateContent>
            </w:r>
            <w:r>
              <w:rPr>
                <w:b/>
                <w:sz w:val="24"/>
                <w:lang/>
              </w:rPr>
              <mc:AlternateContent>
                <mc:Choice Requires="wps">
                  <w:drawing>
                    <wp:anchor distT="0" distB="0" distL="114300" distR="114300" simplePos="0" relativeHeight="251691008" behindDoc="0" locked="0" layoutInCell="1" allowOverlap="1">
                      <wp:simplePos x="0" y="0"/>
                      <wp:positionH relativeFrom="column">
                        <wp:posOffset>97790</wp:posOffset>
                      </wp:positionH>
                      <wp:positionV relativeFrom="paragraph">
                        <wp:posOffset>213995</wp:posOffset>
                      </wp:positionV>
                      <wp:extent cx="618490" cy="288290"/>
                      <wp:effectExtent l="0" t="0" r="10160" b="16510"/>
                      <wp:wrapNone/>
                      <wp:docPr id="58" name="文本框 1340"/>
                      <wp:cNvGraphicFramePr/>
                      <a:graphic xmlns:a="http://schemas.openxmlformats.org/drawingml/2006/main">
                        <a:graphicData uri="http://schemas.microsoft.com/office/word/2010/wordprocessingShape">
                          <wps:wsp>
                            <wps:cNvSpPr txBox="1"/>
                            <wps:spPr>
                              <a:xfrm>
                                <a:off x="0" y="0"/>
                                <a:ext cx="618490" cy="288290"/>
                              </a:xfrm>
                              <a:prstGeom prst="rect">
                                <a:avLst/>
                              </a:prstGeom>
                              <a:solidFill>
                                <a:srgbClr val="FFFFFF"/>
                              </a:solidFill>
                              <a:ln>
                                <a:noFill/>
                              </a:ln>
                            </wps:spPr>
                            <wps:txbx>
                              <w:txbxContent>
                                <w:p>
                                  <w:pPr>
                                    <w:jc w:val="center"/>
                                  </w:pPr>
                                  <w:r>
                                    <w:rPr>
                                      <w:rFonts w:hint="eastAsia"/>
                                    </w:rPr>
                                    <w:t>新鲜水</w:t>
                                  </w:r>
                                </w:p>
                              </w:txbxContent>
                            </wps:txbx>
                            <wps:bodyPr wrap="square" upright="1"/>
                          </wps:wsp>
                        </a:graphicData>
                      </a:graphic>
                    </wp:anchor>
                  </w:drawing>
                </mc:Choice>
                <mc:Fallback>
                  <w:pict>
                    <v:shape id="文本框 1340" o:spid="_x0000_s1026" o:spt="202" type="#_x0000_t202" style="position:absolute;left:0pt;margin-left:7.7pt;margin-top:16.85pt;height:22.7pt;width:48.7pt;z-index:251691008;mso-width-relative:page;mso-height-relative:page;" fillcolor="#FFFFFF" filled="t" stroked="f" coordsize="21600,21600" o:gfxdata="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bwJDdUAAAAIAQAADwAAAAAAAAABACAAAAAiAAAAZHJzL2Rv&#10;d25yZXYueG1sUEsBAhQAFAAAAAgAh07iQNCy/o/LAQAAiAMAAA4AAAAAAAAAAQAgAAAAJAEAAGRy&#10;cy9lMm9Eb2MueG1sUEsFBgAAAAAGAAYAWQEAAGEFAAAAAA==&#10;">
                      <v:fill on="t" focussize="0,0"/>
                      <v:stroke on="f"/>
                      <v:imagedata o:title=""/>
                      <o:lock v:ext="edit" aspectratio="f"/>
                      <v:textbox>
                        <w:txbxContent>
                          <w:p>
                            <w:pPr>
                              <w:jc w:val="center"/>
                            </w:pPr>
                            <w:r>
                              <w:rPr>
                                <w:rFonts w:hint="eastAsia"/>
                              </w:rPr>
                              <w:t>新鲜水</w:t>
                            </w:r>
                          </w:p>
                        </w:txbxContent>
                      </v:textbox>
                    </v:shape>
                  </w:pict>
                </mc:Fallback>
              </mc:AlternateContent>
            </w:r>
            <w:r>
              <w:rPr>
                <w:b/>
                <w:sz w:val="24"/>
                <w:lang/>
              </w:rPr>
              <mc:AlternateContent>
                <mc:Choice Requires="wps">
                  <w:drawing>
                    <wp:anchor distT="0" distB="0" distL="114300" distR="114300" simplePos="0" relativeHeight="251698176" behindDoc="0" locked="0" layoutInCell="1" allowOverlap="1">
                      <wp:simplePos x="0" y="0"/>
                      <wp:positionH relativeFrom="column">
                        <wp:posOffset>3635375</wp:posOffset>
                      </wp:positionH>
                      <wp:positionV relativeFrom="paragraph">
                        <wp:posOffset>86360</wp:posOffset>
                      </wp:positionV>
                      <wp:extent cx="665480" cy="288290"/>
                      <wp:effectExtent l="4445" t="4445" r="15875" b="12065"/>
                      <wp:wrapNone/>
                      <wp:docPr id="65"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化粪池</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286.25pt;margin-top:6.8pt;height:22.7pt;width:52.4pt;z-index:251698176;mso-width-relative:page;mso-height-relative:page;" fillcolor="#FFFFFF" filled="t" stroked="t" coordsize="21600,21600" o:gfxdata="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L0B901wAAAAkBAAAPAAAAAAAAAAEAIAAAACIAAABkcnMvZG93bnJl&#10;di54bWxQSwECFAAUAAAACACHTuJAYjklqzcCAACPBAAADgAAAAAAAAABACAAAAAmAQAAZHJzL2Uy&#10;b0RvYy54bWxQSwUGAAAAAAYABgBZAQAAzwUAAAAA&#10;">
                      <v:fill on="t" focussize="0,0"/>
                      <v:stroke color="#000000" miterlimit="8" joinstyle="miter"/>
                      <v:imagedata o:title=""/>
                      <o:lock v:ext="edit" aspectratio="f"/>
                      <v:textbox>
                        <w:txbxContent>
                          <w:p>
                            <w:pPr>
                              <w:jc w:val="center"/>
                              <w:rPr>
                                <w:sz w:val="24"/>
                              </w:rPr>
                            </w:pPr>
                            <w:r>
                              <w:rPr>
                                <w:rFonts w:hint="eastAsia"/>
                                <w:sz w:val="24"/>
                              </w:rPr>
                              <w:t>化粪池</w:t>
                            </w:r>
                          </w:p>
                        </w:txbxContent>
                      </v:textbox>
                    </v:rect>
                  </w:pict>
                </mc:Fallback>
              </mc:AlternateContent>
            </w:r>
            <w:r>
              <w:rPr>
                <w:b/>
                <w:sz w:val="24"/>
                <w:lang/>
              </w:rPr>
              <mc:AlternateContent>
                <mc:Choice Requires="wps">
                  <w:drawing>
                    <wp:anchor distT="0" distB="0" distL="114300" distR="114300" simplePos="0" relativeHeight="251697152" behindDoc="0" locked="0" layoutInCell="1" allowOverlap="1">
                      <wp:simplePos x="0" y="0"/>
                      <wp:positionH relativeFrom="column">
                        <wp:posOffset>2997200</wp:posOffset>
                      </wp:positionH>
                      <wp:positionV relativeFrom="paragraph">
                        <wp:posOffset>233045</wp:posOffset>
                      </wp:positionV>
                      <wp:extent cx="645795" cy="15875"/>
                      <wp:effectExtent l="0" t="36195" r="1905" b="24130"/>
                      <wp:wrapNone/>
                      <wp:docPr id="64" name="自选图形 1347"/>
                      <wp:cNvGraphicFramePr/>
                      <a:graphic xmlns:a="http://schemas.openxmlformats.org/drawingml/2006/main">
                        <a:graphicData uri="http://schemas.microsoft.com/office/word/2010/wordprocessingShape">
                          <wps:wsp>
                            <wps:cNvCnPr/>
                            <wps:spPr>
                              <a:xfrm flipV="1">
                                <a:off x="0" y="0"/>
                                <a:ext cx="645795" cy="15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7" o:spid="_x0000_s1026" o:spt="32" type="#_x0000_t32" style="position:absolute;left:0pt;flip:y;margin-left:236pt;margin-top:18.35pt;height:1.25pt;width:50.85pt;z-index:251697152;mso-width-relative:page;mso-height-relative:page;" filled="f" stroked="t" coordsize="21600,21600" o:gfxdata="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ejwuvaAAAACQEAAA8AAAAAAAAAAQAgAAAA&#10;IgAAAGRycy9kb3ducmV2LnhtbFBLAQIUABQAAAAIAIdO4kB/LL6SCQIAAPgDAAAOAAAAAAAAAAEA&#10;IAAAACkBAABkcnMvZTJvRG9jLnhtbFBLBQYAAAAABgAGAFkBAACkBQ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79744" behindDoc="0" locked="0" layoutInCell="1" allowOverlap="1">
                      <wp:simplePos x="0" y="0"/>
                      <wp:positionH relativeFrom="column">
                        <wp:posOffset>854075</wp:posOffset>
                      </wp:positionH>
                      <wp:positionV relativeFrom="paragraph">
                        <wp:posOffset>248920</wp:posOffset>
                      </wp:positionV>
                      <wp:extent cx="551815" cy="288290"/>
                      <wp:effectExtent l="0" t="0" r="635" b="16510"/>
                      <wp:wrapNone/>
                      <wp:docPr id="47" name="文本框 1329"/>
                      <wp:cNvGraphicFramePr/>
                      <a:graphic xmlns:a="http://schemas.openxmlformats.org/drawingml/2006/main">
                        <a:graphicData uri="http://schemas.microsoft.com/office/word/2010/wordprocessingShape">
                          <wps:wsp>
                            <wps:cNvSpPr txBox="1"/>
                            <wps:spPr>
                              <a:xfrm>
                                <a:off x="0" y="0"/>
                                <a:ext cx="551815" cy="288290"/>
                              </a:xfrm>
                              <a:prstGeom prst="rect">
                                <a:avLst/>
                              </a:prstGeom>
                              <a:solidFill>
                                <a:srgbClr val="FFFFFF"/>
                              </a:solidFill>
                              <a:ln>
                                <a:noFill/>
                              </a:ln>
                            </wps:spPr>
                            <wps:txbx>
                              <w:txbxContent>
                                <w:p>
                                  <w:pPr>
                                    <w:jc w:val="center"/>
                                  </w:pPr>
                                  <w:r>
                                    <w:t>46.145</w:t>
                                  </w:r>
                                  <w:r>
                                    <w:rPr>
                                      <w:rFonts w:hint="eastAsia"/>
                                    </w:rPr>
                                    <w:t>1</w:t>
                                  </w:r>
                                </w:p>
                              </w:txbxContent>
                            </wps:txbx>
                            <wps:bodyPr wrap="square" upright="1"/>
                          </wps:wsp>
                        </a:graphicData>
                      </a:graphic>
                    </wp:anchor>
                  </w:drawing>
                </mc:Choice>
                <mc:Fallback>
                  <w:pict>
                    <v:shape id="文本框 1329" o:spid="_x0000_s1026" o:spt="202" type="#_x0000_t202" style="position:absolute;left:0pt;margin-left:67.25pt;margin-top:19.6pt;height:22.7pt;width:43.45pt;z-index:251679744;mso-width-relative:page;mso-height-relative:page;" fillcolor="#FFFFFF" filled="t" stroked="f" coordsize="21600,21600" o:gfxdata="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tYCfHXAAAACQEAAA8AAAAAAAAAAQAgAAAAIgAA&#10;AGRycy9kb3ducmV2LnhtbFBLAQIUABQAAAAIAIdO4kDemua60AEAAIgDAAAOAAAAAAAAAAEAIAAA&#10;ACYBAABkcnMvZTJvRG9jLnhtbFBLBQYAAAAABgAGAFkBAABoBQAAAAA=&#10;">
                      <v:fill on="t" focussize="0,0"/>
                      <v:stroke on="f"/>
                      <v:imagedata o:title=""/>
                      <o:lock v:ext="edit" aspectratio="f"/>
                      <v:textbox>
                        <w:txbxContent>
                          <w:p>
                            <w:pPr>
                              <w:jc w:val="center"/>
                            </w:pPr>
                            <w:r>
                              <w:t>46.145</w:t>
                            </w:r>
                            <w:r>
                              <w:rPr>
                                <w:rFonts w:hint="eastAsia"/>
                              </w:rPr>
                              <w:t>1</w:t>
                            </w:r>
                          </w:p>
                        </w:txbxContent>
                      </v:textbox>
                    </v:shape>
                  </w:pict>
                </mc:Fallback>
              </mc:AlternateContent>
            </w:r>
          </w:p>
          <w:p>
            <w:pPr>
              <w:spacing w:line="360" w:lineRule="auto"/>
              <w:ind w:firstLine="482" w:firstLineChars="200"/>
              <w:jc w:val="left"/>
              <w:rPr>
                <w:b/>
                <w:sz w:val="24"/>
              </w:rPr>
            </w:pPr>
            <w:r>
              <w:rPr>
                <w:rFonts w:hAnsi="宋体"/>
                <w:b/>
                <w:sz w:val="24"/>
                <w:lang/>
              </w:rPr>
              <mc:AlternateContent>
                <mc:Choice Requires="wps">
                  <w:drawing>
                    <wp:anchor distT="0" distB="0" distL="114300" distR="114300" simplePos="0" relativeHeight="251721728" behindDoc="0" locked="0" layoutInCell="1" allowOverlap="1">
                      <wp:simplePos x="0" y="0"/>
                      <wp:positionH relativeFrom="column">
                        <wp:posOffset>3404235</wp:posOffset>
                      </wp:positionH>
                      <wp:positionV relativeFrom="paragraph">
                        <wp:posOffset>275590</wp:posOffset>
                      </wp:positionV>
                      <wp:extent cx="678180" cy="288290"/>
                      <wp:effectExtent l="0" t="0" r="7620" b="16510"/>
                      <wp:wrapNone/>
                      <wp:docPr id="88" name="文本框 1373"/>
                      <wp:cNvGraphicFramePr/>
                      <a:graphic xmlns:a="http://schemas.openxmlformats.org/drawingml/2006/main">
                        <a:graphicData uri="http://schemas.microsoft.com/office/word/2010/wordprocessingShape">
                          <wps:wsp>
                            <wps:cNvSpPr txBox="1"/>
                            <wps:spPr>
                              <a:xfrm>
                                <a:off x="0" y="0"/>
                                <a:ext cx="678180" cy="288290"/>
                              </a:xfrm>
                              <a:prstGeom prst="rect">
                                <a:avLst/>
                              </a:prstGeom>
                              <a:solidFill>
                                <a:srgbClr val="FFFFFF"/>
                              </a:solidFill>
                              <a:ln>
                                <a:noFill/>
                              </a:ln>
                            </wps:spPr>
                            <wps:txbx>
                              <w:txbxContent>
                                <w:p>
                                  <w:pPr>
                                    <w:jc w:val="center"/>
                                  </w:pPr>
                                  <w:r>
                                    <w:t>73.09722</w:t>
                                  </w:r>
                                  <w:r>
                                    <w:rPr>
                                      <w:rFonts w:hint="eastAsia"/>
                                    </w:rPr>
                                    <w:t>3.2</w:t>
                                  </w:r>
                                </w:p>
                              </w:txbxContent>
                            </wps:txbx>
                            <wps:bodyPr wrap="square" upright="1"/>
                          </wps:wsp>
                        </a:graphicData>
                      </a:graphic>
                    </wp:anchor>
                  </w:drawing>
                </mc:Choice>
                <mc:Fallback>
                  <w:pict>
                    <v:shape id="文本框 1373" o:spid="_x0000_s1026" o:spt="202" type="#_x0000_t202" style="position:absolute;left:0pt;margin-left:268.05pt;margin-top:21.7pt;height:22.7pt;width:53.4pt;z-index:251721728;mso-width-relative:page;mso-height-relative:page;" fillcolor="#FFFFFF" filled="t" stroked="f" coordsize="21600,21600" o:gfxdata="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Od9orYAAAACQEAAA8AAAAAAAAAAQAgAAAAIgAA&#10;AGRycy9kb3ducmV2LnhtbFBLAQIUABQAAAAIAIdO4kDMMe2fzwEAAIgDAAAOAAAAAAAAAAEAIAAA&#10;ACcBAABkcnMvZTJvRG9jLnhtbFBLBQYAAAAABgAGAFkBAABoBQAAAAA=&#10;">
                      <v:fill on="t" focussize="0,0"/>
                      <v:stroke on="f"/>
                      <v:imagedata o:title=""/>
                      <o:lock v:ext="edit" aspectratio="f"/>
                      <v:textbox>
                        <w:txbxContent>
                          <w:p>
                            <w:pPr>
                              <w:jc w:val="center"/>
                            </w:pPr>
                            <w:r>
                              <w:t>73.09722</w:t>
                            </w:r>
                            <w:r>
                              <w:rPr>
                                <w:rFonts w:hint="eastAsia"/>
                              </w:rPr>
                              <w:t>3.2</w:t>
                            </w:r>
                          </w:p>
                        </w:txbxContent>
                      </v:textbox>
                    </v:shape>
                  </w:pict>
                </mc:Fallback>
              </mc:AlternateContent>
            </w:r>
            <w:r>
              <w:rPr>
                <w:b/>
                <w:sz w:val="24"/>
                <w:lang/>
              </w:rPr>
              <mc:AlternateContent>
                <mc:Choice Requires="wps">
                  <w:drawing>
                    <wp:anchor distT="0" distB="0" distL="114300" distR="114300" simplePos="0" relativeHeight="251694080" behindDoc="0" locked="0" layoutInCell="1" allowOverlap="1">
                      <wp:simplePos x="0" y="0"/>
                      <wp:positionH relativeFrom="column">
                        <wp:posOffset>4624705</wp:posOffset>
                      </wp:positionH>
                      <wp:positionV relativeFrom="paragraph">
                        <wp:posOffset>103505</wp:posOffset>
                      </wp:positionV>
                      <wp:extent cx="951865" cy="477520"/>
                      <wp:effectExtent l="4445" t="5080" r="15240" b="12700"/>
                      <wp:wrapNone/>
                      <wp:docPr id="61"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市政污水管网</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364.15pt;margin-top:8.15pt;height:37.6pt;width:74.95pt;z-index:251694080;mso-width-relative:page;mso-height-relative:page;" fillcolor="#FFFFFF" filled="t" stroked="t" coordsize="21600,21600" o:gfxdata="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Wz/gNgAAAAJAQAADwAAAAAAAAABACAAAAAiAAAAZHJzL2Rvd25y&#10;ZXYueG1sUEsBAhQAFAAAAAgAh07iQPZHtUE3AgAAjwQAAA4AAAAAAAAAAQAgAAAAJwEAAGRycy9l&#10;Mm9Eb2MueG1sUEsFBgAAAAAGAAYAWQEAANAFAAAAAA==&#10;">
                      <v:fill on="t" focussize="0,0"/>
                      <v:stroke color="#000000" miterlimit="8" joinstyle="miter"/>
                      <v:imagedata o:title=""/>
                      <o:lock v:ext="edit" aspectratio="f"/>
                      <v:textbox>
                        <w:txbxContent>
                          <w:p>
                            <w:pPr>
                              <w:jc w:val="center"/>
                              <w:rPr>
                                <w:sz w:val="24"/>
                              </w:rPr>
                            </w:pPr>
                            <w:r>
                              <w:rPr>
                                <w:rFonts w:hint="eastAsia"/>
                                <w:sz w:val="24"/>
                              </w:rPr>
                              <w:t>市政污水管网</w:t>
                            </w:r>
                          </w:p>
                        </w:txbxContent>
                      </v:textbox>
                    </v:rect>
                  </w:pict>
                </mc:Fallback>
              </mc:AlternateContent>
            </w:r>
            <w:r>
              <w:rPr>
                <w:b/>
                <w:sz w:val="24"/>
                <w:lang/>
              </w:rPr>
              <mc:AlternateContent>
                <mc:Choice Requires="wps">
                  <w:drawing>
                    <wp:anchor distT="0" distB="0" distL="114300" distR="114300" simplePos="0" relativeHeight="251692032" behindDoc="0" locked="0" layoutInCell="1" allowOverlap="1">
                      <wp:simplePos x="0" y="0"/>
                      <wp:positionH relativeFrom="column">
                        <wp:posOffset>97790</wp:posOffset>
                      </wp:positionH>
                      <wp:positionV relativeFrom="paragraph">
                        <wp:posOffset>239395</wp:posOffset>
                      </wp:positionV>
                      <wp:extent cx="618490" cy="288290"/>
                      <wp:effectExtent l="0" t="0" r="10160" b="16510"/>
                      <wp:wrapNone/>
                      <wp:docPr id="59" name="文本框 1341"/>
                      <wp:cNvGraphicFramePr/>
                      <a:graphic xmlns:a="http://schemas.openxmlformats.org/drawingml/2006/main">
                        <a:graphicData uri="http://schemas.microsoft.com/office/word/2010/wordprocessingShape">
                          <wps:wsp>
                            <wps:cNvSpPr txBox="1"/>
                            <wps:spPr>
                              <a:xfrm>
                                <a:off x="0" y="0"/>
                                <a:ext cx="618490" cy="288290"/>
                              </a:xfrm>
                              <a:prstGeom prst="rect">
                                <a:avLst/>
                              </a:prstGeom>
                              <a:solidFill>
                                <a:srgbClr val="FFFFFF"/>
                              </a:solidFill>
                              <a:ln>
                                <a:noFill/>
                              </a:ln>
                            </wps:spPr>
                            <wps:txbx>
                              <w:txbxContent>
                                <w:p>
                                  <w:pPr>
                                    <w:jc w:val="center"/>
                                  </w:pPr>
                                  <w:r>
                                    <w:t>329.92</w:t>
                                  </w:r>
                                </w:p>
                              </w:txbxContent>
                            </wps:txbx>
                            <wps:bodyPr wrap="square" upright="1"/>
                          </wps:wsp>
                        </a:graphicData>
                      </a:graphic>
                    </wp:anchor>
                  </w:drawing>
                </mc:Choice>
                <mc:Fallback>
                  <w:pict>
                    <v:shape id="文本框 1341" o:spid="_x0000_s1026" o:spt="202" type="#_x0000_t202" style="position:absolute;left:0pt;margin-left:7.7pt;margin-top:18.85pt;height:22.7pt;width:48.7pt;z-index:251692032;mso-width-relative:page;mso-height-relative:page;" fillcolor="#FFFFFF" filled="t" stroked="f" coordsize="21600,21600" o:gfxdata="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OxVp41QAAAAgBAAAPAAAAAAAAAAEAIAAAACIAAABkcnMv&#10;ZG93bnJldi54bWxQSwECFAAUAAAACACHTuJAGBZhCc0BAACIAwAADgAAAAAAAAABACAAAAAkAQAA&#10;ZHJzL2Uyb0RvYy54bWxQSwUGAAAAAAYABgBZAQAAYwUAAAAA&#10;">
                      <v:fill on="t" focussize="0,0"/>
                      <v:stroke on="f"/>
                      <v:imagedata o:title=""/>
                      <o:lock v:ext="edit" aspectratio="f"/>
                      <v:textbox>
                        <w:txbxContent>
                          <w:p>
                            <w:pPr>
                              <w:jc w:val="center"/>
                            </w:pPr>
                            <w:r>
                              <w:t>329.92</w:t>
                            </w:r>
                          </w:p>
                        </w:txbxContent>
                      </v:textbox>
                    </v:shape>
                  </w:pict>
                </mc:Fallback>
              </mc:AlternateContent>
            </w:r>
            <w:r>
              <w:rPr>
                <w:b/>
                <w:sz w:val="24"/>
                <w:lang/>
              </w:rPr>
              <mc:AlternateContent>
                <mc:Choice Requires="wps">
                  <w:drawing>
                    <wp:anchor distT="0" distB="0" distL="114300" distR="114300" simplePos="0" relativeHeight="251693056" behindDoc="0" locked="0" layoutInCell="1" allowOverlap="1">
                      <wp:simplePos x="0" y="0"/>
                      <wp:positionH relativeFrom="column">
                        <wp:posOffset>33655</wp:posOffset>
                      </wp:positionH>
                      <wp:positionV relativeFrom="paragraph">
                        <wp:posOffset>239395</wp:posOffset>
                      </wp:positionV>
                      <wp:extent cx="768350" cy="635"/>
                      <wp:effectExtent l="0" t="37465" r="12700" b="38100"/>
                      <wp:wrapNone/>
                      <wp:docPr id="60" name="自选图形 1342"/>
                      <wp:cNvGraphicFramePr/>
                      <a:graphic xmlns:a="http://schemas.openxmlformats.org/drawingml/2006/main">
                        <a:graphicData uri="http://schemas.microsoft.com/office/word/2010/wordprocessingShape">
                          <wps:wsp>
                            <wps:cNvCnPr/>
                            <wps:spPr>
                              <a:xfrm>
                                <a:off x="0" y="0"/>
                                <a:ext cx="7683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2" o:spid="_x0000_s1026" o:spt="32" type="#_x0000_t32" style="position:absolute;left:0pt;margin-left:2.65pt;margin-top:18.85pt;height:0.05pt;width:60.5pt;z-index:251693056;mso-width-relative:page;mso-height-relative:page;" filled="f" stroked="t" coordsize="21600,21600" o:gfxdata="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FVP2LVAAAABwEAAA8AAAAAAAAAAQAgAAAAIgAAAGRycy9kb3ducmV2&#10;LnhtbFBLAQIUABQAAAAIAIdO4kBIqfD4/wEAAOwDAAAOAAAAAAAAAAEAIAAAACQBAABkcnMvZTJv&#10;RG9jLnhtbFBLBQYAAAAABgAGAFkBAACVBQ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82816" behindDoc="0" locked="0" layoutInCell="1" allowOverlap="1">
                      <wp:simplePos x="0" y="0"/>
                      <wp:positionH relativeFrom="column">
                        <wp:posOffset>2366645</wp:posOffset>
                      </wp:positionH>
                      <wp:positionV relativeFrom="paragraph">
                        <wp:posOffset>292735</wp:posOffset>
                      </wp:positionV>
                      <wp:extent cx="607695" cy="0"/>
                      <wp:effectExtent l="0" t="38100" r="1905" b="38100"/>
                      <wp:wrapNone/>
                      <wp:docPr id="50" name="自选图形 1332"/>
                      <wp:cNvGraphicFramePr/>
                      <a:graphic xmlns:a="http://schemas.openxmlformats.org/drawingml/2006/main">
                        <a:graphicData uri="http://schemas.microsoft.com/office/word/2010/wordprocessingShape">
                          <wps:wsp>
                            <wps:cNvCnPr/>
                            <wps:spPr>
                              <a:xfrm>
                                <a:off x="0" y="0"/>
                                <a:ext cx="60769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2" o:spid="_x0000_s1026" o:spt="32" type="#_x0000_t32" style="position:absolute;left:0pt;margin-left:186.35pt;margin-top:23.05pt;height:0pt;width:47.85pt;z-index:251682816;mso-width-relative:page;mso-height-relative:page;" filled="f" stroked="t" coordsize="21600,21600" o:gfxdata="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f18pzZAAAACQEAAA8AAAAAAAAAAQAgAAAAIgAAAGRycy9kb3du&#10;cmV2LnhtbFBLAQIUABQAAAAIAIdO4kAFq98R/gEAAOoDAAAOAAAAAAAAAAEAIAAAACgBAABkcnMv&#10;ZTJvRG9jLnhtbFBLBQYAAAAABgAGAFkBAACYBQ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81792" behindDoc="0" locked="0" layoutInCell="1" allowOverlap="1">
                      <wp:simplePos x="0" y="0"/>
                      <wp:positionH relativeFrom="column">
                        <wp:posOffset>776605</wp:posOffset>
                      </wp:positionH>
                      <wp:positionV relativeFrom="paragraph">
                        <wp:posOffset>240030</wp:posOffset>
                      </wp:positionV>
                      <wp:extent cx="708660" cy="635"/>
                      <wp:effectExtent l="0" t="37465" r="15240" b="38100"/>
                      <wp:wrapNone/>
                      <wp:docPr id="49" name="自选图形 1331"/>
                      <wp:cNvGraphicFramePr/>
                      <a:graphic xmlns:a="http://schemas.openxmlformats.org/drawingml/2006/main">
                        <a:graphicData uri="http://schemas.microsoft.com/office/word/2010/wordprocessingShape">
                          <wps:wsp>
                            <wps:cNvCnPr/>
                            <wps:spPr>
                              <a:xfrm>
                                <a:off x="0" y="0"/>
                                <a:ext cx="70866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1" o:spid="_x0000_s1026" o:spt="32" type="#_x0000_t32" style="position:absolute;left:0pt;margin-left:61.15pt;margin-top:18.9pt;height:0.05pt;width:55.8pt;z-index:251681792;mso-width-relative:page;mso-height-relative:page;" filled="f" stroked="t" coordsize="21600,21600" o:gfxdata="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ZnK02AAAAAkBAAAPAAAAAAAAAAEAIAAAACIAAABkcnMvZG93&#10;bnJldi54bWxQSwECFAAUAAAACACHTuJAO3H+uwACAADsAwAADgAAAAAAAAABACAAAAAnAQAAZHJz&#10;L2Uyb0RvYy54bWxQSwUGAAAAAAYABgBZAQAAmQU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78720" behindDoc="0" locked="0" layoutInCell="1" allowOverlap="1">
                      <wp:simplePos x="0" y="0"/>
                      <wp:positionH relativeFrom="column">
                        <wp:posOffset>1485265</wp:posOffset>
                      </wp:positionH>
                      <wp:positionV relativeFrom="paragraph">
                        <wp:posOffset>118745</wp:posOffset>
                      </wp:positionV>
                      <wp:extent cx="881380" cy="288290"/>
                      <wp:effectExtent l="4445" t="4445" r="9525" b="12065"/>
                      <wp:wrapNone/>
                      <wp:docPr id="267"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5#-</w:t>
                                  </w:r>
                                  <w:r>
                                    <w:rPr>
                                      <w:sz w:val="24"/>
                                    </w:rPr>
                                    <w:t>6</w:t>
                                  </w:r>
                                  <w:r>
                                    <w:rPr>
                                      <w:rFonts w:hint="eastAsia"/>
                                      <w:sz w:val="24"/>
                                    </w:rPr>
                                    <w:t>#</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116.95pt;margin-top:9.35pt;height:22.7pt;width:69.4pt;z-index:251678720;mso-width-relative:page;mso-height-relative:page;" fillcolor="#FFFFFF" filled="t" stroked="t" coordsize="21600,21600" o:gfxdata="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wzYq22AAAAAkBAAAPAAAAAAAAAAEAIAAAACIAAABkcnMvZG93&#10;bnJldi54bWxQSwECFAAUAAAACACHTuJA2uxYmDkCAACQBAAADgAAAAAAAAABACAAAAAnAQAAZHJz&#10;L2Uyb0RvYy54bWxQSwUGAAAAAAYABgBZAQAA0gUAAAAA&#10;">
                      <v:fill on="t" focussize="0,0"/>
                      <v:stroke color="#000000" miterlimit="8" joinstyle="miter"/>
                      <v:imagedata o:title=""/>
                      <o:lock v:ext="edit" aspectratio="f"/>
                      <v:textbox>
                        <w:txbxContent>
                          <w:p>
                            <w:pPr>
                              <w:jc w:val="center"/>
                              <w:rPr>
                                <w:sz w:val="24"/>
                              </w:rPr>
                            </w:pPr>
                            <w:r>
                              <w:rPr>
                                <w:rFonts w:hint="eastAsia"/>
                                <w:sz w:val="24"/>
                              </w:rPr>
                              <w:t>5#-</w:t>
                            </w:r>
                            <w:r>
                              <w:rPr>
                                <w:sz w:val="24"/>
                              </w:rPr>
                              <w:t>6</w:t>
                            </w:r>
                            <w:r>
                              <w:rPr>
                                <w:rFonts w:hint="eastAsia"/>
                                <w:sz w:val="24"/>
                              </w:rPr>
                              <w:t>#</w:t>
                            </w:r>
                          </w:p>
                        </w:txbxContent>
                      </v:textbox>
                    </v:rect>
                  </w:pict>
                </mc:Fallback>
              </mc:AlternateContent>
            </w:r>
          </w:p>
          <w:p>
            <w:pPr>
              <w:spacing w:line="360" w:lineRule="auto"/>
              <w:ind w:firstLine="482" w:firstLineChars="200"/>
              <w:jc w:val="left"/>
              <w:rPr>
                <w:b/>
                <w:sz w:val="24"/>
              </w:rPr>
            </w:pPr>
            <w:r>
              <w:rPr>
                <w:rFonts w:hAnsi="宋体"/>
                <w:b/>
                <w:sz w:val="24"/>
                <w:lang/>
              </w:rPr>
              <mc:AlternateContent>
                <mc:Choice Requires="wps">
                  <w:drawing>
                    <wp:anchor distT="0" distB="0" distL="114300" distR="114300" simplePos="0" relativeHeight="251711488" behindDoc="0" locked="0" layoutInCell="1" allowOverlap="1">
                      <wp:simplePos x="0" y="0"/>
                      <wp:positionH relativeFrom="column">
                        <wp:posOffset>3335655</wp:posOffset>
                      </wp:positionH>
                      <wp:positionV relativeFrom="paragraph">
                        <wp:posOffset>266700</wp:posOffset>
                      </wp:positionV>
                      <wp:extent cx="14605" cy="360680"/>
                      <wp:effectExtent l="4445" t="0" r="19050" b="1270"/>
                      <wp:wrapNone/>
                      <wp:docPr id="78" name="自选图形 1361"/>
                      <wp:cNvGraphicFramePr/>
                      <a:graphic xmlns:a="http://schemas.openxmlformats.org/drawingml/2006/main">
                        <a:graphicData uri="http://schemas.microsoft.com/office/word/2010/wordprocessingShape">
                          <wps:wsp>
                            <wps:cNvCnPr/>
                            <wps:spPr>
                              <a:xfrm flipH="1">
                                <a:off x="0" y="0"/>
                                <a:ext cx="14605" cy="3606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61" o:spid="_x0000_s1026" o:spt="32" type="#_x0000_t32" style="position:absolute;left:0pt;flip:x;margin-left:262.65pt;margin-top:21pt;height:28.4pt;width:1.15pt;z-index:251711488;mso-width-relative:page;mso-height-relative:page;" filled="f" stroked="t" coordsize="21600,21600" o:gfxdata="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m1ok2AAAAAkBAAAPAAAAAAAAAAEAIAAAACIAAABkcnMv&#10;ZG93bnJldi54bWxQSwECFAAUAAAACACHTuJAOx9hDAMCAAD0AwAADgAAAAAAAAABACAAAAAnAQAA&#10;ZHJzL2Uyb0RvYy54bWxQSwUGAAAAAAYABgBZAQAAnAUAAAAA&#10;">
                      <v:fill on="f" focussize="0,0"/>
                      <v:stroke color="#000000" joinstyle="round"/>
                      <v:imagedata o:title=""/>
                      <o:lock v:ext="edit" aspectratio="f"/>
                    </v:shape>
                  </w:pict>
                </mc:Fallback>
              </mc:AlternateContent>
            </w:r>
            <w:r>
              <w:rPr>
                <w:rFonts w:hAnsi="宋体"/>
                <w:b/>
                <w:sz w:val="24"/>
                <w:lang/>
              </w:rPr>
              <mc:AlternateContent>
                <mc:Choice Requires="wps">
                  <w:drawing>
                    <wp:anchor distT="0" distB="0" distL="114300" distR="114300" simplePos="0" relativeHeight="251712512" behindDoc="0" locked="0" layoutInCell="1" allowOverlap="1">
                      <wp:simplePos x="0" y="0"/>
                      <wp:positionH relativeFrom="column">
                        <wp:posOffset>3350260</wp:posOffset>
                      </wp:positionH>
                      <wp:positionV relativeFrom="paragraph">
                        <wp:posOffset>289560</wp:posOffset>
                      </wp:positionV>
                      <wp:extent cx="809625" cy="635"/>
                      <wp:effectExtent l="0" t="37465" r="9525" b="38100"/>
                      <wp:wrapNone/>
                      <wp:docPr id="79" name="自选图形 1362"/>
                      <wp:cNvGraphicFramePr/>
                      <a:graphic xmlns:a="http://schemas.openxmlformats.org/drawingml/2006/main">
                        <a:graphicData uri="http://schemas.microsoft.com/office/word/2010/wordprocessingShape">
                          <wps:wsp>
                            <wps:cNvCnPr/>
                            <wps:spPr>
                              <a:xfrm>
                                <a:off x="0" y="0"/>
                                <a:ext cx="80962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2" o:spid="_x0000_s1026" o:spt="32" type="#_x0000_t32" style="position:absolute;left:0pt;margin-left:263.8pt;margin-top:22.8pt;height:0.05pt;width:63.75pt;z-index:251712512;mso-width-relative:page;mso-height-relative:page;" filled="f" stroked="t" coordsize="21600,21600" o:gfxdata="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5hPt2QAAAAkBAAAPAAAAAAAAAAEAIAAAACIAAABkcnMvZG93&#10;bnJldi54bWxQSwECFAAUAAAACACHTuJAC3vpd/8BAADsAwAADgAAAAAAAAABACAAAAAoAQAAZHJz&#10;L2Uyb0RvYy54bWxQSwUGAAAAAAYABgBZAQAAmQU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84864" behindDoc="0" locked="0" layoutInCell="1" allowOverlap="1">
                      <wp:simplePos x="0" y="0"/>
                      <wp:positionH relativeFrom="column">
                        <wp:posOffset>1640205</wp:posOffset>
                      </wp:positionH>
                      <wp:positionV relativeFrom="paragraph">
                        <wp:posOffset>211455</wp:posOffset>
                      </wp:positionV>
                      <wp:extent cx="659765" cy="288290"/>
                      <wp:effectExtent l="0" t="0" r="6985" b="16510"/>
                      <wp:wrapNone/>
                      <wp:docPr id="52" name="文本框 1334"/>
                      <wp:cNvGraphicFramePr/>
                      <a:graphic xmlns:a="http://schemas.openxmlformats.org/drawingml/2006/main">
                        <a:graphicData uri="http://schemas.microsoft.com/office/word/2010/wordprocessingShape">
                          <wps:wsp>
                            <wps:cNvSpPr txBox="1"/>
                            <wps:spPr>
                              <a:xfrm>
                                <a:off x="0" y="0"/>
                                <a:ext cx="659765" cy="288290"/>
                              </a:xfrm>
                              <a:prstGeom prst="rect">
                                <a:avLst/>
                              </a:prstGeom>
                              <a:solidFill>
                                <a:srgbClr val="FFFFFF"/>
                              </a:solidFill>
                              <a:ln>
                                <a:noFill/>
                              </a:ln>
                            </wps:spPr>
                            <wps:txbx>
                              <w:txbxContent>
                                <w:p>
                                  <w:pPr>
                                    <w:jc w:val="center"/>
                                  </w:pPr>
                                  <w:r>
                                    <w:t>43.5918</w:t>
                                  </w:r>
                                </w:p>
                              </w:txbxContent>
                            </wps:txbx>
                            <wps:bodyPr wrap="square" upright="1"/>
                          </wps:wsp>
                        </a:graphicData>
                      </a:graphic>
                    </wp:anchor>
                  </w:drawing>
                </mc:Choice>
                <mc:Fallback>
                  <w:pict>
                    <v:shape id="文本框 1334" o:spid="_x0000_s1026" o:spt="202" type="#_x0000_t202" style="position:absolute;left:0pt;margin-left:129.15pt;margin-top:16.65pt;height:22.7pt;width:51.95pt;z-index:251684864;mso-width-relative:page;mso-height-relative:page;" fillcolor="#FFFFFF" filled="t" stroked="f" coordsize="21600,21600" o:gfxdata="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HyZSc1wAAAAkBAAAPAAAAAAAAAAEAIAAAACIA&#10;AABkcnMvZG93bnJldi54bWxQSwECFAAUAAAACACHTuJA4Z12HNEBAACIAwAADgAAAAAAAAABACAA&#10;AAAmAQAAZHJzL2Uyb0RvYy54bWxQSwUGAAAAAAYABgBZAQAAaQUAAAAA&#10;">
                      <v:fill on="t" focussize="0,0"/>
                      <v:stroke on="f"/>
                      <v:imagedata o:title=""/>
                      <o:lock v:ext="edit" aspectratio="f"/>
                      <v:textbox>
                        <w:txbxContent>
                          <w:p>
                            <w:pPr>
                              <w:jc w:val="center"/>
                            </w:pPr>
                            <w:r>
                              <w:t>43.5918</w:t>
                            </w:r>
                          </w:p>
                        </w:txbxContent>
                      </v:textbox>
                    </v:shape>
                  </w:pict>
                </mc:Fallback>
              </mc:AlternateContent>
            </w:r>
            <w:r>
              <w:rPr>
                <w:b/>
                <w:sz w:val="24"/>
                <w:lang/>
              </w:rPr>
              <mc:AlternateContent>
                <mc:Choice Requires="wps">
                  <w:drawing>
                    <wp:anchor distT="0" distB="0" distL="114300" distR="114300" simplePos="0" relativeHeight="251699200" behindDoc="0" locked="0" layoutInCell="1" allowOverlap="1">
                      <wp:simplePos x="0" y="0"/>
                      <wp:positionH relativeFrom="column">
                        <wp:posOffset>4159885</wp:posOffset>
                      </wp:positionH>
                      <wp:positionV relativeFrom="paragraph">
                        <wp:posOffset>150495</wp:posOffset>
                      </wp:positionV>
                      <wp:extent cx="500380" cy="635"/>
                      <wp:effectExtent l="0" t="37465" r="13970" b="38100"/>
                      <wp:wrapNone/>
                      <wp:docPr id="66" name="自选图形 1349"/>
                      <wp:cNvGraphicFramePr/>
                      <a:graphic xmlns:a="http://schemas.openxmlformats.org/drawingml/2006/main">
                        <a:graphicData uri="http://schemas.microsoft.com/office/word/2010/wordprocessingShape">
                          <wps:wsp>
                            <wps:cNvCnPr/>
                            <wps:spPr>
                              <a:xfrm>
                                <a:off x="0" y="0"/>
                                <a:ext cx="5003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9" o:spid="_x0000_s1026" o:spt="32" type="#_x0000_t32" style="position:absolute;left:0pt;margin-left:327.55pt;margin-top:11.85pt;height:0.05pt;width:39.4pt;z-index:251699200;mso-width-relative:page;mso-height-relative:page;" filled="f" stroked="t" coordsize="21600,21600" o:gfxdata="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j8xZ2wAAAAkBAAAPAAAAAAAAAAEAIAAAACIAAABkcnMv&#10;ZG93bnJldi54bWxQSwECFAAUAAAACACHTuJAOjEPzgACAADsAwAADgAAAAAAAAABACAAAAAqAQAA&#10;ZHJzL2Uyb0RvYy54bWxQSwUGAAAAAAYABgBZAQAAnAU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702272" behindDoc="0" locked="0" layoutInCell="1" allowOverlap="1">
                      <wp:simplePos x="0" y="0"/>
                      <wp:positionH relativeFrom="column">
                        <wp:posOffset>5201920</wp:posOffset>
                      </wp:positionH>
                      <wp:positionV relativeFrom="paragraph">
                        <wp:posOffset>287020</wp:posOffset>
                      </wp:positionV>
                      <wp:extent cx="0" cy="588645"/>
                      <wp:effectExtent l="38100" t="0" r="38100" b="1905"/>
                      <wp:wrapNone/>
                      <wp:docPr id="69" name="自选图形 1352"/>
                      <wp:cNvGraphicFramePr/>
                      <a:graphic xmlns:a="http://schemas.openxmlformats.org/drawingml/2006/main">
                        <a:graphicData uri="http://schemas.microsoft.com/office/word/2010/wordprocessingShape">
                          <wps:wsp>
                            <wps:cNvCnPr/>
                            <wps:spPr>
                              <a:xfrm>
                                <a:off x="0" y="0"/>
                                <a:ext cx="0" cy="5886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2" o:spid="_x0000_s1026" o:spt="32" type="#_x0000_t32" style="position:absolute;left:0pt;margin-left:409.6pt;margin-top:22.6pt;height:46.35pt;width:0pt;z-index:251702272;mso-width-relative:page;mso-height-relative:page;" filled="f" stroked="t" coordsize="21600,21600" o:gfxdata="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FFtd2QAAAAoBAAAPAAAAAAAAAAEAIAAAACIAAABkcnMvZG93bnJl&#10;di54bWxQSwECFAAUAAAACACHTuJAGPE9avwBAADqAwAADgAAAAAAAAABACAAAAAoAQAAZHJzL2Uy&#10;b0RvYy54bWxQSwUGAAAAAAYABgBZAQAAlgUAAAAA&#10;">
                      <v:fill on="f" focussize="0,0"/>
                      <v:stroke color="#000000" joinstyle="round" endarrow="block"/>
                      <v:imagedata o:title=""/>
                      <o:lock v:ext="edit" aspectratio="f"/>
                    </v:shape>
                  </w:pict>
                </mc:Fallback>
              </mc:AlternateContent>
            </w:r>
          </w:p>
          <w:p>
            <w:pPr>
              <w:spacing w:line="360" w:lineRule="auto"/>
              <w:ind w:firstLine="482" w:firstLineChars="200"/>
              <w:jc w:val="left"/>
              <w:rPr>
                <w:b/>
                <w:sz w:val="24"/>
              </w:rPr>
            </w:pPr>
            <w:r>
              <w:rPr>
                <w:b/>
                <w:sz w:val="24"/>
                <w:lang/>
              </w:rPr>
              <mc:AlternateContent>
                <mc:Choice Requires="wps">
                  <w:drawing>
                    <wp:anchor distT="0" distB="0" distL="114300" distR="114300" simplePos="0" relativeHeight="251710464" behindDoc="0" locked="0" layoutInCell="1" allowOverlap="1">
                      <wp:simplePos x="0" y="0"/>
                      <wp:positionH relativeFrom="column">
                        <wp:posOffset>4475480</wp:posOffset>
                      </wp:positionH>
                      <wp:positionV relativeFrom="paragraph">
                        <wp:posOffset>125095</wp:posOffset>
                      </wp:positionV>
                      <wp:extent cx="705485" cy="288290"/>
                      <wp:effectExtent l="0" t="0" r="18415" b="16510"/>
                      <wp:wrapNone/>
                      <wp:docPr id="77" name="文本框 1360"/>
                      <wp:cNvGraphicFramePr/>
                      <a:graphic xmlns:a="http://schemas.openxmlformats.org/drawingml/2006/main">
                        <a:graphicData uri="http://schemas.microsoft.com/office/word/2010/wordprocessingShape">
                          <wps:wsp>
                            <wps:cNvSpPr txBox="1"/>
                            <wps:spPr>
                              <a:xfrm>
                                <a:off x="0" y="0"/>
                                <a:ext cx="705485" cy="288290"/>
                              </a:xfrm>
                              <a:prstGeom prst="rect">
                                <a:avLst/>
                              </a:prstGeom>
                              <a:solidFill>
                                <a:srgbClr val="FFFFFF"/>
                              </a:solidFill>
                              <a:ln>
                                <a:noFill/>
                              </a:ln>
                            </wps:spPr>
                            <wps:txbx>
                              <w:txbxContent>
                                <w:p>
                                  <w:pPr>
                                    <w:jc w:val="center"/>
                                  </w:pPr>
                                  <w:r>
                                    <w:t>162.67</w:t>
                                  </w:r>
                                </w:p>
                              </w:txbxContent>
                            </wps:txbx>
                            <wps:bodyPr wrap="square" upright="1"/>
                          </wps:wsp>
                        </a:graphicData>
                      </a:graphic>
                    </wp:anchor>
                  </w:drawing>
                </mc:Choice>
                <mc:Fallback>
                  <w:pict>
                    <v:shape id="文本框 1360" o:spid="_x0000_s1026" o:spt="202" type="#_x0000_t202" style="position:absolute;left:0pt;margin-left:352.4pt;margin-top:9.85pt;height:22.7pt;width:55.55pt;z-index:251710464;mso-width-relative:page;mso-height-relative:page;" fillcolor="#FFFFFF" filled="t" stroked="f" coordsize="21600,21600" o:gfxdata="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&#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H+X1q1wAAAAkBAAAPAAAAAAAAAAEAIAAAACIAAABk&#10;cnMvZG93bnJldi54bWxQSwECFAAUAAAACACHTuJArHXvOM4BAACIAwAADgAAAAAAAAABACAAAAAm&#10;AQAAZHJzL2Uyb0RvYy54bWxQSwUGAAAAAAYABgBZAQAAZgUAAAAA&#10;">
                      <v:fill on="t" focussize="0,0"/>
                      <v:stroke on="f"/>
                      <v:imagedata o:title=""/>
                      <o:lock v:ext="edit" aspectratio="f"/>
                      <v:textbox>
                        <w:txbxContent>
                          <w:p>
                            <w:pPr>
                              <w:jc w:val="center"/>
                            </w:pPr>
                            <w:r>
                              <w:t>162.67</w:t>
                            </w:r>
                          </w:p>
                        </w:txbxContent>
                      </v:textbox>
                    </v:shape>
                  </w:pict>
                </mc:Fallback>
              </mc:AlternateContent>
            </w:r>
            <w:r>
              <w:rPr>
                <w:b/>
                <w:sz w:val="24"/>
                <w:lang/>
              </w:rPr>
              <mc:AlternateContent>
                <mc:Choice Requires="wps">
                  <w:drawing>
                    <wp:anchor distT="0" distB="0" distL="114300" distR="114300" simplePos="0" relativeHeight="251671552" behindDoc="0" locked="0" layoutInCell="1" allowOverlap="1">
                      <wp:simplePos x="0" y="0"/>
                      <wp:positionH relativeFrom="column">
                        <wp:posOffset>2217420</wp:posOffset>
                      </wp:positionH>
                      <wp:positionV relativeFrom="paragraph">
                        <wp:posOffset>267335</wp:posOffset>
                      </wp:positionV>
                      <wp:extent cx="836295" cy="288290"/>
                      <wp:effectExtent l="0" t="0" r="1905" b="16510"/>
                      <wp:wrapNone/>
                      <wp:docPr id="40" name="文本框 1321"/>
                      <wp:cNvGraphicFramePr/>
                      <a:graphic xmlns:a="http://schemas.openxmlformats.org/drawingml/2006/main">
                        <a:graphicData uri="http://schemas.microsoft.com/office/word/2010/wordprocessingShape">
                          <wps:wsp>
                            <wps:cNvSpPr txBox="1"/>
                            <wps:spPr>
                              <a:xfrm>
                                <a:off x="0" y="0"/>
                                <a:ext cx="836295" cy="288290"/>
                              </a:xfrm>
                              <a:prstGeom prst="rect">
                                <a:avLst/>
                              </a:prstGeom>
                              <a:solidFill>
                                <a:srgbClr val="FFFFFF"/>
                              </a:solidFill>
                              <a:ln>
                                <a:noFill/>
                              </a:ln>
                            </wps:spPr>
                            <wps:txbx>
                              <w:txbxContent>
                                <w:p>
                                  <w:pPr>
                                    <w:jc w:val="center"/>
                                  </w:pPr>
                                  <w:r>
                                    <w:t>174.3672</w:t>
                                  </w:r>
                                </w:p>
                              </w:txbxContent>
                            </wps:txbx>
                            <wps:bodyPr wrap="square" upright="1"/>
                          </wps:wsp>
                        </a:graphicData>
                      </a:graphic>
                    </wp:anchor>
                  </w:drawing>
                </mc:Choice>
                <mc:Fallback>
                  <w:pict>
                    <v:shape id="文本框 1321" o:spid="_x0000_s1026" o:spt="202" type="#_x0000_t202" style="position:absolute;left:0pt;margin-left:174.6pt;margin-top:21.05pt;height:22.7pt;width:65.85pt;z-index:251671552;mso-width-relative:page;mso-height-relative:page;" fillcolor="#FFFFFF" filled="t" stroked="f" coordsize="21600,21600" o:gfxdata="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lIftjYAAAACQEAAA8AAAAAAAAAAQAgAAAAIgAA&#10;AGRycy9kb3ducmV2LnhtbFBLAQIUABQAAAAIAIdO4kC+h6PxzwEAAIgDAAAOAAAAAAAAAAEAIAAA&#10;ACcBAABkcnMvZTJvRG9jLnhtbFBLBQYAAAAABgAGAFkBAABoBQAAAAA=&#10;">
                      <v:fill on="t" focussize="0,0"/>
                      <v:stroke on="f"/>
                      <v:imagedata o:title=""/>
                      <o:lock v:ext="edit" aspectratio="f"/>
                      <v:textbox>
                        <w:txbxContent>
                          <w:p>
                            <w:pPr>
                              <w:jc w:val="center"/>
                            </w:pPr>
                            <w:r>
                              <w:t>174.3672</w:t>
                            </w:r>
                          </w:p>
                        </w:txbxContent>
                      </v:textbox>
                    </v:shape>
                  </w:pict>
                </mc:Fallback>
              </mc:AlternateContent>
            </w:r>
            <w:r>
              <w:rPr>
                <w:b/>
                <w:sz w:val="24"/>
                <w:lang/>
              </w:rPr>
              <mc:AlternateContent>
                <mc:Choice Requires="wps">
                  <w:drawing>
                    <wp:anchor distT="0" distB="0" distL="114300" distR="114300" simplePos="0" relativeHeight="251686912" behindDoc="0" locked="0" layoutInCell="1" allowOverlap="1">
                      <wp:simplePos x="0" y="0"/>
                      <wp:positionH relativeFrom="column">
                        <wp:posOffset>746760</wp:posOffset>
                      </wp:positionH>
                      <wp:positionV relativeFrom="paragraph">
                        <wp:posOffset>233680</wp:posOffset>
                      </wp:positionV>
                      <wp:extent cx="659130" cy="288290"/>
                      <wp:effectExtent l="0" t="0" r="7620" b="16510"/>
                      <wp:wrapNone/>
                      <wp:docPr id="54" name="文本框 1336"/>
                      <wp:cNvGraphicFramePr/>
                      <a:graphic xmlns:a="http://schemas.openxmlformats.org/drawingml/2006/main">
                        <a:graphicData uri="http://schemas.microsoft.com/office/word/2010/wordprocessingShape">
                          <wps:wsp>
                            <wps:cNvSpPr txBox="1"/>
                            <wps:spPr>
                              <a:xfrm>
                                <a:off x="0" y="0"/>
                                <a:ext cx="659130" cy="288290"/>
                              </a:xfrm>
                              <a:prstGeom prst="rect">
                                <a:avLst/>
                              </a:prstGeom>
                              <a:solidFill>
                                <a:srgbClr val="FFFFFF"/>
                              </a:solidFill>
                              <a:ln>
                                <a:noFill/>
                              </a:ln>
                            </wps:spPr>
                            <wps:txbx>
                              <w:txbxContent>
                                <w:p>
                                  <w:pPr>
                                    <w:jc w:val="center"/>
                                  </w:pPr>
                                  <w:r>
                                    <w:t>217.959</w:t>
                                  </w:r>
                                </w:p>
                              </w:txbxContent>
                            </wps:txbx>
                            <wps:bodyPr wrap="square" upright="1"/>
                          </wps:wsp>
                        </a:graphicData>
                      </a:graphic>
                    </wp:anchor>
                  </w:drawing>
                </mc:Choice>
                <mc:Fallback>
                  <w:pict>
                    <v:shape id="文本框 1336" o:spid="_x0000_s1026" o:spt="202" type="#_x0000_t202" style="position:absolute;left:0pt;margin-left:58.8pt;margin-top:18.4pt;height:22.7pt;width:51.9pt;z-index:251686912;mso-width-relative:page;mso-height-relative:page;" fillcolor="#FFFFFF" filled="t" stroked="f" coordsize="21600,21600" o:gfxdata="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0TxkvXAAAACQEAAA8AAAAAAAAAAQAgAAAAIgAA&#10;AGRycy9kb3ducmV2LnhtbFBLAQIUABQAAAAIAIdO4kB5BknZ0AEAAIgDAAAOAAAAAAAAAAEAIAAA&#10;ACYBAABkcnMvZTJvRG9jLnhtbFBLBQYAAAAABgAGAFkBAABoBQAAAAA=&#10;">
                      <v:fill on="t" focussize="0,0"/>
                      <v:stroke on="f"/>
                      <v:imagedata o:title=""/>
                      <o:lock v:ext="edit" aspectratio="f"/>
                      <v:textbox>
                        <w:txbxContent>
                          <w:p>
                            <w:pPr>
                              <w:jc w:val="center"/>
                            </w:pPr>
                            <w:r>
                              <w:t>217.959</w:t>
                            </w:r>
                          </w:p>
                        </w:txbxContent>
                      </v:textbox>
                    </v:shape>
                  </w:pict>
                </mc:Fallback>
              </mc:AlternateContent>
            </w:r>
            <w:r>
              <w:rPr>
                <w:b/>
                <w:sz w:val="24"/>
                <w:lang/>
              </w:rPr>
              <mc:AlternateContent>
                <mc:Choice Requires="wps">
                  <w:drawing>
                    <wp:anchor distT="0" distB="0" distL="114300" distR="114300" simplePos="0" relativeHeight="251685888" behindDoc="0" locked="0" layoutInCell="1" allowOverlap="1">
                      <wp:simplePos x="0" y="0"/>
                      <wp:positionH relativeFrom="column">
                        <wp:posOffset>1684020</wp:posOffset>
                      </wp:positionH>
                      <wp:positionV relativeFrom="paragraph">
                        <wp:posOffset>168275</wp:posOffset>
                      </wp:positionV>
                      <wp:extent cx="247650" cy="161925"/>
                      <wp:effectExtent l="5080" t="0" r="23495" b="0"/>
                      <wp:wrapNone/>
                      <wp:docPr id="53" name="自选图形 1335"/>
                      <wp:cNvGraphicFramePr/>
                      <a:graphic xmlns:a="http://schemas.openxmlformats.org/drawingml/2006/main">
                        <a:graphicData uri="http://schemas.microsoft.com/office/word/2010/wordprocessingShape">
                          <wps:wsp>
                            <wps:cNvCnPr/>
                            <wps:spPr>
                              <a:xfrm rot="16200000">
                                <a:off x="0" y="0"/>
                                <a:ext cx="247650" cy="161925"/>
                              </a:xfrm>
                              <a:prstGeom prst="curvedConnector3">
                                <a:avLst>
                                  <a:gd name="adj1" fmla="val 50000"/>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335" o:spid="_x0000_s1026" o:spt="38" type="#_x0000_t38" style="position:absolute;left:0pt;margin-left:132.6pt;margin-top:13.25pt;height:12.75pt;width:19.5pt;rotation:-5898240f;z-index:251685888;mso-width-relative:page;mso-height-relative:page;" filled="f" stroked="t" coordsize="21600,21600" o:gfxdata="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crF&#10;ttcAAAAJAQAADwAAAAAAAAABACAAAAAiAAAAZHJzL2Rvd25yZXYueG1sUEsBAhQAFAAAAAgAh07i&#10;QKtO0rMjAgAAKAQAAA4AAAAAAAAAAQAgAAAAJgEAAGRycy9lMm9Eb2MueG1sUEsFBgAAAAAGAAYA&#10;WQEAALsFAAAAAA==&#10;" adj="10800">
                      <v:fill on="f" focussize="0,0"/>
                      <v:stroke color="#000000" joinstyle="round" dashstyle="dash" endarrow="block"/>
                      <v:imagedata o:title=""/>
                      <o:lock v:ext="edit" aspectratio="f"/>
                    </v:shape>
                  </w:pict>
                </mc:Fallback>
              </mc:AlternateContent>
            </w:r>
          </w:p>
          <w:p>
            <w:pPr>
              <w:spacing w:line="360" w:lineRule="auto"/>
              <w:ind w:firstLine="482" w:firstLineChars="200"/>
              <w:jc w:val="left"/>
              <w:rPr>
                <w:b/>
                <w:sz w:val="24"/>
              </w:rPr>
            </w:pPr>
            <w:r>
              <w:rPr>
                <w:rFonts w:hAnsi="宋体"/>
                <w:b/>
                <w:sz w:val="24"/>
                <w:lang/>
              </w:rPr>
              <mc:AlternateContent>
                <mc:Choice Requires="wps">
                  <w:drawing>
                    <wp:anchor distT="0" distB="0" distL="114300" distR="114300" simplePos="0" relativeHeight="251722752" behindDoc="0" locked="0" layoutInCell="1" allowOverlap="1">
                      <wp:simplePos x="0" y="0"/>
                      <wp:positionH relativeFrom="column">
                        <wp:posOffset>3775710</wp:posOffset>
                      </wp:positionH>
                      <wp:positionV relativeFrom="paragraph">
                        <wp:posOffset>81280</wp:posOffset>
                      </wp:positionV>
                      <wp:extent cx="678180" cy="288290"/>
                      <wp:effectExtent l="0" t="0" r="7620" b="16510"/>
                      <wp:wrapNone/>
                      <wp:docPr id="89" name="文本框 1374"/>
                      <wp:cNvGraphicFramePr/>
                      <a:graphic xmlns:a="http://schemas.openxmlformats.org/drawingml/2006/main">
                        <a:graphicData uri="http://schemas.microsoft.com/office/word/2010/wordprocessingShape">
                          <wps:wsp>
                            <wps:cNvSpPr txBox="1"/>
                            <wps:spPr>
                              <a:xfrm>
                                <a:off x="0" y="0"/>
                                <a:ext cx="678180" cy="288290"/>
                              </a:xfrm>
                              <a:prstGeom prst="rect">
                                <a:avLst/>
                              </a:prstGeom>
                              <a:solidFill>
                                <a:srgbClr val="FFFFFF"/>
                              </a:solidFill>
                              <a:ln>
                                <a:noFill/>
                              </a:ln>
                            </wps:spPr>
                            <wps:txbx>
                              <w:txbxContent>
                                <w:p>
                                  <w:pPr>
                                    <w:jc w:val="center"/>
                                  </w:pPr>
                                  <w:r>
                                    <w:t>101.27</w:t>
                                  </w:r>
                                </w:p>
                              </w:txbxContent>
                            </wps:txbx>
                            <wps:bodyPr wrap="square" upright="1"/>
                          </wps:wsp>
                        </a:graphicData>
                      </a:graphic>
                    </wp:anchor>
                  </w:drawing>
                </mc:Choice>
                <mc:Fallback>
                  <w:pict>
                    <v:shape id="文本框 1374" o:spid="_x0000_s1026" o:spt="202" type="#_x0000_t202" style="position:absolute;left:0pt;margin-left:297.3pt;margin-top:6.4pt;height:22.7pt;width:53.4pt;z-index:251722752;mso-width-relative:page;mso-height-relative:page;" fillcolor="#FFFFFF" filled="t" stroked="f" coordsize="21600,21600" o:gfxdata="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zi0Y1gAAAAkBAAAPAAAAAAAAAAEAIAAAACIAAABk&#10;cnMvZG93bnJldi54bWxQSwECFAAUAAAACACHTuJAnQ3pUc8BAACIAwAADgAAAAAAAAABACAAAAAl&#10;AQAAZHJzL2Uyb0RvYy54bWxQSwUGAAAAAAYABgBZAQAAZgUAAAAA&#10;">
                      <v:fill on="t" focussize="0,0"/>
                      <v:stroke on="f"/>
                      <v:imagedata o:title=""/>
                      <o:lock v:ext="edit" aspectratio="f"/>
                      <v:textbox>
                        <w:txbxContent>
                          <w:p>
                            <w:pPr>
                              <w:jc w:val="center"/>
                            </w:pPr>
                            <w:r>
                              <w:t>101.27</w:t>
                            </w:r>
                          </w:p>
                        </w:txbxContent>
                      </v:textbox>
                    </v:shape>
                  </w:pict>
                </mc:Fallback>
              </mc:AlternateContent>
            </w:r>
            <w:r>
              <w:rPr>
                <w:rFonts w:hAnsi="宋体"/>
                <w:b/>
                <w:sz w:val="24"/>
                <w:lang/>
              </w:rPr>
              <mc:AlternateContent>
                <mc:Choice Requires="wps">
                  <w:drawing>
                    <wp:anchor distT="0" distB="0" distL="114300" distR="114300" simplePos="0" relativeHeight="251773952" behindDoc="0" locked="0" layoutInCell="1" allowOverlap="1">
                      <wp:simplePos x="0" y="0"/>
                      <wp:positionH relativeFrom="column">
                        <wp:posOffset>3537585</wp:posOffset>
                      </wp:positionH>
                      <wp:positionV relativeFrom="paragraph">
                        <wp:posOffset>226060</wp:posOffset>
                      </wp:positionV>
                      <wp:extent cx="336550" cy="0"/>
                      <wp:effectExtent l="0" t="38100" r="6350" b="38100"/>
                      <wp:wrapNone/>
                      <wp:docPr id="139" name="自选图形 1338"/>
                      <wp:cNvGraphicFramePr/>
                      <a:graphic xmlns:a="http://schemas.openxmlformats.org/drawingml/2006/main">
                        <a:graphicData uri="http://schemas.microsoft.com/office/word/2010/wordprocessingShape">
                          <wps:wsp>
                            <wps:cNvCnPr/>
                            <wps:spPr>
                              <a:xfrm>
                                <a:off x="0" y="0"/>
                                <a:ext cx="336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8" o:spid="_x0000_s1026" o:spt="32" type="#_x0000_t32" style="position:absolute;left:0pt;margin-left:278.55pt;margin-top:17.8pt;height:0pt;width:26.5pt;z-index:251773952;mso-width-relative:page;mso-height-relative:page;" filled="f" stroked="t" coordsize="21600,21600" o:gfxdata="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Abl2fXAAAACQEAAA8AAAAAAAAAAQAgAAAAIgAAAGRycy9kb3du&#10;cmV2LnhtbFBLAQIUABQAAAAIAIdO4kCj1X24AAIAAOsDAAAOAAAAAAAAAAEAIAAAACYBAABkcnMv&#10;ZTJvRG9jLnhtbFBLBQYAAAAABgAGAFkBAACYBQAAAAA=&#10;">
                      <v:fill on="f" focussize="0,0"/>
                      <v:stroke color="#000000" joinstyle="round" endarrow="block"/>
                      <v:imagedata o:title=""/>
                      <o:lock v:ext="edit" aspectratio="f"/>
                    </v:shape>
                  </w:pict>
                </mc:Fallback>
              </mc:AlternateContent>
            </w:r>
            <w:r>
              <w:rPr>
                <w:rFonts w:hAnsi="宋体"/>
                <w:b/>
                <w:sz w:val="24"/>
                <w:lang/>
              </w:rPr>
              <mc:AlternateContent>
                <mc:Choice Requires="wps">
                  <w:drawing>
                    <wp:anchor distT="0" distB="0" distL="114300" distR="114300" simplePos="0" relativeHeight="251713536" behindDoc="0" locked="0" layoutInCell="1" allowOverlap="1">
                      <wp:simplePos x="0" y="0"/>
                      <wp:positionH relativeFrom="column">
                        <wp:posOffset>2872105</wp:posOffset>
                      </wp:positionH>
                      <wp:positionV relativeFrom="paragraph">
                        <wp:posOffset>46990</wp:posOffset>
                      </wp:positionV>
                      <wp:extent cx="665480" cy="288290"/>
                      <wp:effectExtent l="4445" t="4445" r="15875" b="12065"/>
                      <wp:wrapNone/>
                      <wp:docPr id="80"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化粪池</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226.15pt;margin-top:3.7pt;height:22.7pt;width:52.4pt;z-index:251713536;mso-width-relative:page;mso-height-relative:page;" fillcolor="#FFFFFF" filled="t" stroked="t" coordsize="21600,21600" o:gfxdata="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t/+d2AAAAAgBAAAPAAAAAAAAAAEAIAAAACIAAABkcnMvZG93bnJl&#10;di54bWxQSwECFAAUAAAACACHTuJAxveFLjYCAACPBAAADgAAAAAAAAABACAAAAAnAQAAZHJzL2Uy&#10;b0RvYy54bWxQSwUGAAAAAAYABgBZAQAAzwUAAAAA&#10;">
                      <v:fill on="t" focussize="0,0"/>
                      <v:stroke color="#000000" miterlimit="8" joinstyle="miter"/>
                      <v:imagedata o:title=""/>
                      <o:lock v:ext="edit" aspectratio="f"/>
                      <v:textbox>
                        <w:txbxContent>
                          <w:p>
                            <w:pPr>
                              <w:jc w:val="center"/>
                              <w:rPr>
                                <w:sz w:val="24"/>
                              </w:rPr>
                            </w:pPr>
                            <w:r>
                              <w:rPr>
                                <w:rFonts w:hint="eastAsia"/>
                                <w:sz w:val="24"/>
                              </w:rPr>
                              <w:t>化粪池</w:t>
                            </w:r>
                          </w:p>
                        </w:txbxContent>
                      </v:textbox>
                    </v:rect>
                  </w:pict>
                </mc:Fallback>
              </mc:AlternateContent>
            </w:r>
            <w:r>
              <w:rPr>
                <w:rFonts w:hAnsi="宋体"/>
                <w:b/>
                <w:sz w:val="24"/>
                <w:lang/>
              </w:rPr>
              <mc:AlternateContent>
                <mc:Choice Requires="wps">
                  <w:drawing>
                    <wp:anchor distT="0" distB="0" distL="114300" distR="114300" simplePos="0" relativeHeight="251772928" behindDoc="0" locked="0" layoutInCell="1" allowOverlap="1">
                      <wp:simplePos x="0" y="0"/>
                      <wp:positionH relativeFrom="column">
                        <wp:posOffset>3880485</wp:posOffset>
                      </wp:positionH>
                      <wp:positionV relativeFrom="paragraph">
                        <wp:posOffset>214630</wp:posOffset>
                      </wp:positionV>
                      <wp:extent cx="3810" cy="260350"/>
                      <wp:effectExtent l="36830" t="0" r="35560" b="6350"/>
                      <wp:wrapNone/>
                      <wp:docPr id="138" name="自选图形 1352"/>
                      <wp:cNvGraphicFramePr/>
                      <a:graphic xmlns:a="http://schemas.openxmlformats.org/drawingml/2006/main">
                        <a:graphicData uri="http://schemas.microsoft.com/office/word/2010/wordprocessingShape">
                          <wps:wsp>
                            <wps:cNvCnPr/>
                            <wps:spPr>
                              <a:xfrm flipH="1">
                                <a:off x="0" y="0"/>
                                <a:ext cx="3810" cy="260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2" o:spid="_x0000_s1026" o:spt="32" type="#_x0000_t32" style="position:absolute;left:0pt;flip:x;margin-left:305.55pt;margin-top:16.9pt;height:20.5pt;width:0.3pt;z-index:251772928;mso-width-relative:page;mso-height-relative:page;" filled="f" stroked="t" coordsize="21600,21600" o:gfxdata="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2myOtgAAAAJAQAADwAAAAAAAAABACAAAAAi&#10;AAAAZHJzL2Rvd25yZXYueG1sUEsBAhQAFAAAAAgAh07iQCXAm80KAgAA+AMAAA4AAAAAAAAAAQAg&#10;AAAAJwEAAGRycy9lMm9Eb2MueG1sUEsFBgAAAAAGAAYAWQEAAKMFA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700224" behindDoc="0" locked="0" layoutInCell="1" allowOverlap="1">
                      <wp:simplePos x="0" y="0"/>
                      <wp:positionH relativeFrom="column">
                        <wp:posOffset>4577715</wp:posOffset>
                      </wp:positionH>
                      <wp:positionV relativeFrom="paragraph">
                        <wp:posOffset>281305</wp:posOffset>
                      </wp:positionV>
                      <wp:extent cx="894080" cy="504825"/>
                      <wp:effectExtent l="4445" t="5080" r="15875" b="4445"/>
                      <wp:wrapNone/>
                      <wp:docPr id="67"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维西县污水处理厂</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360.45pt;margin-top:22.15pt;height:39.75pt;width:70.4pt;z-index:251700224;mso-width-relative:page;mso-height-relative:page;" fillcolor="#FFFFFF" filled="t" stroked="t" coordsize="21600,21600" o:gfxdata="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eZ3cdgAAAAKAQAADwAAAAAAAAABACAAAAAiAAAAZHJzL2Rvd25y&#10;ZXYueG1sUEsBAhQAFAAAAAgAh07iQCgGbd43AgAAjwQAAA4AAAAAAAAAAQAgAAAAJwEAAGRycy9l&#10;Mm9Eb2MueG1sUEsFBgAAAAAGAAYAWQEAANAFAAAAAA==&#10;">
                      <v:fill on="t" focussize="0,0"/>
                      <v:stroke color="#000000" miterlimit="8" joinstyle="miter"/>
                      <v:imagedata o:title=""/>
                      <o:lock v:ext="edit" aspectratio="f"/>
                      <v:textbox>
                        <w:txbxContent>
                          <w:p>
                            <w:pPr>
                              <w:jc w:val="center"/>
                              <w:rPr>
                                <w:sz w:val="24"/>
                              </w:rPr>
                            </w:pPr>
                            <w:r>
                              <w:rPr>
                                <w:rFonts w:hint="eastAsia"/>
                                <w:sz w:val="24"/>
                              </w:rPr>
                              <w:t>维西县污水处理厂</w:t>
                            </w:r>
                          </w:p>
                        </w:txbxContent>
                      </v:textbox>
                    </v:rect>
                  </w:pict>
                </mc:Fallback>
              </mc:AlternateContent>
            </w:r>
            <w:r>
              <w:rPr>
                <w:b/>
                <w:sz w:val="24"/>
                <w:lang/>
              </w:rPr>
              <mc:AlternateContent>
                <mc:Choice Requires="wps">
                  <w:drawing>
                    <wp:anchor distT="0" distB="0" distL="114300" distR="114300" simplePos="0" relativeHeight="251688960" behindDoc="0" locked="0" layoutInCell="1" allowOverlap="1">
                      <wp:simplePos x="0" y="0"/>
                      <wp:positionH relativeFrom="column">
                        <wp:posOffset>2366645</wp:posOffset>
                      </wp:positionH>
                      <wp:positionV relativeFrom="paragraph">
                        <wp:posOffset>224790</wp:posOffset>
                      </wp:positionV>
                      <wp:extent cx="520065" cy="1270"/>
                      <wp:effectExtent l="0" t="36830" r="13335" b="38100"/>
                      <wp:wrapNone/>
                      <wp:docPr id="56" name="自选图形 1338"/>
                      <wp:cNvGraphicFramePr/>
                      <a:graphic xmlns:a="http://schemas.openxmlformats.org/drawingml/2006/main">
                        <a:graphicData uri="http://schemas.microsoft.com/office/word/2010/wordprocessingShape">
                          <wps:wsp>
                            <wps:cNvCnPr/>
                            <wps:spPr>
                              <a:xfrm>
                                <a:off x="0" y="0"/>
                                <a:ext cx="520065"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8" o:spid="_x0000_s1026" o:spt="32" type="#_x0000_t32" style="position:absolute;left:0pt;margin-left:186.35pt;margin-top:17.7pt;height:0.1pt;width:40.95pt;z-index:251688960;mso-width-relative:page;mso-height-relative:page;" filled="f" stroked="t" coordsize="21600,21600" o:gfxdata="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684LZAAAACQEAAA8AAAAAAAAAAQAgAAAAIgAAAGRycy9k&#10;b3ducmV2LnhtbFBLAQIUABQAAAAIAIdO4kDXMpUNAQIAAO0DAAAOAAAAAAAAAAEAIAAAACgBAABk&#10;cnMvZTJvRG9jLnhtbFBLBQYAAAAABgAGAFkBAACbBQ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87936" behindDoc="0" locked="0" layoutInCell="1" allowOverlap="1">
                      <wp:simplePos x="0" y="0"/>
                      <wp:positionH relativeFrom="column">
                        <wp:posOffset>802005</wp:posOffset>
                      </wp:positionH>
                      <wp:positionV relativeFrom="paragraph">
                        <wp:posOffset>235585</wp:posOffset>
                      </wp:positionV>
                      <wp:extent cx="638175" cy="0"/>
                      <wp:effectExtent l="0" t="38100" r="9525" b="38100"/>
                      <wp:wrapNone/>
                      <wp:docPr id="55" name="自选图形 1337"/>
                      <wp:cNvGraphicFramePr/>
                      <a:graphic xmlns:a="http://schemas.openxmlformats.org/drawingml/2006/main">
                        <a:graphicData uri="http://schemas.microsoft.com/office/word/2010/wordprocessingShape">
                          <wps:wsp>
                            <wps:cNvCnPr/>
                            <wps:spPr>
                              <a:xfrm>
                                <a:off x="0" y="0"/>
                                <a:ext cx="638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7" o:spid="_x0000_s1026" o:spt="32" type="#_x0000_t32" style="position:absolute;left:0pt;margin-left:63.15pt;margin-top:18.55pt;height:0pt;width:50.25pt;z-index:251687936;mso-width-relative:page;mso-height-relative:page;" filled="f" stroked="t" coordsize="21600,21600" o:gfxdata="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NfiGx1wAAAAkBAAAPAAAAAAAAAAEAIAAAACIAAABkcnMvZG93bnJl&#10;di54bWxQSwECFAAUAAAACACHTuJA6PGPlP4BAADqAwAADgAAAAAAAAABACAAAAAmAQAAZHJzL2Uy&#10;b0RvYy54bWxQSwUGAAAAAAYABgBZAQAAlgU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83840" behindDoc="0" locked="0" layoutInCell="1" allowOverlap="1">
                      <wp:simplePos x="0" y="0"/>
                      <wp:positionH relativeFrom="column">
                        <wp:posOffset>1440180</wp:posOffset>
                      </wp:positionH>
                      <wp:positionV relativeFrom="paragraph">
                        <wp:posOffset>75565</wp:posOffset>
                      </wp:positionV>
                      <wp:extent cx="926465" cy="288290"/>
                      <wp:effectExtent l="4445" t="4445" r="21590" b="12065"/>
                      <wp:wrapNone/>
                      <wp:docPr id="51"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7#-</w:t>
                                  </w:r>
                                  <w:r>
                                    <w:rPr>
                                      <w:sz w:val="24"/>
                                    </w:rPr>
                                    <w:t>15</w:t>
                                  </w:r>
                                  <w:r>
                                    <w:rPr>
                                      <w:rFonts w:hint="eastAsia"/>
                                      <w:sz w:val="24"/>
                                    </w:rPr>
                                    <w:t>#</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113.4pt;margin-top:5.95pt;height:22.7pt;width:72.95pt;z-index:251683840;mso-width-relative:page;mso-height-relative:page;" fillcolor="#FFFFFF" filled="t" stroked="t" coordsize="21600,21600" o:gfxdata="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XYA+bXAAAACQEAAA8AAAAAAAAAAQAgAAAAIgAAAGRycy9kb3du&#10;cmV2LnhtbFBLAQIUABQAAAAIAIdO4kA/VE9xOQIAAI8EAAAOAAAAAAAAAAEAIAAAACYBAABkcnMv&#10;ZTJvRG9jLnhtbFBLBQYAAAAABgAGAFkBAADRBQAAAAA=&#10;">
                      <v:fill on="t" focussize="0,0"/>
                      <v:stroke color="#000000" miterlimit="8" joinstyle="miter"/>
                      <v:imagedata o:title=""/>
                      <o:lock v:ext="edit" aspectratio="f"/>
                      <v:textbox>
                        <w:txbxContent>
                          <w:p>
                            <w:pPr>
                              <w:jc w:val="center"/>
                              <w:rPr>
                                <w:sz w:val="24"/>
                              </w:rPr>
                            </w:pPr>
                            <w:r>
                              <w:rPr>
                                <w:rFonts w:hint="eastAsia"/>
                                <w:sz w:val="24"/>
                              </w:rPr>
                              <w:t>7#-</w:t>
                            </w:r>
                            <w:r>
                              <w:rPr>
                                <w:sz w:val="24"/>
                              </w:rPr>
                              <w:t>15</w:t>
                            </w:r>
                            <w:r>
                              <w:rPr>
                                <w:rFonts w:hint="eastAsia"/>
                                <w:sz w:val="24"/>
                              </w:rPr>
                              <w:t>#</w:t>
                            </w:r>
                          </w:p>
                        </w:txbxContent>
                      </v:textbox>
                    </v:rect>
                  </w:pict>
                </mc:Fallback>
              </mc:AlternateContent>
            </w:r>
          </w:p>
          <w:p>
            <w:pPr>
              <w:spacing w:line="360" w:lineRule="auto"/>
              <w:ind w:firstLine="482" w:firstLineChars="200"/>
              <w:jc w:val="left"/>
              <w:rPr>
                <w:b/>
                <w:sz w:val="24"/>
              </w:rPr>
            </w:pPr>
            <w:r>
              <w:rPr>
                <w:rFonts w:hAnsi="宋体"/>
                <w:b/>
                <w:sz w:val="24"/>
                <w:lang/>
              </w:rPr>
              <mc:AlternateContent>
                <mc:Choice Requires="wps">
                  <w:drawing>
                    <wp:anchor distT="0" distB="0" distL="114300" distR="114300" simplePos="0" relativeHeight="251714560" behindDoc="0" locked="0" layoutInCell="1" allowOverlap="1">
                      <wp:simplePos x="0" y="0"/>
                      <wp:positionH relativeFrom="column">
                        <wp:posOffset>3536315</wp:posOffset>
                      </wp:positionH>
                      <wp:positionV relativeFrom="paragraph">
                        <wp:posOffset>157480</wp:posOffset>
                      </wp:positionV>
                      <wp:extent cx="803910" cy="288290"/>
                      <wp:effectExtent l="4445" t="4445" r="10795" b="12065"/>
                      <wp:wrapNone/>
                      <wp:docPr id="81"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中水处理</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278.45pt;margin-top:12.4pt;height:22.7pt;width:63.3pt;z-index:251714560;mso-width-relative:page;mso-height-relative:page;" fillcolor="#FFFFFF" filled="t" stroked="t" coordsize="21600,21600" o:gfxdata="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nIlQTYAAAACQEAAA8AAAAAAAAAAQAgAAAAIgAAAGRycy9kb3du&#10;cmV2LnhtbFBLAQIUABQAAAAIAIdO4kBj6CEUOAIAAI8EAAAOAAAAAAAAAAEAIAAAACcBAABkcnMv&#10;ZTJvRG9jLnhtbFBLBQYAAAAABgAGAFkBAADRBQAAAAA=&#10;">
                      <v:fill on="t" focussize="0,0"/>
                      <v:stroke color="#000000" miterlimit="8" joinstyle="miter"/>
                      <v:imagedata o:title=""/>
                      <o:lock v:ext="edit" aspectratio="f"/>
                      <v:textbox>
                        <w:txbxContent>
                          <w:p>
                            <w:pPr>
                              <w:jc w:val="center"/>
                              <w:rPr>
                                <w:sz w:val="24"/>
                              </w:rPr>
                            </w:pPr>
                            <w:r>
                              <w:rPr>
                                <w:rFonts w:hint="eastAsia"/>
                                <w:sz w:val="24"/>
                              </w:rPr>
                              <w:t>中水处理</w:t>
                            </w:r>
                          </w:p>
                        </w:txbxContent>
                      </v:textbox>
                    </v:rect>
                  </w:pict>
                </mc:Fallback>
              </mc:AlternateContent>
            </w:r>
            <w:r>
              <w:rPr>
                <w:b/>
                <w:sz w:val="24"/>
                <w:lang/>
              </w:rPr>
              <mc:AlternateContent>
                <mc:Choice Requires="wps">
                  <w:drawing>
                    <wp:anchor distT="0" distB="0" distL="114300" distR="114300" simplePos="0" relativeHeight="251667456" behindDoc="0" locked="0" layoutInCell="1" allowOverlap="1">
                      <wp:simplePos x="0" y="0"/>
                      <wp:positionH relativeFrom="column">
                        <wp:posOffset>1567815</wp:posOffset>
                      </wp:positionH>
                      <wp:positionV relativeFrom="paragraph">
                        <wp:posOffset>177800</wp:posOffset>
                      </wp:positionV>
                      <wp:extent cx="575945" cy="302895"/>
                      <wp:effectExtent l="0" t="0" r="14605" b="1905"/>
                      <wp:wrapNone/>
                      <wp:docPr id="36" name="文本框 1317"/>
                      <wp:cNvGraphicFramePr/>
                      <a:graphic xmlns:a="http://schemas.openxmlformats.org/drawingml/2006/main">
                        <a:graphicData uri="http://schemas.microsoft.com/office/word/2010/wordprocessingShape">
                          <wps:wsp>
                            <wps:cNvSpPr txBox="1"/>
                            <wps:spPr>
                              <a:xfrm>
                                <a:off x="0" y="0"/>
                                <a:ext cx="575945" cy="302895"/>
                              </a:xfrm>
                              <a:prstGeom prst="rect">
                                <a:avLst/>
                              </a:prstGeom>
                              <a:solidFill>
                                <a:srgbClr val="FFFFFF"/>
                              </a:solidFill>
                              <a:ln>
                                <a:noFill/>
                              </a:ln>
                            </wps:spPr>
                            <wps:txbx>
                              <w:txbxContent>
                                <w:p>
                                  <w:pPr>
                                    <w:jc w:val="center"/>
                                  </w:pPr>
                                  <w:r>
                                    <w:t>70.015</w:t>
                                  </w:r>
                                </w:p>
                              </w:txbxContent>
                            </wps:txbx>
                            <wps:bodyPr wrap="square" upright="1"/>
                          </wps:wsp>
                        </a:graphicData>
                      </a:graphic>
                    </wp:anchor>
                  </w:drawing>
                </mc:Choice>
                <mc:Fallback>
                  <w:pict>
                    <v:shape id="文本框 1317" o:spid="_x0000_s1026" o:spt="202" type="#_x0000_t202" style="position:absolute;left:0pt;margin-left:123.45pt;margin-top:14pt;height:23.85pt;width:45.35pt;z-index:251667456;mso-width-relative:page;mso-height-relative:page;" fillcolor="#FFFFFF" filled="t" stroked="f" coordsize="21600,21600" o:gfxdata="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oD51dcAAAAJAQAADwAAAAAAAAABACAAAAAiAAAA&#10;ZHJzL2Rvd25yZXYueG1sUEsBAhQAFAAAAAgAh07iQBSkCnnPAQAAiAMAAA4AAAAAAAAAAQAgAAAA&#10;JgEAAGRycy9lMm9Eb2MueG1sUEsFBgAAAAAGAAYAWQEAAGcFAAAAAA==&#10;">
                      <v:fill on="t" focussize="0,0"/>
                      <v:stroke on="f"/>
                      <v:imagedata o:title=""/>
                      <o:lock v:ext="edit" aspectratio="f"/>
                      <v:textbox>
                        <w:txbxContent>
                          <w:p>
                            <w:pPr>
                              <w:jc w:val="center"/>
                            </w:pPr>
                            <w:r>
                              <w:t>70.015</w:t>
                            </w:r>
                          </w:p>
                        </w:txbxContent>
                      </v:textbox>
                    </v:shape>
                  </w:pict>
                </mc:Fallback>
              </mc:AlternateContent>
            </w:r>
          </w:p>
          <w:p>
            <w:pPr>
              <w:spacing w:line="360" w:lineRule="auto"/>
              <w:ind w:firstLine="482" w:firstLineChars="200"/>
              <w:jc w:val="left"/>
              <w:rPr>
                <w:b/>
                <w:sz w:val="24"/>
              </w:rPr>
            </w:pPr>
            <w:r>
              <w:rPr>
                <w:rFonts w:hAnsi="宋体"/>
                <w:b/>
                <w:sz w:val="24"/>
                <w:lang/>
              </w:rPr>
              <mc:AlternateContent>
                <mc:Choice Requires="wps">
                  <w:drawing>
                    <wp:anchor distT="0" distB="0" distL="114300" distR="114300" simplePos="0" relativeHeight="251716608" behindDoc="0" locked="0" layoutInCell="1" allowOverlap="1">
                      <wp:simplePos x="0" y="0"/>
                      <wp:positionH relativeFrom="column">
                        <wp:posOffset>3874135</wp:posOffset>
                      </wp:positionH>
                      <wp:positionV relativeFrom="paragraph">
                        <wp:posOffset>122555</wp:posOffset>
                      </wp:positionV>
                      <wp:extent cx="5715" cy="795020"/>
                      <wp:effectExtent l="33020" t="0" r="37465" b="5080"/>
                      <wp:wrapNone/>
                      <wp:docPr id="83" name="自选图形 1367"/>
                      <wp:cNvGraphicFramePr/>
                      <a:graphic xmlns:a="http://schemas.openxmlformats.org/drawingml/2006/main">
                        <a:graphicData uri="http://schemas.microsoft.com/office/word/2010/wordprocessingShape">
                          <wps:wsp>
                            <wps:cNvCnPr/>
                            <wps:spPr>
                              <a:xfrm>
                                <a:off x="0" y="0"/>
                                <a:ext cx="5715" cy="7950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7" o:spid="_x0000_s1026" o:spt="32" type="#_x0000_t32" style="position:absolute;left:0pt;margin-left:305.05pt;margin-top:9.65pt;height:62.6pt;width:0.45pt;z-index:251716608;mso-width-relative:page;mso-height-relative:page;" filled="f" stroked="t" coordsize="21600,21600" o:gfxdata="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sgP99kAAAAKAQAADwAAAAAAAAABACAAAAAiAAAAZHJz&#10;L2Rvd25yZXYueG1sUEsBAhQAFAAAAAgAh07iQAzkjnQDAgAA7QMAAA4AAAAAAAAAAQAgAAAAKAEA&#10;AGRycy9lMm9Eb2MueG1sUEsFBgAAAAAGAAYAWQEAAJ0FA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666432" behindDoc="0" locked="0" layoutInCell="1" allowOverlap="1">
                      <wp:simplePos x="0" y="0"/>
                      <wp:positionH relativeFrom="column">
                        <wp:posOffset>2195195</wp:posOffset>
                      </wp:positionH>
                      <wp:positionV relativeFrom="paragraph">
                        <wp:posOffset>201930</wp:posOffset>
                      </wp:positionV>
                      <wp:extent cx="675640" cy="288290"/>
                      <wp:effectExtent l="0" t="0" r="10160" b="16510"/>
                      <wp:wrapNone/>
                      <wp:docPr id="35" name="文本框 1316"/>
                      <wp:cNvGraphicFramePr/>
                      <a:graphic xmlns:a="http://schemas.openxmlformats.org/drawingml/2006/main">
                        <a:graphicData uri="http://schemas.microsoft.com/office/word/2010/wordprocessingShape">
                          <wps:wsp>
                            <wps:cNvSpPr txBox="1"/>
                            <wps:spPr>
                              <a:xfrm>
                                <a:off x="0" y="0"/>
                                <a:ext cx="675640" cy="288290"/>
                              </a:xfrm>
                              <a:prstGeom prst="rect">
                                <a:avLst/>
                              </a:prstGeom>
                              <a:solidFill>
                                <a:srgbClr val="FFFFFF"/>
                              </a:solidFill>
                              <a:ln>
                                <a:noFill/>
                              </a:ln>
                            </wps:spPr>
                            <wps:txbx>
                              <w:txbxContent>
                                <w:p>
                                  <w:pPr>
                                    <w:jc w:val="center"/>
                                  </w:pPr>
                                  <w:r>
                                    <w:t>70.015</w:t>
                                  </w:r>
                                </w:p>
                              </w:txbxContent>
                            </wps:txbx>
                            <wps:bodyPr wrap="square" upright="1"/>
                          </wps:wsp>
                        </a:graphicData>
                      </a:graphic>
                    </wp:anchor>
                  </w:drawing>
                </mc:Choice>
                <mc:Fallback>
                  <w:pict>
                    <v:shape id="文本框 1316" o:spid="_x0000_s1026" o:spt="202" type="#_x0000_t202" style="position:absolute;left:0pt;margin-left:172.85pt;margin-top:15.9pt;height:22.7pt;width:53.2pt;z-index:251666432;mso-width-relative:page;mso-height-relative:page;" fillcolor="#FFFFFF" filled="t" stroked="f" coordsize="21600,21600" o:gfxdata="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KaRVHXAAAACQEAAA8AAAAAAAAAAQAgAAAAIgAA&#10;AGRycy9kb3ducmV2LnhtbFBLAQIUABQAAAAIAIdO4kDQXOwZ0AEAAIgDAAAOAAAAAAAAAAEAIAAA&#10;ACYBAABkcnMvZTJvRG9jLnhtbFBLBQYAAAAABgAGAFkBAABoBQAAAAA=&#10;">
                      <v:fill on="t" focussize="0,0"/>
                      <v:stroke on="f"/>
                      <v:imagedata o:title=""/>
                      <o:lock v:ext="edit" aspectratio="f"/>
                      <v:textbox>
                        <w:txbxContent>
                          <w:p>
                            <w:pPr>
                              <w:jc w:val="center"/>
                            </w:pPr>
                            <w:r>
                              <w:t>70.015</w:t>
                            </w:r>
                          </w:p>
                        </w:txbxContent>
                      </v:textbox>
                    </v:shape>
                  </w:pict>
                </mc:Fallback>
              </mc:AlternateContent>
            </w:r>
            <w:r>
              <w:rPr>
                <w:b/>
                <w:sz w:val="24"/>
                <w:lang/>
              </w:rPr>
              <mc:AlternateContent>
                <mc:Choice Requires="wps">
                  <w:drawing>
                    <wp:anchor distT="0" distB="0" distL="114300" distR="114300" simplePos="0" relativeHeight="251706368" behindDoc="0" locked="0" layoutInCell="1" allowOverlap="1">
                      <wp:simplePos x="0" y="0"/>
                      <wp:positionH relativeFrom="column">
                        <wp:posOffset>1723390</wp:posOffset>
                      </wp:positionH>
                      <wp:positionV relativeFrom="paragraph">
                        <wp:posOffset>143510</wp:posOffset>
                      </wp:positionV>
                      <wp:extent cx="247650" cy="161925"/>
                      <wp:effectExtent l="5080" t="0" r="23495" b="0"/>
                      <wp:wrapNone/>
                      <wp:docPr id="73" name="自选图形 1356"/>
                      <wp:cNvGraphicFramePr/>
                      <a:graphic xmlns:a="http://schemas.openxmlformats.org/drawingml/2006/main">
                        <a:graphicData uri="http://schemas.microsoft.com/office/word/2010/wordprocessingShape">
                          <wps:wsp>
                            <wps:cNvCnPr/>
                            <wps:spPr>
                              <a:xfrm rot="16200000">
                                <a:off x="0" y="0"/>
                                <a:ext cx="247650" cy="161925"/>
                              </a:xfrm>
                              <a:prstGeom prst="curvedConnector3">
                                <a:avLst>
                                  <a:gd name="adj1" fmla="val 50000"/>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356" o:spid="_x0000_s1026" o:spt="38" type="#_x0000_t38" style="position:absolute;left:0pt;margin-left:135.7pt;margin-top:11.3pt;height:12.75pt;width:19.5pt;rotation:-5898240f;z-index:251706368;mso-width-relative:page;mso-height-relative:page;" filled="f" stroked="t" coordsize="21600,21600" o:gfxdata="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5Ug&#10;GtgAAAAJAQAADwAAAAAAAAABACAAAAAiAAAAZHJzL2Rvd25yZXYueG1sUEsBAhQAFAAAAAgAh07i&#10;QJSUB7oiAgAAKAQAAA4AAAAAAAAAAQAgAAAAJwEAAGRycy9lMm9Eb2MueG1sUEsFBgAAAAAGAAYA&#10;WQEAALsFAAAAAA==&#10;" adj="10800">
                      <v:fill on="f" focussize="0,0"/>
                      <v:stroke color="#000000" joinstyle="round" dashstyle="dash" endarrow="block"/>
                      <v:imagedata o:title=""/>
                      <o:lock v:ext="edit" aspectratio="f"/>
                    </v:shape>
                  </w:pict>
                </mc:Fallback>
              </mc:AlternateContent>
            </w:r>
          </w:p>
          <w:p>
            <w:pPr>
              <w:spacing w:line="360" w:lineRule="auto"/>
              <w:ind w:firstLine="482" w:firstLineChars="200"/>
              <w:jc w:val="left"/>
              <w:rPr>
                <w:b/>
                <w:sz w:val="24"/>
              </w:rPr>
            </w:pPr>
            <w:r>
              <w:rPr>
                <w:rFonts w:hAnsi="宋体"/>
                <w:b/>
                <w:sz w:val="24"/>
                <w:lang/>
              </w:rPr>
              <mc:AlternateContent>
                <mc:Choice Requires="wps">
                  <w:drawing>
                    <wp:anchor distT="0" distB="0" distL="114300" distR="114300" simplePos="0" relativeHeight="251717632" behindDoc="0" locked="0" layoutInCell="1" allowOverlap="1">
                      <wp:simplePos x="0" y="0"/>
                      <wp:positionH relativeFrom="column">
                        <wp:posOffset>2782570</wp:posOffset>
                      </wp:positionH>
                      <wp:positionV relativeFrom="paragraph">
                        <wp:posOffset>203835</wp:posOffset>
                      </wp:positionV>
                      <wp:extent cx="13335" cy="894080"/>
                      <wp:effectExtent l="4445" t="0" r="20320" b="1270"/>
                      <wp:wrapNone/>
                      <wp:docPr id="84" name="自选图形 1368"/>
                      <wp:cNvGraphicFramePr/>
                      <a:graphic xmlns:a="http://schemas.openxmlformats.org/drawingml/2006/main">
                        <a:graphicData uri="http://schemas.microsoft.com/office/word/2010/wordprocessingShape">
                          <wps:wsp>
                            <wps:cNvCnPr/>
                            <wps:spPr>
                              <a:xfrm flipH="1">
                                <a:off x="0" y="0"/>
                                <a:ext cx="13335" cy="8940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68" o:spid="_x0000_s1026" o:spt="32" type="#_x0000_t32" style="position:absolute;left:0pt;flip:x;margin-left:219.1pt;margin-top:16.05pt;height:70.4pt;width:1.05pt;z-index:251717632;mso-width-relative:page;mso-height-relative:page;" filled="f" stroked="t" coordsize="21600,21600" o:gfxdata="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QBdiNgAAAAKAQAADwAAAAAAAAABACAAAAAiAAAAZHJz&#10;L2Rvd25yZXYueG1sUEsBAhQAFAAAAAgAh07iQNRjvEoEAgAA9AMAAA4AAAAAAAAAAQAgAAAAJwEA&#10;AGRycy9lMm9Eb2MueG1sUEsFBgAAAAAGAAYAWQEAAJ0FAAAAAA==&#10;">
                      <v:fill on="f" focussize="0,0"/>
                      <v:stroke color="#000000" joinstyle="round"/>
                      <v:imagedata o:title=""/>
                      <o:lock v:ext="edit" aspectratio="f"/>
                    </v:shape>
                  </w:pict>
                </mc:Fallback>
              </mc:AlternateContent>
            </w:r>
            <w:r>
              <w:rPr>
                <w:b/>
                <w:sz w:val="24"/>
                <w:lang/>
              </w:rPr>
              <mc:AlternateContent>
                <mc:Choice Requires="wps">
                  <w:drawing>
                    <wp:anchor distT="0" distB="0" distL="114300" distR="114300" simplePos="0" relativeHeight="251705344" behindDoc="0" locked="0" layoutInCell="1" allowOverlap="1">
                      <wp:simplePos x="0" y="0"/>
                      <wp:positionH relativeFrom="column">
                        <wp:posOffset>2289810</wp:posOffset>
                      </wp:positionH>
                      <wp:positionV relativeFrom="paragraph">
                        <wp:posOffset>193040</wp:posOffset>
                      </wp:positionV>
                      <wp:extent cx="513715" cy="0"/>
                      <wp:effectExtent l="0" t="38100" r="635" b="38100"/>
                      <wp:wrapNone/>
                      <wp:docPr id="72" name="自选图形 1355"/>
                      <wp:cNvGraphicFramePr/>
                      <a:graphic xmlns:a="http://schemas.openxmlformats.org/drawingml/2006/main">
                        <a:graphicData uri="http://schemas.microsoft.com/office/word/2010/wordprocessingShape">
                          <wps:wsp>
                            <wps:cNvCnPr/>
                            <wps:spPr>
                              <a:xfrm flipH="1">
                                <a:off x="0" y="0"/>
                                <a:ext cx="51371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5" o:spid="_x0000_s1026" o:spt="32" type="#_x0000_t32" style="position:absolute;left:0pt;flip:x;margin-left:180.3pt;margin-top:15.2pt;height:0pt;width:40.45pt;z-index:251705344;mso-width-relative:page;mso-height-relative:page;" filled="f" stroked="t" coordsize="21600,21600" o:gfxdata="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u4cPXAAAACQEAAA8AAAAAAAAAAQAgAAAAIgAAAGRy&#10;cy9kb3ducmV2LnhtbFBLAQIUABQAAAAIAIdO4kAe9d74BgIAAPQDAAAOAAAAAAAAAAEAIAAAACYB&#10;AABkcnMvZTJvRG9jLnhtbFBLBQYAAAAABgAGAFkBAACeBQ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707392" behindDoc="0" locked="0" layoutInCell="1" allowOverlap="1">
                      <wp:simplePos x="0" y="0"/>
                      <wp:positionH relativeFrom="column">
                        <wp:posOffset>1440180</wp:posOffset>
                      </wp:positionH>
                      <wp:positionV relativeFrom="paragraph">
                        <wp:posOffset>48895</wp:posOffset>
                      </wp:positionV>
                      <wp:extent cx="849630" cy="288290"/>
                      <wp:effectExtent l="4445" t="4445" r="22225" b="12065"/>
                      <wp:wrapNone/>
                      <wp:docPr id="74"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绿化</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113.4pt;margin-top:3.85pt;height:22.7pt;width:66.9pt;z-index:251707392;mso-width-relative:page;mso-height-relative:page;" fillcolor="#FFFFFF" filled="t" stroked="t" coordsize="21600,21600" o:gfxdata="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Ez8YvXAAAACAEAAA8AAAAAAAAAAQAgAAAAIgAAAGRycy9kb3du&#10;cmV2LnhtbFBLAQIUABQAAAAIAIdO4kC/1Qc3OQIAAI8EAAAOAAAAAAAAAAEAIAAAACYBAABkcnMv&#10;ZTJvRG9jLnhtbFBLBQYAAAAABgAGAFkBAADRBQAAAAA=&#10;">
                      <v:fill on="t" focussize="0,0"/>
                      <v:stroke color="#000000" miterlimit="8" joinstyle="miter"/>
                      <v:imagedata o:title=""/>
                      <o:lock v:ext="edit" aspectratio="f"/>
                      <v:textbox>
                        <w:txbxContent>
                          <w:p>
                            <w:pPr>
                              <w:jc w:val="center"/>
                              <w:rPr>
                                <w:sz w:val="24"/>
                              </w:rPr>
                            </w:pPr>
                            <w:r>
                              <w:rPr>
                                <w:rFonts w:hint="eastAsia"/>
                                <w:sz w:val="24"/>
                              </w:rPr>
                              <w:t>绿化</w:t>
                            </w:r>
                          </w:p>
                        </w:txbxContent>
                      </v:textbox>
                    </v:rect>
                  </w:pict>
                </mc:Fallback>
              </mc:AlternateContent>
            </w:r>
          </w:p>
          <w:p>
            <w:pPr>
              <w:spacing w:line="360" w:lineRule="auto"/>
              <w:ind w:firstLine="482" w:firstLineChars="200"/>
              <w:jc w:val="left"/>
              <w:rPr>
                <w:b/>
                <w:sz w:val="24"/>
              </w:rPr>
            </w:pPr>
            <w:r>
              <w:rPr>
                <w:rFonts w:hAnsi="宋体"/>
                <w:b/>
                <w:sz w:val="24"/>
                <w:lang/>
              </w:rPr>
              <mc:AlternateContent>
                <mc:Choice Requires="wps">
                  <w:drawing>
                    <wp:anchor distT="0" distB="0" distL="114300" distR="114300" simplePos="0" relativeHeight="251723776" behindDoc="0" locked="0" layoutInCell="1" allowOverlap="1">
                      <wp:simplePos x="0" y="0"/>
                      <wp:positionH relativeFrom="column">
                        <wp:posOffset>3030855</wp:posOffset>
                      </wp:positionH>
                      <wp:positionV relativeFrom="paragraph">
                        <wp:posOffset>19685</wp:posOffset>
                      </wp:positionV>
                      <wp:extent cx="678180" cy="288290"/>
                      <wp:effectExtent l="0" t="0" r="7620" b="16510"/>
                      <wp:wrapNone/>
                      <wp:docPr id="90" name="文本框 1375"/>
                      <wp:cNvGraphicFramePr/>
                      <a:graphic xmlns:a="http://schemas.openxmlformats.org/drawingml/2006/main">
                        <a:graphicData uri="http://schemas.microsoft.com/office/word/2010/wordprocessingShape">
                          <wps:wsp>
                            <wps:cNvSpPr txBox="1"/>
                            <wps:spPr>
                              <a:xfrm>
                                <a:off x="0" y="0"/>
                                <a:ext cx="678180" cy="288290"/>
                              </a:xfrm>
                              <a:prstGeom prst="rect">
                                <a:avLst/>
                              </a:prstGeom>
                              <a:solidFill>
                                <a:srgbClr val="FFFFFF"/>
                              </a:solidFill>
                              <a:ln>
                                <a:noFill/>
                              </a:ln>
                            </wps:spPr>
                            <wps:txbx>
                              <w:txbxContent>
                                <w:p>
                                  <w:pPr>
                                    <w:jc w:val="center"/>
                                  </w:pPr>
                                  <w:r>
                                    <w:t>101.27</w:t>
                                  </w:r>
                                </w:p>
                              </w:txbxContent>
                            </wps:txbx>
                            <wps:bodyPr wrap="square" upright="1"/>
                          </wps:wsp>
                        </a:graphicData>
                      </a:graphic>
                    </wp:anchor>
                  </w:drawing>
                </mc:Choice>
                <mc:Fallback>
                  <w:pict>
                    <v:shape id="文本框 1375" o:spid="_x0000_s1026" o:spt="202" type="#_x0000_t202" style="position:absolute;left:0pt;margin-left:238.65pt;margin-top:1.55pt;height:22.7pt;width:53.4pt;z-index:251723776;mso-width-relative:page;mso-height-relative:page;" fillcolor="#FFFFFF" filled="t" stroked="f" coordsize="21600,21600" o:gfxdata="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mAqQfVAAAACAEAAA8AAAAAAAAAAQAgAAAAIgAAAGRycy9k&#10;b3ducmV2LnhtbFBLAQIUABQAAAAIAIdO4kBCJNrGzAEAAIgDAAAOAAAAAAAAAAEAIAAAACQBAABk&#10;cnMvZTJvRG9jLnhtbFBLBQYAAAAABgAGAFkBAABiBQAAAAA=&#10;">
                      <v:fill on="t" focussize="0,0"/>
                      <v:stroke on="f"/>
                      <v:imagedata o:title=""/>
                      <o:lock v:ext="edit" aspectratio="f"/>
                      <v:textbox>
                        <w:txbxContent>
                          <w:p>
                            <w:pPr>
                              <w:jc w:val="center"/>
                            </w:pPr>
                            <w:r>
                              <w:t>101.27</w:t>
                            </w:r>
                          </w:p>
                        </w:txbxContent>
                      </v:textbox>
                    </v:shape>
                  </w:pict>
                </mc:Fallback>
              </mc:AlternateContent>
            </w:r>
            <w:r>
              <w:rPr>
                <w:b/>
                <w:sz w:val="24"/>
                <w:lang/>
              </w:rPr>
              <mc:AlternateContent>
                <mc:Choice Requires="wps">
                  <w:drawing>
                    <wp:anchor distT="0" distB="0" distL="114300" distR="114300" simplePos="0" relativeHeight="251669504" behindDoc="0" locked="0" layoutInCell="1" allowOverlap="1">
                      <wp:simplePos x="0" y="0"/>
                      <wp:positionH relativeFrom="column">
                        <wp:posOffset>1640205</wp:posOffset>
                      </wp:positionH>
                      <wp:positionV relativeFrom="paragraph">
                        <wp:posOffset>202565</wp:posOffset>
                      </wp:positionV>
                      <wp:extent cx="562610" cy="288290"/>
                      <wp:effectExtent l="0" t="0" r="8890" b="16510"/>
                      <wp:wrapNone/>
                      <wp:docPr id="38" name="文本框 1319"/>
                      <wp:cNvGraphicFramePr/>
                      <a:graphic xmlns:a="http://schemas.openxmlformats.org/drawingml/2006/main">
                        <a:graphicData uri="http://schemas.microsoft.com/office/word/2010/wordprocessingShape">
                          <wps:wsp>
                            <wps:cNvSpPr txBox="1"/>
                            <wps:spPr>
                              <a:xfrm>
                                <a:off x="0" y="0"/>
                                <a:ext cx="562610" cy="288290"/>
                              </a:xfrm>
                              <a:prstGeom prst="rect">
                                <a:avLst/>
                              </a:prstGeom>
                              <a:solidFill>
                                <a:srgbClr val="FFFFFF"/>
                              </a:solidFill>
                              <a:ln>
                                <a:noFill/>
                              </a:ln>
                            </wps:spPr>
                            <wps:txbx>
                              <w:txbxContent>
                                <w:p>
                                  <w:pPr>
                                    <w:jc w:val="center"/>
                                  </w:pPr>
                                  <w:r>
                                    <w:t>31.255</w:t>
                                  </w:r>
                                </w:p>
                              </w:txbxContent>
                            </wps:txbx>
                            <wps:bodyPr wrap="square" upright="1"/>
                          </wps:wsp>
                        </a:graphicData>
                      </a:graphic>
                    </wp:anchor>
                  </w:drawing>
                </mc:Choice>
                <mc:Fallback>
                  <w:pict>
                    <v:shape id="文本框 1319" o:spid="_x0000_s1026" o:spt="202" type="#_x0000_t202" style="position:absolute;left:0pt;margin-left:129.15pt;margin-top:15.95pt;height:22.7pt;width:44.3pt;z-index:251669504;mso-width-relative:page;mso-height-relative:page;" fillcolor="#FFFFFF" filled="t" stroked="f" coordsize="21600,21600" o:gfxdata="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DOPYAAAACQEAAA8AAAAAAAAAAQAgAAAAIgAA&#10;AGRycy9kb3ducmV2LnhtbFBLAQIUABQAAAAIAIdO4kDfZ1yZzwEAAIgDAAAOAAAAAAAAAAEAIAAA&#10;ACcBAABkcnMvZTJvRG9jLnhtbFBLBQYAAAAABgAGAFkBAABoBQAAAAA=&#10;">
                      <v:fill on="t" focussize="0,0"/>
                      <v:stroke on="f"/>
                      <v:imagedata o:title=""/>
                      <o:lock v:ext="edit" aspectratio="f"/>
                      <v:textbox>
                        <w:txbxContent>
                          <w:p>
                            <w:pPr>
                              <w:jc w:val="center"/>
                            </w:pPr>
                            <w:r>
                              <w:t>31.255</w:t>
                            </w:r>
                          </w:p>
                        </w:txbxContent>
                      </v:textbox>
                    </v:shape>
                  </w:pict>
                </mc:Fallback>
              </mc:AlternateContent>
            </w:r>
          </w:p>
          <w:p>
            <w:pPr>
              <w:spacing w:line="360" w:lineRule="auto"/>
              <w:ind w:firstLine="482" w:firstLineChars="200"/>
              <w:jc w:val="left"/>
              <w:rPr>
                <w:rFonts w:hint="eastAsia"/>
                <w:b/>
                <w:sz w:val="24"/>
              </w:rPr>
            </w:pPr>
            <w:r>
              <w:rPr>
                <w:rFonts w:hint="eastAsia"/>
                <w:b/>
                <w:sz w:val="24"/>
                <w:lang/>
              </w:rPr>
              <mc:AlternateContent>
                <mc:Choice Requires="wps">
                  <w:drawing>
                    <wp:anchor distT="0" distB="0" distL="114300" distR="114300" simplePos="0" relativeHeight="251709440" behindDoc="0" locked="0" layoutInCell="1" allowOverlap="1">
                      <wp:simplePos x="0" y="0"/>
                      <wp:positionH relativeFrom="column">
                        <wp:posOffset>2270125</wp:posOffset>
                      </wp:positionH>
                      <wp:positionV relativeFrom="paragraph">
                        <wp:posOffset>215265</wp:posOffset>
                      </wp:positionV>
                      <wp:extent cx="624205" cy="288290"/>
                      <wp:effectExtent l="0" t="0" r="4445" b="16510"/>
                      <wp:wrapNone/>
                      <wp:docPr id="76" name="文本框 1359"/>
                      <wp:cNvGraphicFramePr/>
                      <a:graphic xmlns:a="http://schemas.openxmlformats.org/drawingml/2006/main">
                        <a:graphicData uri="http://schemas.microsoft.com/office/word/2010/wordprocessingShape">
                          <wps:wsp>
                            <wps:cNvSpPr txBox="1"/>
                            <wps:spPr>
                              <a:xfrm>
                                <a:off x="0" y="0"/>
                                <a:ext cx="624205" cy="288290"/>
                              </a:xfrm>
                              <a:prstGeom prst="rect">
                                <a:avLst/>
                              </a:prstGeom>
                              <a:solidFill>
                                <a:srgbClr val="FFFFFF"/>
                              </a:solidFill>
                              <a:ln>
                                <a:noFill/>
                              </a:ln>
                            </wps:spPr>
                            <wps:txbx>
                              <w:txbxContent>
                                <w:p>
                                  <w:pPr>
                                    <w:jc w:val="center"/>
                                  </w:pPr>
                                  <w:r>
                                    <w:t>31.255</w:t>
                                  </w:r>
                                </w:p>
                              </w:txbxContent>
                            </wps:txbx>
                            <wps:bodyPr wrap="square" upright="1"/>
                          </wps:wsp>
                        </a:graphicData>
                      </a:graphic>
                    </wp:anchor>
                  </w:drawing>
                </mc:Choice>
                <mc:Fallback>
                  <w:pict>
                    <v:shape id="文本框 1359" o:spid="_x0000_s1026" o:spt="202" type="#_x0000_t202" style="position:absolute;left:0pt;margin-left:178.75pt;margin-top:16.95pt;height:22.7pt;width:49.15pt;z-index:251709440;mso-width-relative:page;mso-height-relative:page;" fillcolor="#FFFFFF" filled="t" stroked="f" coordsize="21600,21600" o:gfxdata="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Eufc/XAAAACQEAAA8AAAAAAAAAAQAgAAAAIgAA&#10;AGRycy9kb3ducmV2LnhtbFBLAQIUABQAAAAIAIdO4kDnk6JP0AEAAIgDAAAOAAAAAAAAAAEAIAAA&#10;ACYBAABkcnMvZTJvRG9jLnhtbFBLBQYAAAAABgAGAFkBAABoBQAAAAA=&#10;">
                      <v:fill on="t" focussize="0,0"/>
                      <v:stroke on="f"/>
                      <v:imagedata o:title=""/>
                      <o:lock v:ext="edit" aspectratio="f"/>
                      <v:textbox>
                        <w:txbxContent>
                          <w:p>
                            <w:pPr>
                              <w:jc w:val="center"/>
                            </w:pPr>
                            <w:r>
                              <w:t>31.255</w:t>
                            </w:r>
                          </w:p>
                        </w:txbxContent>
                      </v:textbox>
                    </v:shape>
                  </w:pict>
                </mc:Fallback>
              </mc:AlternateContent>
            </w:r>
            <w:r>
              <w:rPr>
                <w:rFonts w:hAnsi="宋体"/>
                <w:b/>
                <w:sz w:val="24"/>
                <w:lang/>
              </w:rPr>
              <mc:AlternateContent>
                <mc:Choice Requires="wps">
                  <w:drawing>
                    <wp:anchor distT="0" distB="0" distL="114300" distR="114300" simplePos="0" relativeHeight="251718656" behindDoc="0" locked="0" layoutInCell="1" allowOverlap="1">
                      <wp:simplePos x="0" y="0"/>
                      <wp:positionH relativeFrom="column">
                        <wp:posOffset>2803525</wp:posOffset>
                      </wp:positionH>
                      <wp:positionV relativeFrom="paragraph">
                        <wp:posOffset>10160</wp:posOffset>
                      </wp:positionV>
                      <wp:extent cx="1076325" cy="16510"/>
                      <wp:effectExtent l="0" t="22860" r="9525" b="36830"/>
                      <wp:wrapNone/>
                      <wp:docPr id="85" name="自选图形 1369"/>
                      <wp:cNvGraphicFramePr/>
                      <a:graphic xmlns:a="http://schemas.openxmlformats.org/drawingml/2006/main">
                        <a:graphicData uri="http://schemas.microsoft.com/office/word/2010/wordprocessingShape">
                          <wps:wsp>
                            <wps:cNvCnPr/>
                            <wps:spPr>
                              <a:xfrm flipH="1">
                                <a:off x="0" y="0"/>
                                <a:ext cx="1076325" cy="16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9" o:spid="_x0000_s1026" o:spt="32" type="#_x0000_t32" style="position:absolute;left:0pt;flip:x;margin-left:220.75pt;margin-top:0.8pt;height:1.3pt;width:84.75pt;z-index:251718656;mso-width-relative:page;mso-height-relative:page;" filled="f" stroked="t" coordsize="21600,21600" o:gfxdata="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OIH41QAAAAcBAAAPAAAAAAAAAAEAIAAAACIA&#10;AABkcnMvZG93bnJldi54bWxQSwECFAAUAAAACACHTuJAKwKkGwwCAAD5AwAADgAAAAAAAAABACAA&#10;AAAkAQAAZHJzL2Uyb0RvYy54bWxQSwUGAAAAAAYABgBZAQAAogUAAAAA&#10;">
                      <v:fill on="f" focussize="0,0"/>
                      <v:stroke color="#000000" joinstyle="round" endarrow="block"/>
                      <v:imagedata o:title=""/>
                      <o:lock v:ext="edit" aspectratio="f"/>
                    </v:shape>
                  </w:pict>
                </mc:Fallback>
              </mc:AlternateContent>
            </w:r>
            <w:r>
              <w:rPr>
                <w:rFonts w:hint="eastAsia"/>
                <w:b/>
                <w:sz w:val="24"/>
                <w:lang/>
              </w:rPr>
              <mc:AlternateContent>
                <mc:Choice Requires="wps">
                  <w:drawing>
                    <wp:anchor distT="0" distB="0" distL="114300" distR="114300" simplePos="0" relativeHeight="251708416" behindDoc="0" locked="0" layoutInCell="1" allowOverlap="1">
                      <wp:simplePos x="0" y="0"/>
                      <wp:positionH relativeFrom="column">
                        <wp:posOffset>1723390</wp:posOffset>
                      </wp:positionH>
                      <wp:positionV relativeFrom="paragraph">
                        <wp:posOffset>160655</wp:posOffset>
                      </wp:positionV>
                      <wp:extent cx="247650" cy="161925"/>
                      <wp:effectExtent l="5080" t="0" r="23495" b="0"/>
                      <wp:wrapNone/>
                      <wp:docPr id="75" name="自选图形 1358"/>
                      <wp:cNvGraphicFramePr/>
                      <a:graphic xmlns:a="http://schemas.openxmlformats.org/drawingml/2006/main">
                        <a:graphicData uri="http://schemas.microsoft.com/office/word/2010/wordprocessingShape">
                          <wps:wsp>
                            <wps:cNvCnPr/>
                            <wps:spPr>
                              <a:xfrm rot="16200000">
                                <a:off x="0" y="0"/>
                                <a:ext cx="247650" cy="161925"/>
                              </a:xfrm>
                              <a:prstGeom prst="curvedConnector3">
                                <a:avLst>
                                  <a:gd name="adj1" fmla="val 50000"/>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358" o:spid="_x0000_s1026" o:spt="38" type="#_x0000_t38" style="position:absolute;left:0pt;margin-left:135.7pt;margin-top:12.65pt;height:12.75pt;width:19.5pt;rotation:-5898240f;z-index:251708416;mso-width-relative:page;mso-height-relative:page;" filled="f" stroked="t" coordsize="21600,21600" o:gfxdata="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7hw&#10;X9gAAAAJAQAADwAAAAAAAAABACAAAAAiAAAAZHJzL2Rvd25yZXYueG1sUEsBAhQAFAAAAAgAh07i&#10;QFrT42YiAgAAKAQAAA4AAAAAAAAAAQAgAAAAJwEAAGRycy9lMm9Eb2MueG1sUEsFBgAAAAAGAAYA&#10;WQEAALsFAAAAAA==&#10;" adj="10800">
                      <v:fill on="f" focussize="0,0"/>
                      <v:stroke color="#000000" joinstyle="round" dashstyle="dash" endarrow="block"/>
                      <v:imagedata o:title=""/>
                      <o:lock v:ext="edit" aspectratio="f"/>
                    </v:shape>
                  </w:pict>
                </mc:Fallback>
              </mc:AlternateContent>
            </w:r>
          </w:p>
          <w:p>
            <w:pPr>
              <w:spacing w:line="360" w:lineRule="auto"/>
              <w:ind w:firstLine="482" w:firstLineChars="200"/>
              <w:jc w:val="left"/>
              <w:rPr>
                <w:b/>
                <w:sz w:val="24"/>
              </w:rPr>
            </w:pPr>
            <w:r>
              <w:rPr>
                <w:rFonts w:hAnsi="宋体"/>
                <w:b/>
                <w:sz w:val="24"/>
                <w:lang/>
              </w:rPr>
              <mc:AlternateContent>
                <mc:Choice Requires="wps">
                  <w:drawing>
                    <wp:anchor distT="0" distB="0" distL="114300" distR="114300" simplePos="0" relativeHeight="251715584" behindDoc="0" locked="0" layoutInCell="1" allowOverlap="1">
                      <wp:simplePos x="0" y="0"/>
                      <wp:positionH relativeFrom="column">
                        <wp:posOffset>2282190</wp:posOffset>
                      </wp:positionH>
                      <wp:positionV relativeFrom="paragraph">
                        <wp:posOffset>207010</wp:posOffset>
                      </wp:positionV>
                      <wp:extent cx="513715" cy="0"/>
                      <wp:effectExtent l="0" t="38100" r="635" b="38100"/>
                      <wp:wrapNone/>
                      <wp:docPr id="82" name="自选图形 1366"/>
                      <wp:cNvGraphicFramePr/>
                      <a:graphic xmlns:a="http://schemas.openxmlformats.org/drawingml/2006/main">
                        <a:graphicData uri="http://schemas.microsoft.com/office/word/2010/wordprocessingShape">
                          <wps:wsp>
                            <wps:cNvCnPr/>
                            <wps:spPr>
                              <a:xfrm flipH="1">
                                <a:off x="0" y="0"/>
                                <a:ext cx="51371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6" o:spid="_x0000_s1026" o:spt="32" type="#_x0000_t32" style="position:absolute;left:0pt;flip:x;margin-left:179.7pt;margin-top:16.3pt;height:0pt;width:40.45pt;z-index:251715584;mso-width-relative:page;mso-height-relative:page;" filled="f" stroked="t" coordsize="21600,21600" o:gfxdata="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&#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5wMgNgAAAAJAQAADwAAAAAAAAABACAAAAAiAAAA&#10;ZHJzL2Rvd25yZXYueG1sUEsBAhQAFAAAAAgAh07iQCRPxLkHAgAA9AMAAA4AAAAAAAAAAQAgAAAA&#10;JwEAAGRycy9lMm9Eb2MueG1sUEsFBgAAAAAGAAYAWQEAAKAFAAAAAA==&#10;">
                      <v:fill on="f" focussize="0,0"/>
                      <v:stroke color="#000000" joinstyle="round" endarrow="block"/>
                      <v:imagedata o:title=""/>
                      <o:lock v:ext="edit" aspectratio="f"/>
                    </v:shape>
                  </w:pict>
                </mc:Fallback>
              </mc:AlternateContent>
            </w:r>
            <w:r>
              <w:rPr>
                <w:b/>
                <w:sz w:val="24"/>
                <w:lang/>
              </w:rPr>
              <mc:AlternateContent>
                <mc:Choice Requires="wps">
                  <w:drawing>
                    <wp:anchor distT="0" distB="0" distL="114300" distR="114300" simplePos="0" relativeHeight="251701248" behindDoc="0" locked="0" layoutInCell="1" allowOverlap="1">
                      <wp:simplePos x="0" y="0"/>
                      <wp:positionH relativeFrom="column">
                        <wp:posOffset>1485265</wp:posOffset>
                      </wp:positionH>
                      <wp:positionV relativeFrom="paragraph">
                        <wp:posOffset>67945</wp:posOffset>
                      </wp:positionV>
                      <wp:extent cx="804545" cy="288290"/>
                      <wp:effectExtent l="4445" t="4445" r="10160" b="12065"/>
                      <wp:wrapNone/>
                      <wp:docPr id="68" name="Rectangle 2781"/>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ln>
                              <a:effectLst/>
                            </wps:spPr>
                            <wps:txbx>
                              <w:txbxContent>
                                <w:p>
                                  <w:pPr>
                                    <w:jc w:val="center"/>
                                    <w:rPr>
                                      <w:sz w:val="24"/>
                                    </w:rPr>
                                  </w:pPr>
                                  <w:r>
                                    <w:rPr>
                                      <w:rFonts w:hint="eastAsia"/>
                                      <w:sz w:val="24"/>
                                    </w:rPr>
                                    <w:t>道路</w:t>
                                  </w:r>
                                </w:p>
                              </w:txbxContent>
                            </wps:txbx>
                            <wps:bodyPr rot="0" vert="horz" wrap="square" lIns="91440" tIns="45720" rIns="91440" bIns="45720" anchor="t" anchorCtr="0" upright="1">
                              <a:noAutofit/>
                            </wps:bodyPr>
                          </wps:wsp>
                        </a:graphicData>
                      </a:graphic>
                    </wp:anchor>
                  </w:drawing>
                </mc:Choice>
                <mc:Fallback>
                  <w:pict>
                    <v:rect id="Rectangle 2781" o:spid="_x0000_s1026" o:spt="1" style="position:absolute;left:0pt;margin-left:116.95pt;margin-top:5.35pt;height:22.7pt;width:63.35pt;z-index:251701248;mso-width-relative:page;mso-height-relative:page;" fillcolor="#FFFFFF" filled="t" stroked="t" coordsize="21600,21600" o:gfxdata="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rBzV1wAAAAkBAAAPAAAAAAAAAAEAIAAAACIAAABkcnMvZG93bnJl&#10;di54bWxQSwECFAAUAAAACACHTuJAOqNAdTcCAACPBAAADgAAAAAAAAABACAAAAAmAQAAZHJzL2Uy&#10;b0RvYy54bWxQSwUGAAAAAAYABgBZAQAAzwUAAAAA&#10;">
                      <v:fill on="t" focussize="0,0"/>
                      <v:stroke color="#000000" miterlimit="8" joinstyle="miter"/>
                      <v:imagedata o:title=""/>
                      <o:lock v:ext="edit" aspectratio="f"/>
                      <v:textbox>
                        <w:txbxContent>
                          <w:p>
                            <w:pPr>
                              <w:jc w:val="center"/>
                              <w:rPr>
                                <w:sz w:val="24"/>
                              </w:rPr>
                            </w:pPr>
                            <w:r>
                              <w:rPr>
                                <w:rFonts w:hint="eastAsia"/>
                                <w:sz w:val="24"/>
                              </w:rPr>
                              <w:t>道路</w:t>
                            </w:r>
                          </w:p>
                        </w:txbxContent>
                      </v:textbox>
                    </v:rect>
                  </w:pict>
                </mc:Fallback>
              </mc:AlternateContent>
            </w:r>
          </w:p>
          <w:p>
            <w:pPr>
              <w:spacing w:line="360" w:lineRule="auto"/>
              <w:ind w:firstLine="482" w:firstLineChars="200"/>
              <w:jc w:val="left"/>
              <w:rPr>
                <w:b/>
                <w:sz w:val="24"/>
              </w:rPr>
            </w:pPr>
            <w:r>
              <w:rPr>
                <w:b/>
                <w:sz w:val="24"/>
                <w:lang/>
              </w:rPr>
              <mc:AlternateContent>
                <mc:Choice Requires="wps">
                  <w:drawing>
                    <wp:anchor distT="0" distB="0" distL="114300" distR="114300" simplePos="0" relativeHeight="251703296" behindDoc="0" locked="0" layoutInCell="1" allowOverlap="1">
                      <wp:simplePos x="0" y="0"/>
                      <wp:positionH relativeFrom="column">
                        <wp:posOffset>1294130</wp:posOffset>
                      </wp:positionH>
                      <wp:positionV relativeFrom="paragraph">
                        <wp:posOffset>236855</wp:posOffset>
                      </wp:positionV>
                      <wp:extent cx="3539490" cy="288290"/>
                      <wp:effectExtent l="0" t="0" r="3810" b="16510"/>
                      <wp:wrapNone/>
                      <wp:docPr id="70" name="Rectangle 2781"/>
                      <wp:cNvGraphicFramePr/>
                      <a:graphic xmlns:a="http://schemas.openxmlformats.org/drawingml/2006/main">
                        <a:graphicData uri="http://schemas.microsoft.com/office/word/2010/wordprocessingShape">
                          <wps:wsp>
                            <wps:cNvSpPr/>
                            <wps:spPr>
                              <a:xfrm>
                                <a:off x="0" y="0"/>
                                <a:ext cx="3539490" cy="288290"/>
                              </a:xfrm>
                              <a:prstGeom prst="rect">
                                <a:avLst/>
                              </a:prstGeom>
                              <a:solidFill>
                                <a:srgbClr val="FFFFFF"/>
                              </a:solidFill>
                              <a:ln>
                                <a:noFill/>
                              </a:ln>
                            </wps:spPr>
                            <wps:txbx>
                              <w:txbxContent>
                                <w:p>
                                  <w:pPr>
                                    <w:jc w:val="center"/>
                                    <w:rPr>
                                      <w:b/>
                                      <w:sz w:val="24"/>
                                    </w:rPr>
                                  </w:pPr>
                                  <w:r>
                                    <w:rPr>
                                      <w:rFonts w:hint="eastAsia"/>
                                      <w:b/>
                                      <w:sz w:val="24"/>
                                    </w:rPr>
                                    <w:t>图5-3 项目水量平衡图     m</w:t>
                                  </w:r>
                                  <w:r>
                                    <w:rPr>
                                      <w:rFonts w:hint="eastAsia"/>
                                      <w:b/>
                                      <w:sz w:val="24"/>
                                      <w:vertAlign w:val="superscript"/>
                                    </w:rPr>
                                    <w:t>3</w:t>
                                  </w:r>
                                  <w:r>
                                    <w:rPr>
                                      <w:rFonts w:hint="eastAsia"/>
                                      <w:b/>
                                      <w:sz w:val="24"/>
                                    </w:rPr>
                                    <w:t>/d</w:t>
                                  </w:r>
                                </w:p>
                                <w:p>
                                  <w:pPr>
                                    <w:jc w:val="center"/>
                                    <w:rPr>
                                      <w:b/>
                                      <w:sz w:val="24"/>
                                    </w:rPr>
                                  </w:pPr>
                                </w:p>
                              </w:txbxContent>
                            </wps:txbx>
                            <wps:bodyPr wrap="square" upright="1"/>
                          </wps:wsp>
                        </a:graphicData>
                      </a:graphic>
                    </wp:anchor>
                  </w:drawing>
                </mc:Choice>
                <mc:Fallback>
                  <w:pict>
                    <v:rect id="Rectangle 2781" o:spid="_x0000_s1026" o:spt="1" style="position:absolute;left:0pt;margin-left:101.9pt;margin-top:18.65pt;height:22.7pt;width:278.7pt;z-index:251703296;mso-width-relative:page;mso-height-relative:page;"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">
                      <v:fill on="t" focussize="0,0"/>
                      <v:stroke on="f"/>
                      <v:imagedata o:title=""/>
                      <o:lock v:ext="edit" aspectratio="f"/>
                      <v:textbox>
                        <w:txbxContent>
                          <w:p>
                            <w:pPr>
                              <w:jc w:val="center"/>
                              <w:rPr>
                                <w:b/>
                                <w:sz w:val="24"/>
                              </w:rPr>
                            </w:pPr>
                            <w:r>
                              <w:rPr>
                                <w:rFonts w:hint="eastAsia"/>
                                <w:b/>
                                <w:sz w:val="24"/>
                              </w:rPr>
                              <w:t>图5-3 项目水量平衡图     m</w:t>
                            </w:r>
                            <w:r>
                              <w:rPr>
                                <w:rFonts w:hint="eastAsia"/>
                                <w:b/>
                                <w:sz w:val="24"/>
                                <w:vertAlign w:val="superscript"/>
                              </w:rPr>
                              <w:t>3</w:t>
                            </w:r>
                            <w:r>
                              <w:rPr>
                                <w:rFonts w:hint="eastAsia"/>
                                <w:b/>
                                <w:sz w:val="24"/>
                              </w:rPr>
                              <w:t>/d</w:t>
                            </w:r>
                          </w:p>
                          <w:p>
                            <w:pPr>
                              <w:jc w:val="center"/>
                              <w:rPr>
                                <w:b/>
                                <w:sz w:val="24"/>
                              </w:rPr>
                            </w:pPr>
                          </w:p>
                        </w:txbxContent>
                      </v:textbox>
                    </v:rect>
                  </w:pict>
                </mc:Fallback>
              </mc:AlternateContent>
            </w:r>
          </w:p>
          <w:p>
            <w:pPr>
              <w:spacing w:line="360" w:lineRule="auto"/>
              <w:ind w:firstLine="482" w:firstLineChars="200"/>
              <w:jc w:val="left"/>
              <w:rPr>
                <w:b/>
                <w:sz w:val="24"/>
              </w:rPr>
            </w:pPr>
          </w:p>
          <w:p>
            <w:pPr>
              <w:spacing w:line="360" w:lineRule="auto"/>
              <w:ind w:firstLine="482" w:firstLineChars="200"/>
              <w:jc w:val="left"/>
              <w:rPr>
                <w:rFonts w:hAnsi="宋体"/>
                <w:b/>
                <w:sz w:val="24"/>
              </w:rPr>
            </w:pPr>
            <w:r>
              <w:rPr>
                <w:rFonts w:hint="eastAsia"/>
                <w:b/>
                <w:sz w:val="24"/>
              </w:rPr>
              <w:t>3、噪声</w:t>
            </w:r>
          </w:p>
          <w:p>
            <w:pPr>
              <w:spacing w:line="360" w:lineRule="auto"/>
              <w:ind w:firstLine="480" w:firstLineChars="200"/>
              <w:rPr>
                <w:rFonts w:hint="eastAsia" w:hAnsi="宋体"/>
                <w:sz w:val="24"/>
              </w:rPr>
            </w:pPr>
            <w:r>
              <w:rPr>
                <w:rFonts w:hAnsi="宋体"/>
                <w:sz w:val="24"/>
              </w:rPr>
              <w:t>该建设项目为</w:t>
            </w:r>
            <w:r>
              <w:rPr>
                <w:rFonts w:hint="eastAsia" w:hAnsi="宋体"/>
                <w:sz w:val="24"/>
              </w:rPr>
              <w:t>农产品交易市场</w:t>
            </w:r>
            <w:r>
              <w:rPr>
                <w:rFonts w:hAnsi="宋体"/>
                <w:sz w:val="24"/>
              </w:rPr>
              <w:t>，项目内无大的噪声源，产生的噪声主要是进出车辆交通噪声</w:t>
            </w:r>
            <w:r>
              <w:rPr>
                <w:rFonts w:hint="eastAsia" w:hAnsi="宋体"/>
                <w:sz w:val="24"/>
              </w:rPr>
              <w:t>、备用发电机噪声、</w:t>
            </w:r>
            <w:r>
              <w:rPr>
                <w:rFonts w:hAnsi="宋体"/>
                <w:sz w:val="24"/>
              </w:rPr>
              <w:t>垃圾</w:t>
            </w:r>
            <w:r>
              <w:rPr>
                <w:rFonts w:hint="eastAsia" w:hAnsi="宋体"/>
                <w:sz w:val="24"/>
              </w:rPr>
              <w:t>清运</w:t>
            </w:r>
            <w:r>
              <w:rPr>
                <w:rFonts w:hAnsi="宋体"/>
                <w:sz w:val="24"/>
              </w:rPr>
              <w:t>噪声</w:t>
            </w:r>
            <w:r>
              <w:rPr>
                <w:rFonts w:hint="eastAsia" w:hAnsi="宋体"/>
                <w:sz w:val="24"/>
              </w:rPr>
              <w:t>、</w:t>
            </w:r>
            <w:r>
              <w:rPr>
                <w:rFonts w:hAnsi="宋体"/>
                <w:sz w:val="24"/>
              </w:rPr>
              <w:t>商铺及</w:t>
            </w:r>
            <w:r>
              <w:rPr>
                <w:rFonts w:hint="eastAsia" w:hAnsi="宋体"/>
                <w:sz w:val="24"/>
              </w:rPr>
              <w:t>摊位</w:t>
            </w:r>
            <w:r>
              <w:rPr>
                <w:rFonts w:hAnsi="宋体"/>
                <w:sz w:val="24"/>
              </w:rPr>
              <w:t>人群活动时产生的噪声等。</w:t>
            </w:r>
          </w:p>
          <w:p>
            <w:pPr>
              <w:spacing w:line="360" w:lineRule="auto"/>
              <w:ind w:firstLine="480" w:firstLineChars="200"/>
              <w:rPr>
                <w:rFonts w:hint="eastAsia" w:hAnsi="宋体"/>
                <w:sz w:val="24"/>
              </w:rPr>
            </w:pPr>
            <w:r>
              <w:rPr>
                <w:rFonts w:hint="eastAsia" w:hAnsi="宋体"/>
                <w:sz w:val="24"/>
              </w:rPr>
              <w:t>商业区每日会有一定的客流量、车流量，最可能影响周围环境的是商铺经营交易和装卸货物时的嘈杂声，人群活动也会产生噪声，根据类比调查，这类噪声声级一般在65~75dB（A），且只在项目内部，对周围环境的影响不明显。各种设备的噪声产生情况及处理措施见表5-6 。</w:t>
            </w:r>
          </w:p>
          <w:p>
            <w:pPr>
              <w:spacing w:before="156" w:beforeLines="50" w:line="360" w:lineRule="auto"/>
              <w:jc w:val="center"/>
              <w:rPr>
                <w:b/>
                <w:sz w:val="24"/>
              </w:rPr>
            </w:pPr>
          </w:p>
          <w:p>
            <w:pPr>
              <w:spacing w:before="156" w:beforeLines="50" w:line="360" w:lineRule="auto"/>
              <w:jc w:val="center"/>
              <w:rPr>
                <w:b/>
                <w:sz w:val="24"/>
              </w:rPr>
            </w:pPr>
          </w:p>
          <w:p>
            <w:pPr>
              <w:spacing w:before="156" w:beforeLines="50" w:line="360" w:lineRule="auto"/>
              <w:jc w:val="center"/>
              <w:rPr>
                <w:b/>
                <w:sz w:val="24"/>
              </w:rPr>
            </w:pPr>
          </w:p>
          <w:p>
            <w:pPr>
              <w:spacing w:before="156" w:beforeLines="50" w:line="360" w:lineRule="auto"/>
              <w:jc w:val="center"/>
              <w:rPr>
                <w:b/>
                <w:sz w:val="24"/>
              </w:rPr>
            </w:pPr>
            <w:r>
              <w:rPr>
                <w:rFonts w:hint="eastAsia"/>
                <w:b/>
                <w:sz w:val="24"/>
              </w:rPr>
              <w:t>表5-</w:t>
            </w:r>
            <w:r>
              <w:rPr>
                <w:b/>
                <w:sz w:val="24"/>
              </w:rPr>
              <w:t>7</w:t>
            </w:r>
            <w:r>
              <w:rPr>
                <w:rFonts w:hint="eastAsia"/>
                <w:b/>
                <w:sz w:val="24"/>
              </w:rPr>
              <w:t xml:space="preserve"> 噪声产生情况及处理措施</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33"/>
              <w:gridCol w:w="975"/>
              <w:gridCol w:w="1404"/>
              <w:gridCol w:w="2876"/>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5" w:type="dxa"/>
                  <w:noWrap w:val="0"/>
                  <w:vAlign w:val="center"/>
                </w:tcPr>
                <w:p>
                  <w:pPr>
                    <w:jc w:val="center"/>
                    <w:rPr>
                      <w:szCs w:val="21"/>
                    </w:rPr>
                  </w:pPr>
                  <w:r>
                    <w:rPr>
                      <w:rFonts w:hint="eastAsia"/>
                      <w:szCs w:val="21"/>
                    </w:rPr>
                    <w:t>编号</w:t>
                  </w:r>
                </w:p>
              </w:tc>
              <w:tc>
                <w:tcPr>
                  <w:tcW w:w="1133" w:type="dxa"/>
                  <w:noWrap w:val="0"/>
                  <w:vAlign w:val="center"/>
                </w:tcPr>
                <w:p>
                  <w:pPr>
                    <w:jc w:val="center"/>
                    <w:rPr>
                      <w:szCs w:val="21"/>
                    </w:rPr>
                  </w:pPr>
                  <w:r>
                    <w:rPr>
                      <w:rFonts w:hint="eastAsia"/>
                      <w:szCs w:val="21"/>
                    </w:rPr>
                    <w:t>产噪源</w:t>
                  </w:r>
                </w:p>
              </w:tc>
              <w:tc>
                <w:tcPr>
                  <w:tcW w:w="975" w:type="dxa"/>
                  <w:noWrap w:val="0"/>
                  <w:vAlign w:val="center"/>
                </w:tcPr>
                <w:p>
                  <w:pPr>
                    <w:jc w:val="center"/>
                    <w:rPr>
                      <w:szCs w:val="21"/>
                    </w:rPr>
                  </w:pPr>
                  <w:r>
                    <w:rPr>
                      <w:rFonts w:hint="eastAsia"/>
                      <w:szCs w:val="21"/>
                    </w:rPr>
                    <w:t>源强[dB(A)]</w:t>
                  </w:r>
                </w:p>
              </w:tc>
              <w:tc>
                <w:tcPr>
                  <w:tcW w:w="1404" w:type="dxa"/>
                  <w:noWrap w:val="0"/>
                  <w:vAlign w:val="center"/>
                </w:tcPr>
                <w:p>
                  <w:pPr>
                    <w:jc w:val="center"/>
                    <w:rPr>
                      <w:szCs w:val="21"/>
                    </w:rPr>
                  </w:pPr>
                  <w:r>
                    <w:rPr>
                      <w:rFonts w:hint="eastAsia"/>
                      <w:szCs w:val="21"/>
                    </w:rPr>
                    <w:t>产生位置</w:t>
                  </w:r>
                </w:p>
              </w:tc>
              <w:tc>
                <w:tcPr>
                  <w:tcW w:w="2876" w:type="dxa"/>
                  <w:noWrap w:val="0"/>
                  <w:vAlign w:val="center"/>
                </w:tcPr>
                <w:p>
                  <w:pPr>
                    <w:jc w:val="center"/>
                    <w:rPr>
                      <w:szCs w:val="21"/>
                    </w:rPr>
                  </w:pPr>
                  <w:r>
                    <w:rPr>
                      <w:rFonts w:hint="eastAsia"/>
                      <w:szCs w:val="21"/>
                    </w:rPr>
                    <w:t>处理措施</w:t>
                  </w:r>
                </w:p>
              </w:tc>
              <w:tc>
                <w:tcPr>
                  <w:tcW w:w="1461" w:type="dxa"/>
                  <w:noWrap w:val="0"/>
                  <w:vAlign w:val="center"/>
                </w:tcPr>
                <w:p>
                  <w:pPr>
                    <w:jc w:val="center"/>
                    <w:rPr>
                      <w:szCs w:val="21"/>
                    </w:rPr>
                  </w:pPr>
                  <w:r>
                    <w:rPr>
                      <w:rFonts w:hint="eastAsia"/>
                      <w:szCs w:val="21"/>
                    </w:rPr>
                    <w:t>处理后噪声级[dB(A)]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5" w:type="dxa"/>
                  <w:noWrap w:val="0"/>
                  <w:vAlign w:val="center"/>
                </w:tcPr>
                <w:p>
                  <w:pPr>
                    <w:jc w:val="center"/>
                    <w:rPr>
                      <w:szCs w:val="21"/>
                    </w:rPr>
                  </w:pPr>
                  <w:r>
                    <w:rPr>
                      <w:rFonts w:hint="eastAsia"/>
                      <w:szCs w:val="21"/>
                    </w:rPr>
                    <w:t>1</w:t>
                  </w:r>
                </w:p>
              </w:tc>
              <w:tc>
                <w:tcPr>
                  <w:tcW w:w="1133" w:type="dxa"/>
                  <w:noWrap w:val="0"/>
                  <w:vAlign w:val="center"/>
                </w:tcPr>
                <w:p>
                  <w:pPr>
                    <w:jc w:val="center"/>
                    <w:rPr>
                      <w:szCs w:val="21"/>
                    </w:rPr>
                  </w:pPr>
                  <w:r>
                    <w:rPr>
                      <w:rFonts w:hint="eastAsia"/>
                      <w:szCs w:val="21"/>
                    </w:rPr>
                    <w:t>车辆噪声</w:t>
                  </w:r>
                </w:p>
              </w:tc>
              <w:tc>
                <w:tcPr>
                  <w:tcW w:w="975" w:type="dxa"/>
                  <w:noWrap w:val="0"/>
                  <w:vAlign w:val="center"/>
                </w:tcPr>
                <w:p>
                  <w:pPr>
                    <w:jc w:val="center"/>
                    <w:rPr>
                      <w:szCs w:val="21"/>
                    </w:rPr>
                  </w:pPr>
                  <w:r>
                    <w:rPr>
                      <w:rFonts w:hint="eastAsia"/>
                      <w:szCs w:val="21"/>
                    </w:rPr>
                    <w:t>≤70</w:t>
                  </w:r>
                </w:p>
              </w:tc>
              <w:tc>
                <w:tcPr>
                  <w:tcW w:w="1404" w:type="dxa"/>
                  <w:noWrap w:val="0"/>
                  <w:vAlign w:val="center"/>
                </w:tcPr>
                <w:p>
                  <w:pPr>
                    <w:jc w:val="center"/>
                    <w:rPr>
                      <w:szCs w:val="21"/>
                    </w:rPr>
                  </w:pPr>
                  <w:r>
                    <w:rPr>
                      <w:rFonts w:hint="eastAsia"/>
                      <w:szCs w:val="21"/>
                    </w:rPr>
                    <w:t>停车场</w:t>
                  </w:r>
                </w:p>
              </w:tc>
              <w:tc>
                <w:tcPr>
                  <w:tcW w:w="2876" w:type="dxa"/>
                  <w:noWrap w:val="0"/>
                  <w:vAlign w:val="top"/>
                </w:tcPr>
                <w:p>
                  <w:pPr>
                    <w:rPr>
                      <w:szCs w:val="21"/>
                    </w:rPr>
                  </w:pPr>
                  <w:r>
                    <w:rPr>
                      <w:rFonts w:hint="eastAsia"/>
                      <w:szCs w:val="21"/>
                    </w:rPr>
                    <w:t>采取禁鸣喇叭、控制进入车辆数量、控制行车路线。</w:t>
                  </w:r>
                </w:p>
              </w:tc>
              <w:tc>
                <w:tcPr>
                  <w:tcW w:w="1461" w:type="dxa"/>
                  <w:noWrap w:val="0"/>
                  <w:vAlign w:val="center"/>
                </w:tcPr>
                <w:p>
                  <w:pPr>
                    <w:jc w:val="center"/>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5" w:type="dxa"/>
                  <w:noWrap w:val="0"/>
                  <w:vAlign w:val="center"/>
                </w:tcPr>
                <w:p>
                  <w:pPr>
                    <w:jc w:val="center"/>
                    <w:rPr>
                      <w:szCs w:val="21"/>
                    </w:rPr>
                  </w:pPr>
                  <w:r>
                    <w:rPr>
                      <w:rFonts w:hint="eastAsia"/>
                      <w:szCs w:val="21"/>
                    </w:rPr>
                    <w:t>2</w:t>
                  </w:r>
                </w:p>
              </w:tc>
              <w:tc>
                <w:tcPr>
                  <w:tcW w:w="1133" w:type="dxa"/>
                  <w:noWrap w:val="0"/>
                  <w:vAlign w:val="center"/>
                </w:tcPr>
                <w:p>
                  <w:pPr>
                    <w:jc w:val="center"/>
                    <w:rPr>
                      <w:szCs w:val="21"/>
                    </w:rPr>
                  </w:pPr>
                  <w:r>
                    <w:rPr>
                      <w:rFonts w:hint="eastAsia"/>
                      <w:szCs w:val="21"/>
                    </w:rPr>
                    <w:t>商业噪声</w:t>
                  </w:r>
                </w:p>
              </w:tc>
              <w:tc>
                <w:tcPr>
                  <w:tcW w:w="975" w:type="dxa"/>
                  <w:noWrap w:val="0"/>
                  <w:vAlign w:val="center"/>
                </w:tcPr>
                <w:p>
                  <w:pPr>
                    <w:jc w:val="center"/>
                    <w:rPr>
                      <w:szCs w:val="21"/>
                    </w:rPr>
                  </w:pPr>
                  <w:r>
                    <w:rPr>
                      <w:rFonts w:hint="eastAsia"/>
                      <w:szCs w:val="21"/>
                    </w:rPr>
                    <w:t>≤80</w:t>
                  </w:r>
                </w:p>
              </w:tc>
              <w:tc>
                <w:tcPr>
                  <w:tcW w:w="1404" w:type="dxa"/>
                  <w:noWrap w:val="0"/>
                  <w:vAlign w:val="center"/>
                </w:tcPr>
                <w:p>
                  <w:pPr>
                    <w:jc w:val="center"/>
                    <w:rPr>
                      <w:szCs w:val="21"/>
                    </w:rPr>
                  </w:pPr>
                  <w:r>
                    <w:rPr>
                      <w:rFonts w:hint="eastAsia"/>
                      <w:szCs w:val="21"/>
                    </w:rPr>
                    <w:t>商场、摊位</w:t>
                  </w:r>
                </w:p>
              </w:tc>
              <w:tc>
                <w:tcPr>
                  <w:tcW w:w="2876" w:type="dxa"/>
                  <w:noWrap w:val="0"/>
                  <w:vAlign w:val="top"/>
                </w:tcPr>
                <w:p>
                  <w:pPr>
                    <w:rPr>
                      <w:szCs w:val="21"/>
                    </w:rPr>
                  </w:pPr>
                  <w:r>
                    <w:rPr>
                      <w:rFonts w:hint="eastAsia"/>
                      <w:szCs w:val="21"/>
                    </w:rPr>
                    <w:t>禁止喧哗、吵闹，控制夜间营业。</w:t>
                  </w:r>
                </w:p>
              </w:tc>
              <w:tc>
                <w:tcPr>
                  <w:tcW w:w="1461" w:type="dxa"/>
                  <w:noWrap w:val="0"/>
                  <w:vAlign w:val="center"/>
                </w:tcPr>
                <w:p>
                  <w:pPr>
                    <w:jc w:val="center"/>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5" w:type="dxa"/>
                  <w:noWrap w:val="0"/>
                  <w:vAlign w:val="center"/>
                </w:tcPr>
                <w:p>
                  <w:pPr>
                    <w:jc w:val="center"/>
                    <w:rPr>
                      <w:szCs w:val="21"/>
                    </w:rPr>
                  </w:pPr>
                  <w:r>
                    <w:rPr>
                      <w:rFonts w:hint="eastAsia"/>
                      <w:szCs w:val="21"/>
                    </w:rPr>
                    <w:t>3</w:t>
                  </w:r>
                </w:p>
              </w:tc>
              <w:tc>
                <w:tcPr>
                  <w:tcW w:w="1133" w:type="dxa"/>
                  <w:noWrap w:val="0"/>
                  <w:vAlign w:val="center"/>
                </w:tcPr>
                <w:p>
                  <w:pPr>
                    <w:jc w:val="center"/>
                    <w:rPr>
                      <w:szCs w:val="21"/>
                    </w:rPr>
                  </w:pPr>
                  <w:r>
                    <w:rPr>
                      <w:rFonts w:hint="eastAsia"/>
                      <w:szCs w:val="21"/>
                    </w:rPr>
                    <w:t>发电机</w:t>
                  </w:r>
                </w:p>
              </w:tc>
              <w:tc>
                <w:tcPr>
                  <w:tcW w:w="975" w:type="dxa"/>
                  <w:noWrap w:val="0"/>
                  <w:vAlign w:val="center"/>
                </w:tcPr>
                <w:p>
                  <w:pPr>
                    <w:jc w:val="center"/>
                    <w:rPr>
                      <w:szCs w:val="21"/>
                    </w:rPr>
                  </w:pPr>
                  <w:r>
                    <w:rPr>
                      <w:rFonts w:hint="eastAsia"/>
                      <w:szCs w:val="21"/>
                    </w:rPr>
                    <w:t>≤80</w:t>
                  </w:r>
                </w:p>
              </w:tc>
              <w:tc>
                <w:tcPr>
                  <w:tcW w:w="1404" w:type="dxa"/>
                  <w:noWrap w:val="0"/>
                  <w:vAlign w:val="center"/>
                </w:tcPr>
                <w:p>
                  <w:pPr>
                    <w:jc w:val="center"/>
                    <w:rPr>
                      <w:szCs w:val="21"/>
                    </w:rPr>
                  </w:pPr>
                  <w:r>
                    <w:rPr>
                      <w:rFonts w:hint="eastAsia"/>
                      <w:szCs w:val="21"/>
                    </w:rPr>
                    <w:t>发电机房</w:t>
                  </w:r>
                </w:p>
              </w:tc>
              <w:tc>
                <w:tcPr>
                  <w:tcW w:w="2876" w:type="dxa"/>
                  <w:noWrap w:val="0"/>
                  <w:vAlign w:val="top"/>
                </w:tcPr>
                <w:p>
                  <w:pPr>
                    <w:rPr>
                      <w:szCs w:val="21"/>
                    </w:rPr>
                  </w:pPr>
                  <w:r>
                    <w:rPr>
                      <w:rFonts w:hint="eastAsia"/>
                      <w:szCs w:val="21"/>
                    </w:rPr>
                    <w:t>将发电机安装于密闭室内。</w:t>
                  </w:r>
                </w:p>
              </w:tc>
              <w:tc>
                <w:tcPr>
                  <w:tcW w:w="1461" w:type="dxa"/>
                  <w:noWrap w:val="0"/>
                  <w:vAlign w:val="center"/>
                </w:tcPr>
                <w:p>
                  <w:pPr>
                    <w:jc w:val="center"/>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5" w:type="dxa"/>
                  <w:noWrap w:val="0"/>
                  <w:vAlign w:val="center"/>
                </w:tcPr>
                <w:p>
                  <w:pPr>
                    <w:jc w:val="center"/>
                    <w:rPr>
                      <w:rFonts w:hint="eastAsia"/>
                      <w:szCs w:val="21"/>
                    </w:rPr>
                  </w:pPr>
                  <w:r>
                    <w:rPr>
                      <w:rFonts w:hint="eastAsia"/>
                      <w:szCs w:val="21"/>
                    </w:rPr>
                    <w:t>4</w:t>
                  </w:r>
                </w:p>
              </w:tc>
              <w:tc>
                <w:tcPr>
                  <w:tcW w:w="1133" w:type="dxa"/>
                  <w:noWrap w:val="0"/>
                  <w:vAlign w:val="center"/>
                </w:tcPr>
                <w:p>
                  <w:pPr>
                    <w:jc w:val="center"/>
                    <w:rPr>
                      <w:rFonts w:hint="eastAsia"/>
                      <w:szCs w:val="21"/>
                    </w:rPr>
                  </w:pPr>
                  <w:r>
                    <w:rPr>
                      <w:rFonts w:hint="eastAsia"/>
                      <w:szCs w:val="21"/>
                    </w:rPr>
                    <w:t>垃圾清运</w:t>
                  </w:r>
                </w:p>
              </w:tc>
              <w:tc>
                <w:tcPr>
                  <w:tcW w:w="975" w:type="dxa"/>
                  <w:noWrap w:val="0"/>
                  <w:vAlign w:val="center"/>
                </w:tcPr>
                <w:p>
                  <w:pPr>
                    <w:jc w:val="center"/>
                    <w:rPr>
                      <w:rFonts w:hint="eastAsia"/>
                      <w:szCs w:val="21"/>
                    </w:rPr>
                  </w:pPr>
                  <w:r>
                    <w:rPr>
                      <w:rFonts w:hint="eastAsia"/>
                      <w:szCs w:val="21"/>
                    </w:rPr>
                    <w:t>≤70</w:t>
                  </w:r>
                </w:p>
              </w:tc>
              <w:tc>
                <w:tcPr>
                  <w:tcW w:w="1404" w:type="dxa"/>
                  <w:noWrap w:val="0"/>
                  <w:vAlign w:val="center"/>
                </w:tcPr>
                <w:p>
                  <w:pPr>
                    <w:jc w:val="center"/>
                    <w:rPr>
                      <w:rFonts w:hint="eastAsia"/>
                      <w:szCs w:val="21"/>
                    </w:rPr>
                  </w:pPr>
                  <w:r>
                    <w:rPr>
                      <w:rFonts w:hint="eastAsia"/>
                      <w:szCs w:val="21"/>
                    </w:rPr>
                    <w:t>垃</w:t>
                  </w:r>
                  <w:r>
                    <w:rPr>
                      <w:rFonts w:hint="eastAsia"/>
                      <w:szCs w:val="21"/>
                    </w:rPr>
                    <w:cr/>
                  </w:r>
                  <w:r>
                    <w:rPr>
                      <w:rFonts w:hint="eastAsia"/>
                      <w:szCs w:val="21"/>
                    </w:rPr>
                    <w:t>房</w:t>
                  </w:r>
                </w:p>
              </w:tc>
              <w:tc>
                <w:tcPr>
                  <w:tcW w:w="2876" w:type="dxa"/>
                  <w:noWrap w:val="0"/>
                  <w:vAlign w:val="top"/>
                </w:tcPr>
                <w:p>
                  <w:pPr>
                    <w:rPr>
                      <w:rFonts w:hint="eastAsia"/>
                      <w:szCs w:val="21"/>
                    </w:rPr>
                  </w:pPr>
                  <w:r>
                    <w:rPr>
                      <w:szCs w:val="21"/>
                    </w:rPr>
                    <w:t>加强</w:t>
                  </w:r>
                  <w:r>
                    <w:rPr>
                      <w:rFonts w:hint="eastAsia"/>
                      <w:szCs w:val="21"/>
                    </w:rPr>
                    <w:t>垃圾收集箱</w:t>
                  </w:r>
                  <w:r>
                    <w:rPr>
                      <w:szCs w:val="21"/>
                    </w:rPr>
                    <w:t>周边绿化</w:t>
                  </w:r>
                  <w:r>
                    <w:rPr>
                      <w:rFonts w:hint="eastAsia"/>
                      <w:szCs w:val="21"/>
                    </w:rPr>
                    <w:t>。</w:t>
                  </w:r>
                </w:p>
              </w:tc>
              <w:tc>
                <w:tcPr>
                  <w:tcW w:w="1461" w:type="dxa"/>
                  <w:noWrap w:val="0"/>
                  <w:vAlign w:val="center"/>
                </w:tcPr>
                <w:p>
                  <w:pPr>
                    <w:jc w:val="center"/>
                    <w:rPr>
                      <w:rFonts w:hint="eastAsia"/>
                      <w:szCs w:val="21"/>
                    </w:rPr>
                  </w:pPr>
                  <w:r>
                    <w:rPr>
                      <w:rFonts w:hint="eastAsia"/>
                      <w:szCs w:val="21"/>
                    </w:rPr>
                    <w:t>≤60</w:t>
                  </w:r>
                </w:p>
              </w:tc>
            </w:tr>
          </w:tbl>
          <w:p>
            <w:pPr>
              <w:spacing w:before="156" w:beforeLines="50" w:line="360" w:lineRule="auto"/>
              <w:ind w:firstLine="482" w:firstLineChars="200"/>
              <w:rPr>
                <w:b/>
                <w:sz w:val="24"/>
              </w:rPr>
            </w:pPr>
            <w:r>
              <w:rPr>
                <w:rFonts w:hint="eastAsia"/>
                <w:b/>
                <w:sz w:val="24"/>
              </w:rPr>
              <w:t>4、固体废弃物</w:t>
            </w:r>
          </w:p>
          <w:p>
            <w:pPr>
              <w:spacing w:line="360" w:lineRule="auto"/>
              <w:ind w:firstLine="480" w:firstLineChars="200"/>
              <w:rPr>
                <w:sz w:val="24"/>
              </w:rPr>
            </w:pPr>
            <w:r>
              <w:rPr>
                <w:sz w:val="24"/>
              </w:rPr>
              <w:t>本项目产生的固体废弃物主要是生活垃圾，</w:t>
            </w:r>
            <w:r>
              <w:rPr>
                <w:rFonts w:hint="eastAsia"/>
                <w:sz w:val="24"/>
              </w:rPr>
              <w:t>摊位垃圾</w:t>
            </w:r>
            <w:r>
              <w:rPr>
                <w:sz w:val="24"/>
              </w:rPr>
              <w:t>、商铺垃圾和</w:t>
            </w:r>
            <w:r>
              <w:rPr>
                <w:rFonts w:hint="eastAsia"/>
                <w:sz w:val="24"/>
              </w:rPr>
              <w:t>化粪池</w:t>
            </w:r>
            <w:r>
              <w:rPr>
                <w:sz w:val="24"/>
              </w:rPr>
              <w:t>污泥等。</w:t>
            </w:r>
          </w:p>
          <w:p>
            <w:pPr>
              <w:spacing w:line="360" w:lineRule="auto"/>
              <w:ind w:firstLine="480" w:firstLineChars="200"/>
              <w:rPr>
                <w:sz w:val="24"/>
              </w:rPr>
            </w:pPr>
            <w:r>
              <w:rPr>
                <w:sz w:val="24"/>
              </w:rPr>
              <w:t>（1）</w:t>
            </w:r>
            <w:r>
              <w:rPr>
                <w:rFonts w:hint="eastAsia"/>
                <w:sz w:val="24"/>
              </w:rPr>
              <w:t>住宅</w:t>
            </w:r>
            <w:r>
              <w:rPr>
                <w:sz w:val="24"/>
              </w:rPr>
              <w:t>生活垃圾</w:t>
            </w:r>
          </w:p>
          <w:p>
            <w:pPr>
              <w:spacing w:line="360" w:lineRule="auto"/>
              <w:ind w:firstLine="480" w:firstLineChars="200"/>
              <w:rPr>
                <w:rFonts w:eastAsia="新宋体"/>
                <w:sz w:val="24"/>
              </w:rPr>
            </w:pPr>
            <w:r>
              <w:rPr>
                <w:rFonts w:eastAsia="新宋体"/>
                <w:bCs/>
                <w:sz w:val="24"/>
              </w:rPr>
              <w:t>项目建成</w:t>
            </w:r>
            <w:r>
              <w:rPr>
                <w:rFonts w:hint="eastAsia" w:eastAsia="新宋体"/>
                <w:bCs/>
                <w:sz w:val="24"/>
              </w:rPr>
              <w:t>住宅</w:t>
            </w:r>
            <w:r>
              <w:rPr>
                <w:rFonts w:eastAsia="新宋体"/>
                <w:bCs/>
                <w:sz w:val="24"/>
              </w:rPr>
              <w:t>住户有</w:t>
            </w:r>
            <w:r>
              <w:rPr>
                <w:rFonts w:hint="eastAsia" w:eastAsia="新宋体"/>
                <w:bCs/>
                <w:sz w:val="24"/>
              </w:rPr>
              <w:t>90户</w:t>
            </w:r>
            <w:r>
              <w:rPr>
                <w:rFonts w:eastAsia="新宋体"/>
                <w:bCs/>
                <w:sz w:val="24"/>
              </w:rPr>
              <w:t>，</w:t>
            </w:r>
            <w:r>
              <w:rPr>
                <w:rFonts w:hint="eastAsia" w:eastAsia="新宋体"/>
                <w:bCs/>
                <w:sz w:val="24"/>
              </w:rPr>
              <w:t>397人</w:t>
            </w:r>
            <w:r>
              <w:rPr>
                <w:rFonts w:eastAsia="新宋体"/>
                <w:bCs/>
                <w:sz w:val="24"/>
              </w:rPr>
              <w:t>，</w:t>
            </w:r>
            <w:r>
              <w:rPr>
                <w:sz w:val="24"/>
              </w:rPr>
              <w:t>生活垃圾产生量按1.0kg/d.人计，则为397kg/d，144.9</w:t>
            </w:r>
            <w:r>
              <w:rPr>
                <w:rFonts w:eastAsia="新宋体"/>
                <w:sz w:val="24"/>
              </w:rPr>
              <w:t>t/a。生活垃圾主要成分为灰尘、废纸、塑料等。</w:t>
            </w:r>
          </w:p>
          <w:p>
            <w:pPr>
              <w:spacing w:line="360" w:lineRule="auto"/>
              <w:ind w:firstLine="480" w:firstLineChars="200"/>
              <w:rPr>
                <w:sz w:val="24"/>
              </w:rPr>
            </w:pPr>
            <w:r>
              <w:rPr>
                <w:sz w:val="24"/>
              </w:rPr>
              <w:t>项目区内生活垃圾分类收集、袋装后，通过项目内自建的垃圾</w:t>
            </w:r>
            <w:r>
              <w:rPr>
                <w:rFonts w:hint="eastAsia"/>
                <w:sz w:val="24"/>
              </w:rPr>
              <w:t>收集箱</w:t>
            </w:r>
            <w:r>
              <w:rPr>
                <w:sz w:val="24"/>
              </w:rPr>
              <w:t>收集后委托环卫部门处置，处置率100%。</w:t>
            </w:r>
          </w:p>
          <w:p>
            <w:pPr>
              <w:spacing w:line="360" w:lineRule="auto"/>
              <w:ind w:firstLine="480" w:firstLineChars="200"/>
              <w:rPr>
                <w:sz w:val="24"/>
              </w:rPr>
            </w:pPr>
            <w:r>
              <w:rPr>
                <w:sz w:val="24"/>
              </w:rPr>
              <w:t>（2）商铺商业垃圾</w:t>
            </w:r>
          </w:p>
          <w:p>
            <w:pPr>
              <w:spacing w:line="360" w:lineRule="auto"/>
              <w:ind w:firstLine="480" w:firstLineChars="200"/>
              <w:rPr>
                <w:sz w:val="24"/>
              </w:rPr>
            </w:pPr>
            <w:r>
              <w:rPr>
                <w:rFonts w:eastAsia="新宋体"/>
                <w:sz w:val="24"/>
              </w:rPr>
              <w:t>商铺商业垃圾产生量按0.1kg/（m</w:t>
            </w:r>
            <w:r>
              <w:rPr>
                <w:rFonts w:eastAsia="新宋体"/>
                <w:sz w:val="24"/>
                <w:vertAlign w:val="superscript"/>
              </w:rPr>
              <w:t>2</w:t>
            </w:r>
            <w:r>
              <w:rPr>
                <w:rFonts w:eastAsia="新宋体"/>
                <w:sz w:val="24"/>
              </w:rPr>
              <w:t>·d）计算，商铺建筑面积为</w:t>
            </w:r>
            <w:r>
              <w:rPr>
                <w:rFonts w:eastAsia="新宋体"/>
                <w:bCs/>
                <w:sz w:val="24"/>
              </w:rPr>
              <w:t>约35576.45</w:t>
            </w:r>
            <w:r>
              <w:rPr>
                <w:rFonts w:eastAsia="新宋体"/>
                <w:sz w:val="24"/>
              </w:rPr>
              <w:t>m</w:t>
            </w:r>
            <w:r>
              <w:rPr>
                <w:rFonts w:eastAsia="新宋体"/>
                <w:sz w:val="24"/>
                <w:vertAlign w:val="superscript"/>
              </w:rPr>
              <w:t>2</w:t>
            </w:r>
            <w:r>
              <w:rPr>
                <w:rFonts w:eastAsia="新宋体"/>
                <w:sz w:val="24"/>
              </w:rPr>
              <w:t>，商业垃圾产生量约3557.65kg/d，1298.54t/a。商业垃圾主要成分为废包装材料等。</w:t>
            </w:r>
            <w:r>
              <w:rPr>
                <w:sz w:val="24"/>
              </w:rPr>
              <w:t>商业垃圾回收有用部分后，余下的送垃圾收集</w:t>
            </w:r>
            <w:r>
              <w:rPr>
                <w:rFonts w:hint="eastAsia"/>
                <w:sz w:val="24"/>
              </w:rPr>
              <w:t>箱</w:t>
            </w:r>
            <w:r>
              <w:rPr>
                <w:sz w:val="24"/>
              </w:rPr>
              <w:t>，处置率100%。</w:t>
            </w:r>
          </w:p>
          <w:p>
            <w:pPr>
              <w:spacing w:line="360" w:lineRule="auto"/>
              <w:ind w:firstLine="480" w:firstLineChars="200"/>
              <w:rPr>
                <w:rFonts w:hint="eastAsia"/>
                <w:sz w:val="24"/>
              </w:rPr>
            </w:pPr>
            <w:r>
              <w:rPr>
                <w:sz w:val="24"/>
              </w:rPr>
              <w:t>（3）</w:t>
            </w:r>
            <w:r>
              <w:rPr>
                <w:rFonts w:hint="eastAsia"/>
                <w:sz w:val="24"/>
              </w:rPr>
              <w:t>格栅废渣、</w:t>
            </w:r>
            <w:r>
              <w:rPr>
                <w:sz w:val="24"/>
              </w:rPr>
              <w:t>化粪池、污泥</w:t>
            </w:r>
          </w:p>
          <w:p>
            <w:pPr>
              <w:adjustRightInd w:val="0"/>
              <w:spacing w:line="360" w:lineRule="auto"/>
              <w:ind w:firstLine="480" w:firstLineChars="200"/>
              <w:rPr>
                <w:rFonts w:hAnsi="宋体"/>
                <w:sz w:val="24"/>
              </w:rPr>
            </w:pPr>
            <w:r>
              <w:rPr>
                <w:rFonts w:hint="eastAsia"/>
                <w:sz w:val="24"/>
              </w:rPr>
              <w:t>格栅中的废渣主要来源于渔类、禽类宰杀废水中的悬浮物。根据类比同类项目，格栅中隔渣产生量约</w:t>
            </w:r>
            <w:r>
              <w:rPr>
                <w:sz w:val="24"/>
              </w:rPr>
              <w:t>25</w:t>
            </w:r>
            <w:r>
              <w:rPr>
                <w:rFonts w:hint="eastAsia"/>
                <w:sz w:val="24"/>
              </w:rPr>
              <w:t>t/a。</w:t>
            </w:r>
          </w:p>
          <w:p>
            <w:pPr>
              <w:widowControl/>
              <w:spacing w:line="360" w:lineRule="auto"/>
              <w:ind w:firstLine="480" w:firstLineChars="200"/>
              <w:rPr>
                <w:rFonts w:eastAsia="新宋体"/>
                <w:sz w:val="24"/>
              </w:rPr>
            </w:pPr>
            <w:r>
              <w:rPr>
                <w:rFonts w:eastAsia="新宋体"/>
                <w:sz w:val="24"/>
              </w:rPr>
              <w:t>化粪池一般1年清掏2次，化粪池中污泥主要来源于去除的悬浮物。根据估算</w:t>
            </w:r>
            <w:r>
              <w:rPr>
                <w:rFonts w:hint="eastAsia" w:eastAsia="新宋体"/>
                <w:sz w:val="24"/>
              </w:rPr>
              <w:t>项目</w:t>
            </w:r>
            <w:r>
              <w:rPr>
                <w:rFonts w:eastAsia="新宋体"/>
                <w:sz w:val="24"/>
              </w:rPr>
              <w:t>内化粪池污泥产生量约8t/a。</w:t>
            </w:r>
          </w:p>
          <w:p>
            <w:pPr>
              <w:spacing w:line="360" w:lineRule="auto"/>
              <w:ind w:firstLine="480" w:firstLineChars="200"/>
              <w:rPr>
                <w:rFonts w:hint="eastAsia" w:eastAsia="新宋体"/>
                <w:color w:val="FF0000"/>
                <w:sz w:val="24"/>
              </w:rPr>
            </w:pPr>
            <w:r>
              <w:rPr>
                <w:rFonts w:eastAsia="新宋体"/>
                <w:sz w:val="24"/>
              </w:rPr>
              <w:t>综上所述，</w:t>
            </w:r>
            <w:r>
              <w:rPr>
                <w:rFonts w:hint="eastAsia" w:eastAsia="新宋体"/>
                <w:sz w:val="24"/>
              </w:rPr>
              <w:t>项目区</w:t>
            </w:r>
            <w:r>
              <w:rPr>
                <w:rFonts w:eastAsia="新宋体"/>
                <w:sz w:val="24"/>
              </w:rPr>
              <w:t>内生活垃圾、商业垃圾合计产生量1443.44t/a；</w:t>
            </w:r>
            <w:r>
              <w:rPr>
                <w:rFonts w:hint="eastAsia" w:eastAsia="新宋体"/>
                <w:sz w:val="24"/>
              </w:rPr>
              <w:t>隔渣</w:t>
            </w:r>
            <w:r>
              <w:rPr>
                <w:rFonts w:eastAsia="新宋体"/>
                <w:sz w:val="24"/>
              </w:rPr>
              <w:t>25</w:t>
            </w:r>
            <w:r>
              <w:rPr>
                <w:rFonts w:hint="eastAsia" w:eastAsia="新宋体"/>
                <w:sz w:val="24"/>
              </w:rPr>
              <w:t>t/a，</w:t>
            </w:r>
            <w:r>
              <w:rPr>
                <w:rFonts w:eastAsia="新宋体"/>
                <w:sz w:val="24"/>
              </w:rPr>
              <w:t>化粪池污泥8t/a；生活垃圾</w:t>
            </w:r>
            <w:r>
              <w:rPr>
                <w:rFonts w:hint="eastAsia" w:eastAsia="新宋体"/>
                <w:sz w:val="24"/>
              </w:rPr>
              <w:t>、商业垃圾</w:t>
            </w:r>
            <w:r>
              <w:rPr>
                <w:rFonts w:eastAsia="新宋体"/>
                <w:sz w:val="24"/>
              </w:rPr>
              <w:t>分散收集，统一送至垃圾</w:t>
            </w:r>
            <w:r>
              <w:rPr>
                <w:rFonts w:hint="eastAsia" w:eastAsia="新宋体"/>
                <w:sz w:val="24"/>
              </w:rPr>
              <w:t>收集箱</w:t>
            </w:r>
            <w:r>
              <w:rPr>
                <w:rFonts w:eastAsia="新宋体"/>
                <w:sz w:val="24"/>
              </w:rPr>
              <w:t>临时</w:t>
            </w:r>
            <w:r>
              <w:rPr>
                <w:rFonts w:hint="eastAsia" w:eastAsia="新宋体"/>
                <w:sz w:val="24"/>
              </w:rPr>
              <w:t>堆放，</w:t>
            </w:r>
            <w:r>
              <w:rPr>
                <w:rFonts w:eastAsia="新宋体"/>
                <w:sz w:val="24"/>
              </w:rPr>
              <w:t>委托</w:t>
            </w:r>
            <w:r>
              <w:rPr>
                <w:rFonts w:hint="eastAsia" w:ascii="宋体" w:cs="宋体"/>
                <w:kern w:val="0"/>
                <w:sz w:val="24"/>
              </w:rPr>
              <w:t>维西县环卫部门</w:t>
            </w:r>
            <w:r>
              <w:rPr>
                <w:rFonts w:eastAsia="新宋体"/>
                <w:sz w:val="24"/>
              </w:rPr>
              <w:t>清运处理；</w:t>
            </w:r>
            <w:r>
              <w:rPr>
                <w:rFonts w:hint="eastAsia" w:eastAsia="新宋体"/>
                <w:sz w:val="24"/>
              </w:rPr>
              <w:t>隔渣、</w:t>
            </w:r>
            <w:r>
              <w:rPr>
                <w:rFonts w:eastAsia="新宋体"/>
                <w:sz w:val="24"/>
              </w:rPr>
              <w:t>化粪池污泥</w:t>
            </w:r>
            <w:r>
              <w:rPr>
                <w:rFonts w:hint="eastAsia" w:eastAsia="新宋体"/>
                <w:sz w:val="24"/>
              </w:rPr>
              <w:t>定期清掏</w:t>
            </w:r>
            <w:r>
              <w:rPr>
                <w:rFonts w:hint="eastAsia" w:ascii="宋体" w:cs="宋体"/>
                <w:kern w:val="0"/>
                <w:sz w:val="24"/>
              </w:rPr>
              <w:t>收集后委托环卫部门处理</w:t>
            </w:r>
            <w:r>
              <w:rPr>
                <w:rFonts w:eastAsia="新宋体"/>
                <w:sz w:val="24"/>
              </w:rPr>
              <w:t>。固体废物处置率100%。</w:t>
            </w:r>
          </w:p>
        </w:tc>
      </w:tr>
    </w:tbl>
    <w:p>
      <w:pPr>
        <w:widowControl/>
        <w:spacing w:line="360" w:lineRule="auto"/>
        <w:jc w:val="left"/>
        <w:rPr>
          <w:b/>
          <w:bCs/>
          <w:color w:val="FF0000"/>
          <w:kern w:val="0"/>
          <w:sz w:val="30"/>
          <w:szCs w:val="30"/>
        </w:rPr>
      </w:pPr>
    </w:p>
    <w:p>
      <w:pPr>
        <w:pStyle w:val="3"/>
        <w:keepNext w:val="0"/>
        <w:pageBreakBefore/>
        <w:widowControl/>
        <w:autoSpaceDE w:val="0"/>
        <w:autoSpaceDN w:val="0"/>
        <w:adjustRightInd w:val="0"/>
        <w:jc w:val="left"/>
        <w:rPr>
          <w:b/>
          <w:spacing w:val="20"/>
          <w:kern w:val="0"/>
          <w:sz w:val="32"/>
          <w:szCs w:val="30"/>
        </w:rPr>
      </w:pPr>
      <w:bookmarkStart w:id="23" w:name="_Toc57972430"/>
      <w:r>
        <w:rPr>
          <w:rFonts w:hint="eastAsia" w:hAnsi="宋体"/>
          <w:b/>
          <w:spacing w:val="20"/>
          <w:kern w:val="0"/>
          <w:sz w:val="32"/>
          <w:szCs w:val="30"/>
        </w:rPr>
        <w:t xml:space="preserve">表六 </w:t>
      </w:r>
      <w:r>
        <w:rPr>
          <w:rFonts w:hAnsi="宋体"/>
          <w:b/>
          <w:spacing w:val="20"/>
          <w:kern w:val="0"/>
          <w:sz w:val="32"/>
          <w:szCs w:val="30"/>
        </w:rPr>
        <w:t>项目主要污染物产生及预计排放情况</w:t>
      </w:r>
      <w:bookmarkEnd w:id="23"/>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3"/>
        <w:gridCol w:w="446"/>
        <w:gridCol w:w="1599"/>
        <w:gridCol w:w="1419"/>
        <w:gridCol w:w="2552"/>
        <w:gridCol w:w="27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noWrap w:val="0"/>
            <w:vAlign w:val="center"/>
          </w:tcPr>
          <w:p>
            <w:pPr>
              <w:jc w:val="center"/>
              <w:rPr>
                <w:szCs w:val="21"/>
              </w:rPr>
            </w:pPr>
          </w:p>
        </w:tc>
        <w:tc>
          <w:tcPr>
            <w:tcW w:w="2045" w:type="dxa"/>
            <w:gridSpan w:val="2"/>
            <w:noWrap w:val="0"/>
            <w:vAlign w:val="center"/>
          </w:tcPr>
          <w:p>
            <w:pPr>
              <w:widowControl/>
              <w:jc w:val="center"/>
              <w:rPr>
                <w:kern w:val="0"/>
                <w:szCs w:val="21"/>
              </w:rPr>
            </w:pPr>
            <w:r>
              <w:rPr>
                <w:rFonts w:hAnsi="宋体"/>
                <w:kern w:val="0"/>
                <w:szCs w:val="21"/>
              </w:rPr>
              <w:t>排放源</w:t>
            </w:r>
          </w:p>
        </w:tc>
        <w:tc>
          <w:tcPr>
            <w:tcW w:w="1419" w:type="dxa"/>
            <w:noWrap w:val="0"/>
            <w:vAlign w:val="center"/>
          </w:tcPr>
          <w:p>
            <w:pPr>
              <w:widowControl/>
              <w:jc w:val="center"/>
              <w:rPr>
                <w:kern w:val="0"/>
                <w:szCs w:val="21"/>
              </w:rPr>
            </w:pPr>
            <w:r>
              <w:rPr>
                <w:rFonts w:hAnsi="宋体"/>
                <w:kern w:val="0"/>
                <w:szCs w:val="21"/>
              </w:rPr>
              <w:t>污染物名称</w:t>
            </w:r>
          </w:p>
        </w:tc>
        <w:tc>
          <w:tcPr>
            <w:tcW w:w="2552" w:type="dxa"/>
            <w:noWrap w:val="0"/>
            <w:vAlign w:val="center"/>
          </w:tcPr>
          <w:p>
            <w:pPr>
              <w:widowControl/>
              <w:jc w:val="center"/>
              <w:rPr>
                <w:kern w:val="0"/>
                <w:szCs w:val="21"/>
              </w:rPr>
            </w:pPr>
            <w:r>
              <w:rPr>
                <w:rFonts w:hAnsi="宋体"/>
                <w:kern w:val="0"/>
                <w:szCs w:val="21"/>
              </w:rPr>
              <w:t>处理前产生浓度及产生量</w:t>
            </w:r>
          </w:p>
        </w:tc>
        <w:tc>
          <w:tcPr>
            <w:tcW w:w="2797" w:type="dxa"/>
            <w:noWrap w:val="0"/>
            <w:vAlign w:val="center"/>
          </w:tcPr>
          <w:p>
            <w:pPr>
              <w:widowControl/>
              <w:jc w:val="center"/>
              <w:rPr>
                <w:kern w:val="0"/>
                <w:szCs w:val="21"/>
              </w:rPr>
            </w:pPr>
            <w:r>
              <w:rPr>
                <w:rFonts w:hAnsi="宋体"/>
                <w:kern w:val="0"/>
                <w:szCs w:val="21"/>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restart"/>
            <w:noWrap w:val="0"/>
            <w:vAlign w:val="center"/>
          </w:tcPr>
          <w:p>
            <w:pPr>
              <w:widowControl/>
              <w:jc w:val="center"/>
              <w:rPr>
                <w:kern w:val="0"/>
                <w:szCs w:val="21"/>
              </w:rPr>
            </w:pPr>
            <w:r>
              <w:rPr>
                <w:rFonts w:hAnsi="宋体"/>
                <w:kern w:val="0"/>
                <w:szCs w:val="21"/>
              </w:rPr>
              <w:t>大气污染物</w:t>
            </w:r>
          </w:p>
        </w:tc>
        <w:tc>
          <w:tcPr>
            <w:tcW w:w="446" w:type="dxa"/>
            <w:vMerge w:val="restart"/>
            <w:noWrap w:val="0"/>
            <w:vAlign w:val="center"/>
          </w:tcPr>
          <w:p>
            <w:pPr>
              <w:widowControl/>
              <w:jc w:val="center"/>
              <w:rPr>
                <w:kern w:val="0"/>
                <w:szCs w:val="21"/>
              </w:rPr>
            </w:pPr>
            <w:r>
              <w:rPr>
                <w:rFonts w:hAnsi="宋体"/>
                <w:kern w:val="0"/>
                <w:szCs w:val="21"/>
              </w:rPr>
              <w:t>施工期</w:t>
            </w:r>
          </w:p>
        </w:tc>
        <w:tc>
          <w:tcPr>
            <w:tcW w:w="1599" w:type="dxa"/>
            <w:noWrap w:val="0"/>
            <w:vAlign w:val="center"/>
          </w:tcPr>
          <w:p>
            <w:pPr>
              <w:jc w:val="center"/>
              <w:rPr>
                <w:kern w:val="0"/>
                <w:szCs w:val="21"/>
              </w:rPr>
            </w:pPr>
            <w:r>
              <w:rPr>
                <w:rFonts w:hAnsi="宋体"/>
                <w:kern w:val="0"/>
                <w:szCs w:val="21"/>
              </w:rPr>
              <w:t>扬尘</w:t>
            </w:r>
          </w:p>
        </w:tc>
        <w:tc>
          <w:tcPr>
            <w:tcW w:w="1419" w:type="dxa"/>
            <w:noWrap w:val="0"/>
            <w:vAlign w:val="center"/>
          </w:tcPr>
          <w:p>
            <w:pPr>
              <w:jc w:val="center"/>
              <w:rPr>
                <w:kern w:val="0"/>
                <w:szCs w:val="21"/>
                <w:vertAlign w:val="subscript"/>
              </w:rPr>
            </w:pPr>
            <w:r>
              <w:rPr>
                <w:rFonts w:hAnsi="宋体"/>
                <w:kern w:val="0"/>
                <w:szCs w:val="21"/>
              </w:rPr>
              <w:t>粉尘</w:t>
            </w:r>
          </w:p>
        </w:tc>
        <w:tc>
          <w:tcPr>
            <w:tcW w:w="2552" w:type="dxa"/>
            <w:noWrap w:val="0"/>
            <w:vAlign w:val="center"/>
          </w:tcPr>
          <w:p>
            <w:pPr>
              <w:jc w:val="center"/>
              <w:rPr>
                <w:kern w:val="0"/>
                <w:szCs w:val="21"/>
              </w:rPr>
            </w:pPr>
            <w:r>
              <w:rPr>
                <w:rFonts w:hAnsi="宋体"/>
                <w:kern w:val="0"/>
                <w:szCs w:val="21"/>
              </w:rPr>
              <w:t>少量</w:t>
            </w:r>
            <w:r>
              <w:rPr>
                <w:rFonts w:hint="eastAsia" w:hAnsi="宋体"/>
                <w:kern w:val="0"/>
                <w:szCs w:val="21"/>
              </w:rPr>
              <w:t>，</w:t>
            </w:r>
            <w:r>
              <w:rPr>
                <w:rFonts w:hAnsi="宋体"/>
                <w:kern w:val="0"/>
                <w:szCs w:val="21"/>
              </w:rPr>
              <w:t>无组织排放</w:t>
            </w:r>
          </w:p>
        </w:tc>
        <w:tc>
          <w:tcPr>
            <w:tcW w:w="2797" w:type="dxa"/>
            <w:noWrap w:val="0"/>
            <w:vAlign w:val="center"/>
          </w:tcPr>
          <w:p>
            <w:pPr>
              <w:jc w:val="center"/>
              <w:rPr>
                <w:kern w:val="0"/>
                <w:szCs w:val="21"/>
              </w:rPr>
            </w:pPr>
            <w:r>
              <w:rPr>
                <w:szCs w:val="21"/>
              </w:rPr>
              <w:t>厂界颗粒物浓度≤1.0mg/m</w:t>
            </w:r>
            <w:r>
              <w:rPr>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widowControl/>
              <w:jc w:val="center"/>
              <w:rPr>
                <w:rFonts w:hAnsi="宋体"/>
                <w:kern w:val="0"/>
                <w:szCs w:val="21"/>
              </w:rPr>
            </w:pPr>
          </w:p>
        </w:tc>
        <w:tc>
          <w:tcPr>
            <w:tcW w:w="446" w:type="dxa"/>
            <w:vMerge w:val="continue"/>
            <w:noWrap w:val="0"/>
            <w:vAlign w:val="center"/>
          </w:tcPr>
          <w:p>
            <w:pPr>
              <w:widowControl/>
              <w:jc w:val="center"/>
              <w:rPr>
                <w:rFonts w:hAnsi="宋体"/>
                <w:kern w:val="0"/>
                <w:szCs w:val="21"/>
              </w:rPr>
            </w:pPr>
          </w:p>
        </w:tc>
        <w:tc>
          <w:tcPr>
            <w:tcW w:w="1599" w:type="dxa"/>
            <w:noWrap w:val="0"/>
            <w:vAlign w:val="center"/>
          </w:tcPr>
          <w:p>
            <w:pPr>
              <w:jc w:val="center"/>
              <w:rPr>
                <w:rFonts w:hAnsi="宋体"/>
                <w:kern w:val="0"/>
                <w:szCs w:val="21"/>
              </w:rPr>
            </w:pPr>
            <w:r>
              <w:rPr>
                <w:rFonts w:hint="eastAsia" w:hAnsi="宋体"/>
                <w:kern w:val="0"/>
                <w:szCs w:val="21"/>
              </w:rPr>
              <w:t>装修废气</w:t>
            </w:r>
          </w:p>
        </w:tc>
        <w:tc>
          <w:tcPr>
            <w:tcW w:w="1419" w:type="dxa"/>
            <w:noWrap w:val="0"/>
            <w:vAlign w:val="center"/>
          </w:tcPr>
          <w:p>
            <w:pPr>
              <w:jc w:val="center"/>
              <w:rPr>
                <w:rFonts w:hAnsi="宋体"/>
                <w:kern w:val="0"/>
                <w:szCs w:val="21"/>
              </w:rPr>
            </w:pPr>
            <w:r>
              <w:rPr>
                <w:rFonts w:hint="eastAsia" w:hAnsi="宋体"/>
                <w:kern w:val="0"/>
                <w:szCs w:val="21"/>
              </w:rPr>
              <w:t>甲醛、二甲苯</w:t>
            </w:r>
          </w:p>
        </w:tc>
        <w:tc>
          <w:tcPr>
            <w:tcW w:w="2552" w:type="dxa"/>
            <w:noWrap w:val="0"/>
            <w:vAlign w:val="center"/>
          </w:tcPr>
          <w:p>
            <w:pPr>
              <w:jc w:val="center"/>
              <w:rPr>
                <w:rFonts w:hAnsi="宋体"/>
                <w:kern w:val="0"/>
                <w:szCs w:val="21"/>
              </w:rPr>
            </w:pPr>
            <w:r>
              <w:rPr>
                <w:rFonts w:hAnsi="宋体"/>
                <w:kern w:val="0"/>
                <w:szCs w:val="21"/>
              </w:rPr>
              <w:t>少量</w:t>
            </w:r>
            <w:r>
              <w:rPr>
                <w:rFonts w:hint="eastAsia" w:hAnsi="宋体"/>
                <w:kern w:val="0"/>
                <w:szCs w:val="21"/>
              </w:rPr>
              <w:t>，</w:t>
            </w:r>
            <w:r>
              <w:rPr>
                <w:rFonts w:hAnsi="宋体"/>
                <w:kern w:val="0"/>
                <w:szCs w:val="21"/>
              </w:rPr>
              <w:t>无组织排放</w:t>
            </w:r>
          </w:p>
        </w:tc>
        <w:tc>
          <w:tcPr>
            <w:tcW w:w="2797" w:type="dxa"/>
            <w:noWrap w:val="0"/>
            <w:vAlign w:val="center"/>
          </w:tcPr>
          <w:p>
            <w:pPr>
              <w:jc w:val="center"/>
              <w:rPr>
                <w:rFonts w:hAnsi="宋体"/>
                <w:kern w:val="0"/>
                <w:szCs w:val="21"/>
              </w:rPr>
            </w:pPr>
            <w:r>
              <w:rPr>
                <w:rFonts w:hAnsi="宋体"/>
                <w:kern w:val="0"/>
                <w:szCs w:val="21"/>
              </w:rPr>
              <w:t>少量</w:t>
            </w:r>
            <w:r>
              <w:rPr>
                <w:rFonts w:hint="eastAsia" w:hAnsi="宋体"/>
                <w:kern w:val="0"/>
                <w:szCs w:val="21"/>
              </w:rPr>
              <w:t>，</w:t>
            </w:r>
            <w:r>
              <w:rPr>
                <w:rFonts w:hAnsi="宋体"/>
                <w:kern w:val="0"/>
                <w:szCs w:val="21"/>
              </w:rPr>
              <w:t>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widowControl/>
              <w:jc w:val="center"/>
              <w:rPr>
                <w:rFonts w:hAnsi="宋体"/>
                <w:kern w:val="0"/>
                <w:szCs w:val="21"/>
              </w:rPr>
            </w:pPr>
          </w:p>
        </w:tc>
        <w:tc>
          <w:tcPr>
            <w:tcW w:w="446" w:type="dxa"/>
            <w:vMerge w:val="continue"/>
            <w:noWrap w:val="0"/>
            <w:vAlign w:val="center"/>
          </w:tcPr>
          <w:p>
            <w:pPr>
              <w:widowControl/>
              <w:jc w:val="center"/>
              <w:rPr>
                <w:rFonts w:hAnsi="宋体"/>
                <w:kern w:val="0"/>
                <w:szCs w:val="21"/>
              </w:rPr>
            </w:pPr>
          </w:p>
        </w:tc>
        <w:tc>
          <w:tcPr>
            <w:tcW w:w="1599" w:type="dxa"/>
            <w:noWrap w:val="0"/>
            <w:vAlign w:val="center"/>
          </w:tcPr>
          <w:p>
            <w:pPr>
              <w:jc w:val="center"/>
              <w:rPr>
                <w:szCs w:val="21"/>
              </w:rPr>
            </w:pPr>
            <w:r>
              <w:rPr>
                <w:rFonts w:hint="eastAsia"/>
                <w:szCs w:val="21"/>
              </w:rPr>
              <w:t>施工机械</w:t>
            </w:r>
          </w:p>
        </w:tc>
        <w:tc>
          <w:tcPr>
            <w:tcW w:w="1419" w:type="dxa"/>
            <w:noWrap w:val="0"/>
            <w:vAlign w:val="center"/>
          </w:tcPr>
          <w:p>
            <w:pPr>
              <w:jc w:val="center"/>
              <w:rPr>
                <w:rFonts w:hAnsi="宋体"/>
                <w:szCs w:val="21"/>
              </w:rPr>
            </w:pPr>
            <w:r>
              <w:rPr>
                <w:rFonts w:hint="eastAsia" w:hAnsi="宋体"/>
                <w:szCs w:val="21"/>
              </w:rPr>
              <w:t>尾气</w:t>
            </w:r>
          </w:p>
        </w:tc>
        <w:tc>
          <w:tcPr>
            <w:tcW w:w="2552" w:type="dxa"/>
            <w:noWrap w:val="0"/>
            <w:vAlign w:val="center"/>
          </w:tcPr>
          <w:p>
            <w:pPr>
              <w:jc w:val="center"/>
              <w:rPr>
                <w:rFonts w:hAnsi="宋体"/>
                <w:szCs w:val="21"/>
              </w:rPr>
            </w:pPr>
            <w:r>
              <w:rPr>
                <w:rFonts w:hint="eastAsia" w:hAnsi="宋体"/>
                <w:szCs w:val="21"/>
              </w:rPr>
              <w:t>少量</w:t>
            </w:r>
          </w:p>
        </w:tc>
        <w:tc>
          <w:tcPr>
            <w:tcW w:w="2797" w:type="dxa"/>
            <w:noWrap w:val="0"/>
            <w:vAlign w:val="center"/>
          </w:tcPr>
          <w:p>
            <w:pPr>
              <w:jc w:val="center"/>
              <w:rPr>
                <w:rFonts w:hAnsi="宋体"/>
                <w:szCs w:val="21"/>
              </w:rPr>
            </w:pPr>
            <w:r>
              <w:rPr>
                <w:rFonts w:hint="eastAsia" w:hAnsi="宋体"/>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widowControl/>
              <w:jc w:val="center"/>
              <w:rPr>
                <w:kern w:val="0"/>
                <w:szCs w:val="21"/>
              </w:rPr>
            </w:pPr>
          </w:p>
        </w:tc>
        <w:tc>
          <w:tcPr>
            <w:tcW w:w="446" w:type="dxa"/>
            <w:vMerge w:val="restart"/>
            <w:noWrap w:val="0"/>
            <w:vAlign w:val="center"/>
          </w:tcPr>
          <w:p>
            <w:pPr>
              <w:jc w:val="center"/>
              <w:rPr>
                <w:kern w:val="0"/>
                <w:szCs w:val="21"/>
              </w:rPr>
            </w:pPr>
            <w:r>
              <w:rPr>
                <w:rFonts w:hAnsi="宋体"/>
                <w:kern w:val="0"/>
                <w:szCs w:val="21"/>
              </w:rPr>
              <w:t>营运期</w:t>
            </w:r>
          </w:p>
        </w:tc>
        <w:tc>
          <w:tcPr>
            <w:tcW w:w="1599" w:type="dxa"/>
            <w:noWrap w:val="0"/>
            <w:vAlign w:val="center"/>
          </w:tcPr>
          <w:p>
            <w:pPr>
              <w:jc w:val="center"/>
              <w:rPr>
                <w:szCs w:val="21"/>
              </w:rPr>
            </w:pPr>
            <w:r>
              <w:rPr>
                <w:rFonts w:hint="eastAsia"/>
                <w:szCs w:val="21"/>
              </w:rPr>
              <w:t>停车场</w:t>
            </w:r>
          </w:p>
        </w:tc>
        <w:tc>
          <w:tcPr>
            <w:tcW w:w="1419" w:type="dxa"/>
            <w:noWrap w:val="0"/>
            <w:vAlign w:val="center"/>
          </w:tcPr>
          <w:p>
            <w:pPr>
              <w:jc w:val="center"/>
              <w:rPr>
                <w:szCs w:val="21"/>
              </w:rPr>
            </w:pPr>
            <w:r>
              <w:rPr>
                <w:rFonts w:hint="eastAsia" w:hAnsi="宋体"/>
                <w:szCs w:val="21"/>
              </w:rPr>
              <w:t>扬尘</w:t>
            </w:r>
          </w:p>
        </w:tc>
        <w:tc>
          <w:tcPr>
            <w:tcW w:w="2552" w:type="dxa"/>
            <w:noWrap w:val="0"/>
            <w:vAlign w:val="center"/>
          </w:tcPr>
          <w:p>
            <w:pPr>
              <w:jc w:val="center"/>
              <w:rPr>
                <w:szCs w:val="21"/>
              </w:rPr>
            </w:pPr>
            <w:r>
              <w:rPr>
                <w:rFonts w:hint="eastAsia"/>
                <w:szCs w:val="21"/>
              </w:rPr>
              <w:t>少量</w:t>
            </w:r>
          </w:p>
        </w:tc>
        <w:tc>
          <w:tcPr>
            <w:tcW w:w="2797" w:type="dxa"/>
            <w:noWrap w:val="0"/>
            <w:vAlign w:val="center"/>
          </w:tcPr>
          <w:p>
            <w:pPr>
              <w:jc w:val="center"/>
              <w:rPr>
                <w:szCs w:val="21"/>
              </w:rPr>
            </w:pPr>
            <w:r>
              <w:rPr>
                <w:szCs w:val="21"/>
              </w:rPr>
              <w:t>厂界颗粒物浓度≤1.0mg/m</w:t>
            </w:r>
            <w:r>
              <w:rPr>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widowControl/>
              <w:jc w:val="center"/>
              <w:rPr>
                <w:kern w:val="0"/>
                <w:szCs w:val="21"/>
              </w:rPr>
            </w:pPr>
          </w:p>
        </w:tc>
        <w:tc>
          <w:tcPr>
            <w:tcW w:w="446" w:type="dxa"/>
            <w:vMerge w:val="continue"/>
            <w:noWrap w:val="0"/>
            <w:vAlign w:val="center"/>
          </w:tcPr>
          <w:p>
            <w:pPr>
              <w:jc w:val="center"/>
              <w:rPr>
                <w:rFonts w:hAnsi="宋体"/>
                <w:kern w:val="0"/>
                <w:szCs w:val="21"/>
              </w:rPr>
            </w:pPr>
          </w:p>
        </w:tc>
        <w:tc>
          <w:tcPr>
            <w:tcW w:w="1599" w:type="dxa"/>
            <w:noWrap w:val="0"/>
            <w:vAlign w:val="center"/>
          </w:tcPr>
          <w:p>
            <w:pPr>
              <w:jc w:val="center"/>
              <w:rPr>
                <w:szCs w:val="21"/>
              </w:rPr>
            </w:pPr>
            <w:r>
              <w:rPr>
                <w:rFonts w:hint="eastAsia"/>
                <w:szCs w:val="21"/>
              </w:rPr>
              <w:t>进出车辆</w:t>
            </w:r>
          </w:p>
        </w:tc>
        <w:tc>
          <w:tcPr>
            <w:tcW w:w="1419" w:type="dxa"/>
            <w:noWrap w:val="0"/>
            <w:vAlign w:val="center"/>
          </w:tcPr>
          <w:p>
            <w:pPr>
              <w:jc w:val="center"/>
              <w:rPr>
                <w:rFonts w:hAnsi="宋体"/>
                <w:szCs w:val="21"/>
              </w:rPr>
            </w:pPr>
            <w:r>
              <w:rPr>
                <w:rFonts w:hint="eastAsia" w:hAnsi="宋体"/>
                <w:szCs w:val="21"/>
              </w:rPr>
              <w:t>尾气</w:t>
            </w:r>
          </w:p>
        </w:tc>
        <w:tc>
          <w:tcPr>
            <w:tcW w:w="2552" w:type="dxa"/>
            <w:noWrap w:val="0"/>
            <w:vAlign w:val="center"/>
          </w:tcPr>
          <w:p>
            <w:pPr>
              <w:jc w:val="center"/>
              <w:rPr>
                <w:szCs w:val="21"/>
              </w:rPr>
            </w:pPr>
            <w:r>
              <w:rPr>
                <w:rFonts w:hint="eastAsia"/>
                <w:szCs w:val="21"/>
              </w:rPr>
              <w:t>少量</w:t>
            </w:r>
          </w:p>
        </w:tc>
        <w:tc>
          <w:tcPr>
            <w:tcW w:w="2797" w:type="dxa"/>
            <w:noWrap w:val="0"/>
            <w:vAlign w:val="center"/>
          </w:tcPr>
          <w:p>
            <w:pPr>
              <w:jc w:val="center"/>
              <w:rPr>
                <w:szCs w:val="21"/>
              </w:rPr>
            </w:pPr>
            <w:r>
              <w:rPr>
                <w:rFonts w:hint="eastAsia"/>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widowControl/>
              <w:jc w:val="center"/>
              <w:rPr>
                <w:kern w:val="0"/>
                <w:szCs w:val="21"/>
              </w:rPr>
            </w:pPr>
          </w:p>
        </w:tc>
        <w:tc>
          <w:tcPr>
            <w:tcW w:w="446" w:type="dxa"/>
            <w:vMerge w:val="continue"/>
            <w:noWrap w:val="0"/>
            <w:vAlign w:val="center"/>
          </w:tcPr>
          <w:p>
            <w:pPr>
              <w:jc w:val="center"/>
              <w:rPr>
                <w:rFonts w:hAnsi="宋体"/>
                <w:kern w:val="0"/>
                <w:szCs w:val="21"/>
              </w:rPr>
            </w:pPr>
          </w:p>
        </w:tc>
        <w:tc>
          <w:tcPr>
            <w:tcW w:w="1599" w:type="dxa"/>
            <w:noWrap w:val="0"/>
            <w:vAlign w:val="center"/>
          </w:tcPr>
          <w:p>
            <w:pPr>
              <w:jc w:val="center"/>
              <w:rPr>
                <w:rFonts w:hint="eastAsia" w:hAnsi="宋体"/>
                <w:szCs w:val="21"/>
              </w:rPr>
            </w:pPr>
            <w:r>
              <w:rPr>
                <w:rFonts w:hint="eastAsia" w:hAnsi="宋体"/>
                <w:szCs w:val="21"/>
              </w:rPr>
              <w:t>备用发电机房</w:t>
            </w:r>
          </w:p>
        </w:tc>
        <w:tc>
          <w:tcPr>
            <w:tcW w:w="1419" w:type="dxa"/>
            <w:noWrap w:val="0"/>
            <w:vAlign w:val="center"/>
          </w:tcPr>
          <w:p>
            <w:pPr>
              <w:jc w:val="center"/>
              <w:rPr>
                <w:kern w:val="0"/>
                <w:szCs w:val="21"/>
              </w:rPr>
            </w:pPr>
            <w:r>
              <w:rPr>
                <w:rFonts w:hint="eastAsia"/>
                <w:kern w:val="0"/>
                <w:szCs w:val="21"/>
              </w:rPr>
              <w:t>烟气</w:t>
            </w:r>
          </w:p>
        </w:tc>
        <w:tc>
          <w:tcPr>
            <w:tcW w:w="2552" w:type="dxa"/>
            <w:noWrap w:val="0"/>
            <w:vAlign w:val="center"/>
          </w:tcPr>
          <w:p>
            <w:pPr>
              <w:jc w:val="center"/>
              <w:rPr>
                <w:szCs w:val="21"/>
              </w:rPr>
            </w:pPr>
            <w:r>
              <w:rPr>
                <w:rFonts w:hint="eastAsia"/>
                <w:szCs w:val="21"/>
              </w:rPr>
              <w:t>少量</w:t>
            </w:r>
          </w:p>
        </w:tc>
        <w:tc>
          <w:tcPr>
            <w:tcW w:w="2797" w:type="dxa"/>
            <w:noWrap w:val="0"/>
            <w:vAlign w:val="center"/>
          </w:tcPr>
          <w:p>
            <w:pPr>
              <w:jc w:val="center"/>
              <w:rPr>
                <w:szCs w:val="21"/>
              </w:rPr>
            </w:pPr>
            <w:r>
              <w:rPr>
                <w:szCs w:val="21"/>
              </w:rPr>
              <w:t>SO</w:t>
            </w:r>
            <w:r>
              <w:rPr>
                <w:szCs w:val="21"/>
                <w:vertAlign w:val="subscript"/>
              </w:rPr>
              <w:t>2</w:t>
            </w:r>
            <w:r>
              <w:rPr>
                <w:kern w:val="0"/>
                <w:szCs w:val="21"/>
              </w:rPr>
              <w:t>0.82kg/h、烟尘0.05kg/h、</w:t>
            </w:r>
            <w:r>
              <w:rPr>
                <w:szCs w:val="21"/>
              </w:rPr>
              <w:t>NO</w:t>
            </w:r>
            <w:r>
              <w:rPr>
                <w:szCs w:val="21"/>
                <w:vertAlign w:val="subscript"/>
              </w:rPr>
              <w:t>x</w:t>
            </w:r>
            <w:r>
              <w:rPr>
                <w:kern w:val="0"/>
                <w:szCs w:val="21"/>
              </w:rPr>
              <w:t xml:space="preserve"> 1.28 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widowControl/>
              <w:jc w:val="center"/>
              <w:rPr>
                <w:kern w:val="0"/>
                <w:szCs w:val="21"/>
              </w:rPr>
            </w:pPr>
          </w:p>
        </w:tc>
        <w:tc>
          <w:tcPr>
            <w:tcW w:w="446" w:type="dxa"/>
            <w:vMerge w:val="continue"/>
            <w:noWrap w:val="0"/>
            <w:vAlign w:val="center"/>
          </w:tcPr>
          <w:p>
            <w:pPr>
              <w:jc w:val="center"/>
              <w:rPr>
                <w:rFonts w:hAnsi="宋体"/>
                <w:kern w:val="0"/>
                <w:szCs w:val="21"/>
              </w:rPr>
            </w:pPr>
          </w:p>
        </w:tc>
        <w:tc>
          <w:tcPr>
            <w:tcW w:w="1599" w:type="dxa"/>
            <w:noWrap w:val="0"/>
            <w:vAlign w:val="center"/>
          </w:tcPr>
          <w:p>
            <w:pPr>
              <w:jc w:val="center"/>
              <w:rPr>
                <w:rFonts w:hAnsi="宋体"/>
                <w:szCs w:val="21"/>
              </w:rPr>
            </w:pPr>
            <w:r>
              <w:rPr>
                <w:rFonts w:hint="eastAsia" w:hAnsi="宋体"/>
                <w:szCs w:val="21"/>
              </w:rPr>
              <w:t>中水处理站、垃圾收集箱</w:t>
            </w:r>
          </w:p>
        </w:tc>
        <w:tc>
          <w:tcPr>
            <w:tcW w:w="1419" w:type="dxa"/>
            <w:noWrap w:val="0"/>
            <w:vAlign w:val="center"/>
          </w:tcPr>
          <w:p>
            <w:pPr>
              <w:jc w:val="center"/>
              <w:rPr>
                <w:kern w:val="0"/>
                <w:szCs w:val="21"/>
              </w:rPr>
            </w:pPr>
            <w:r>
              <w:rPr>
                <w:rFonts w:hint="eastAsia"/>
                <w:kern w:val="0"/>
                <w:szCs w:val="21"/>
              </w:rPr>
              <w:t>异味</w:t>
            </w:r>
          </w:p>
        </w:tc>
        <w:tc>
          <w:tcPr>
            <w:tcW w:w="2552" w:type="dxa"/>
            <w:noWrap w:val="0"/>
            <w:vAlign w:val="center"/>
          </w:tcPr>
          <w:p>
            <w:pPr>
              <w:jc w:val="center"/>
              <w:rPr>
                <w:rFonts w:hAnsi="宋体"/>
                <w:kern w:val="0"/>
                <w:szCs w:val="21"/>
              </w:rPr>
            </w:pPr>
            <w:r>
              <w:rPr>
                <w:rFonts w:hAnsi="宋体"/>
                <w:kern w:val="0"/>
                <w:szCs w:val="21"/>
              </w:rPr>
              <w:t>少量</w:t>
            </w:r>
            <w:r>
              <w:rPr>
                <w:rFonts w:hint="eastAsia" w:hAnsi="宋体"/>
                <w:kern w:val="0"/>
                <w:szCs w:val="21"/>
              </w:rPr>
              <w:t>，</w:t>
            </w:r>
            <w:r>
              <w:rPr>
                <w:rFonts w:hAnsi="宋体"/>
                <w:kern w:val="0"/>
                <w:szCs w:val="21"/>
              </w:rPr>
              <w:t>无组织排放</w:t>
            </w:r>
          </w:p>
        </w:tc>
        <w:tc>
          <w:tcPr>
            <w:tcW w:w="2797" w:type="dxa"/>
            <w:noWrap w:val="0"/>
            <w:vAlign w:val="center"/>
          </w:tcPr>
          <w:p>
            <w:pPr>
              <w:jc w:val="center"/>
              <w:rPr>
                <w:rFonts w:hAnsi="宋体"/>
                <w:kern w:val="0"/>
                <w:szCs w:val="21"/>
              </w:rPr>
            </w:pPr>
            <w:r>
              <w:rPr>
                <w:rFonts w:hint="eastAsia"/>
                <w:szCs w:val="21"/>
                <w:lang w:val="zh-CN"/>
              </w:rPr>
              <w:t>恶臭</w:t>
            </w:r>
            <w:r>
              <w:rPr>
                <w:szCs w:val="21"/>
              </w:rPr>
              <w:t>厂界达GB18918—2002表4中</w:t>
            </w:r>
            <w:r>
              <w:rPr>
                <w:rFonts w:hint="eastAsia"/>
                <w:szCs w:val="21"/>
              </w:rPr>
              <w:t>二</w:t>
            </w:r>
            <w:r>
              <w:rPr>
                <w:szCs w:val="21"/>
              </w:rPr>
              <w:t>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restart"/>
            <w:noWrap w:val="0"/>
            <w:vAlign w:val="center"/>
          </w:tcPr>
          <w:p>
            <w:pPr>
              <w:jc w:val="center"/>
              <w:rPr>
                <w:kern w:val="0"/>
                <w:szCs w:val="21"/>
              </w:rPr>
            </w:pPr>
            <w:r>
              <w:rPr>
                <w:rFonts w:hAnsi="宋体"/>
                <w:kern w:val="0"/>
                <w:szCs w:val="21"/>
              </w:rPr>
              <w:t>水污染物</w:t>
            </w:r>
          </w:p>
        </w:tc>
        <w:tc>
          <w:tcPr>
            <w:tcW w:w="446" w:type="dxa"/>
            <w:vMerge w:val="restart"/>
            <w:noWrap w:val="0"/>
            <w:vAlign w:val="center"/>
          </w:tcPr>
          <w:p>
            <w:pPr>
              <w:widowControl/>
              <w:jc w:val="center"/>
              <w:rPr>
                <w:kern w:val="0"/>
                <w:szCs w:val="21"/>
              </w:rPr>
            </w:pPr>
            <w:r>
              <w:rPr>
                <w:rFonts w:hAnsi="宋体"/>
                <w:kern w:val="0"/>
                <w:szCs w:val="21"/>
              </w:rPr>
              <w:t>施工期</w:t>
            </w:r>
          </w:p>
        </w:tc>
        <w:tc>
          <w:tcPr>
            <w:tcW w:w="1599" w:type="dxa"/>
            <w:noWrap w:val="0"/>
            <w:vAlign w:val="center"/>
          </w:tcPr>
          <w:p>
            <w:pPr>
              <w:jc w:val="center"/>
              <w:rPr>
                <w:kern w:val="0"/>
                <w:szCs w:val="21"/>
              </w:rPr>
            </w:pPr>
            <w:r>
              <w:rPr>
                <w:rFonts w:hint="eastAsia"/>
                <w:kern w:val="0"/>
                <w:szCs w:val="21"/>
              </w:rPr>
              <w:t>施工废水</w:t>
            </w:r>
          </w:p>
        </w:tc>
        <w:tc>
          <w:tcPr>
            <w:tcW w:w="1419" w:type="dxa"/>
            <w:noWrap w:val="0"/>
            <w:vAlign w:val="center"/>
          </w:tcPr>
          <w:p>
            <w:pPr>
              <w:ind w:left="420" w:hanging="420" w:hangingChars="200"/>
              <w:jc w:val="center"/>
              <w:rPr>
                <w:szCs w:val="21"/>
              </w:rPr>
            </w:pPr>
            <w:r>
              <w:rPr>
                <w:rFonts w:hint="eastAsia"/>
                <w:szCs w:val="21"/>
              </w:rPr>
              <w:t>SS</w:t>
            </w:r>
          </w:p>
        </w:tc>
        <w:tc>
          <w:tcPr>
            <w:tcW w:w="2552" w:type="dxa"/>
            <w:noWrap w:val="0"/>
            <w:vAlign w:val="center"/>
          </w:tcPr>
          <w:p>
            <w:pPr>
              <w:jc w:val="center"/>
              <w:rPr>
                <w:szCs w:val="21"/>
              </w:rPr>
            </w:pPr>
            <w:r>
              <w:rPr>
                <w:rFonts w:hAnsi="宋体"/>
                <w:szCs w:val="21"/>
              </w:rPr>
              <w:t>产生量：</w:t>
            </w:r>
            <w:r>
              <w:rPr>
                <w:rFonts w:hint="eastAsia"/>
                <w:szCs w:val="21"/>
              </w:rPr>
              <w:t>1.974</w:t>
            </w:r>
            <w:r>
              <w:rPr>
                <w:szCs w:val="21"/>
              </w:rPr>
              <w:t>m</w:t>
            </w:r>
            <w:r>
              <w:rPr>
                <w:szCs w:val="21"/>
                <w:vertAlign w:val="superscript"/>
              </w:rPr>
              <w:t>3</w:t>
            </w:r>
            <w:r>
              <w:rPr>
                <w:szCs w:val="21"/>
              </w:rPr>
              <w:t>/d</w:t>
            </w:r>
          </w:p>
        </w:tc>
        <w:tc>
          <w:tcPr>
            <w:tcW w:w="2797" w:type="dxa"/>
            <w:noWrap w:val="0"/>
            <w:vAlign w:val="center"/>
          </w:tcPr>
          <w:p>
            <w:pPr>
              <w:jc w:val="center"/>
              <w:rPr>
                <w:szCs w:val="21"/>
              </w:rPr>
            </w:pPr>
            <w:r>
              <w:rPr>
                <w:rFonts w:hint="eastAsia"/>
                <w:szCs w:val="21"/>
              </w:rPr>
              <w:t>回用于施工，不外排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jc w:val="center"/>
              <w:rPr>
                <w:rFonts w:hAnsi="宋体"/>
                <w:kern w:val="0"/>
                <w:szCs w:val="21"/>
              </w:rPr>
            </w:pPr>
          </w:p>
        </w:tc>
        <w:tc>
          <w:tcPr>
            <w:tcW w:w="446" w:type="dxa"/>
            <w:vMerge w:val="continue"/>
            <w:noWrap w:val="0"/>
            <w:vAlign w:val="center"/>
          </w:tcPr>
          <w:p>
            <w:pPr>
              <w:widowControl/>
              <w:jc w:val="center"/>
              <w:rPr>
                <w:rFonts w:hAnsi="宋体"/>
                <w:kern w:val="0"/>
                <w:szCs w:val="21"/>
              </w:rPr>
            </w:pPr>
          </w:p>
        </w:tc>
        <w:tc>
          <w:tcPr>
            <w:tcW w:w="1599" w:type="dxa"/>
            <w:noWrap w:val="0"/>
            <w:vAlign w:val="center"/>
          </w:tcPr>
          <w:p>
            <w:pPr>
              <w:ind w:left="420" w:hanging="420" w:hangingChars="200"/>
              <w:jc w:val="center"/>
              <w:rPr>
                <w:szCs w:val="21"/>
              </w:rPr>
            </w:pPr>
            <w:r>
              <w:rPr>
                <w:rFonts w:hint="eastAsia" w:hAnsi="宋体"/>
                <w:szCs w:val="21"/>
              </w:rPr>
              <w:t>生活</w:t>
            </w:r>
            <w:r>
              <w:rPr>
                <w:rFonts w:hAnsi="宋体"/>
                <w:szCs w:val="21"/>
              </w:rPr>
              <w:t>污水</w:t>
            </w:r>
          </w:p>
        </w:tc>
        <w:tc>
          <w:tcPr>
            <w:tcW w:w="1419" w:type="dxa"/>
            <w:noWrap w:val="0"/>
            <w:vAlign w:val="center"/>
          </w:tcPr>
          <w:p>
            <w:pPr>
              <w:ind w:left="420" w:hanging="420" w:hangingChars="200"/>
              <w:jc w:val="center"/>
              <w:rPr>
                <w:szCs w:val="21"/>
              </w:rPr>
            </w:pPr>
            <w:r>
              <w:rPr>
                <w:szCs w:val="21"/>
              </w:rPr>
              <w:t>SS</w:t>
            </w:r>
            <w:r>
              <w:rPr>
                <w:rFonts w:hint="eastAsia"/>
                <w:szCs w:val="21"/>
              </w:rPr>
              <w:t>、COD</w:t>
            </w:r>
          </w:p>
        </w:tc>
        <w:tc>
          <w:tcPr>
            <w:tcW w:w="2552" w:type="dxa"/>
            <w:tcBorders>
              <w:bottom w:val="single" w:color="auto" w:sz="4" w:space="0"/>
            </w:tcBorders>
            <w:noWrap w:val="0"/>
            <w:vAlign w:val="center"/>
          </w:tcPr>
          <w:p>
            <w:pPr>
              <w:ind w:left="420" w:hanging="420" w:hangingChars="200"/>
              <w:jc w:val="center"/>
              <w:rPr>
                <w:szCs w:val="21"/>
              </w:rPr>
            </w:pPr>
            <w:r>
              <w:rPr>
                <w:rFonts w:hAnsi="宋体"/>
                <w:szCs w:val="21"/>
              </w:rPr>
              <w:t>产生量：</w:t>
            </w:r>
            <w:r>
              <w:rPr>
                <w:rFonts w:hint="eastAsia"/>
                <w:szCs w:val="21"/>
              </w:rPr>
              <w:t>1.2</w:t>
            </w:r>
            <w:r>
              <w:rPr>
                <w:szCs w:val="21"/>
              </w:rPr>
              <w:t>m</w:t>
            </w:r>
            <w:r>
              <w:rPr>
                <w:szCs w:val="21"/>
                <w:vertAlign w:val="superscript"/>
              </w:rPr>
              <w:t>3</w:t>
            </w:r>
            <w:r>
              <w:rPr>
                <w:szCs w:val="21"/>
              </w:rPr>
              <w:t>/d</w:t>
            </w:r>
          </w:p>
        </w:tc>
        <w:tc>
          <w:tcPr>
            <w:tcW w:w="2797" w:type="dxa"/>
            <w:tcBorders>
              <w:bottom w:val="single" w:color="auto" w:sz="4" w:space="0"/>
            </w:tcBorders>
            <w:noWrap w:val="0"/>
            <w:vAlign w:val="center"/>
          </w:tcPr>
          <w:p>
            <w:pPr>
              <w:ind w:left="420" w:hanging="420" w:hangingChars="200"/>
              <w:jc w:val="center"/>
              <w:rPr>
                <w:szCs w:val="21"/>
              </w:rPr>
            </w:pPr>
            <w:r>
              <w:rPr>
                <w:rFonts w:hint="eastAsia" w:hAnsi="宋体"/>
                <w:szCs w:val="21"/>
              </w:rPr>
              <w:t>回用于施工，不外排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jc w:val="center"/>
              <w:rPr>
                <w:kern w:val="0"/>
                <w:szCs w:val="21"/>
              </w:rPr>
            </w:pPr>
          </w:p>
        </w:tc>
        <w:tc>
          <w:tcPr>
            <w:tcW w:w="446" w:type="dxa"/>
            <w:vMerge w:val="restart"/>
            <w:noWrap w:val="0"/>
            <w:vAlign w:val="center"/>
          </w:tcPr>
          <w:p>
            <w:pPr>
              <w:jc w:val="center"/>
              <w:rPr>
                <w:kern w:val="0"/>
                <w:szCs w:val="21"/>
              </w:rPr>
            </w:pPr>
            <w:r>
              <w:rPr>
                <w:rFonts w:hAnsi="宋体"/>
                <w:kern w:val="0"/>
                <w:szCs w:val="21"/>
              </w:rPr>
              <w:t>运营期</w:t>
            </w:r>
          </w:p>
        </w:tc>
        <w:tc>
          <w:tcPr>
            <w:tcW w:w="1599" w:type="dxa"/>
            <w:vMerge w:val="restart"/>
            <w:noWrap w:val="0"/>
            <w:vAlign w:val="center"/>
          </w:tcPr>
          <w:p>
            <w:pPr>
              <w:jc w:val="center"/>
              <w:rPr>
                <w:kern w:val="0"/>
                <w:szCs w:val="21"/>
              </w:rPr>
            </w:pPr>
            <w:r>
              <w:rPr>
                <w:rFonts w:hAnsi="宋体"/>
                <w:kern w:val="0"/>
                <w:szCs w:val="21"/>
              </w:rPr>
              <w:t>污水</w:t>
            </w:r>
          </w:p>
        </w:tc>
        <w:tc>
          <w:tcPr>
            <w:tcW w:w="1419" w:type="dxa"/>
            <w:noWrap w:val="0"/>
            <w:vAlign w:val="center"/>
          </w:tcPr>
          <w:p>
            <w:pPr>
              <w:ind w:left="420" w:hanging="420" w:hangingChars="200"/>
              <w:jc w:val="center"/>
              <w:rPr>
                <w:szCs w:val="21"/>
              </w:rPr>
            </w:pPr>
            <w:r>
              <w:rPr>
                <w:rFonts w:hAnsi="宋体"/>
                <w:szCs w:val="21"/>
              </w:rPr>
              <w:t>污水</w:t>
            </w:r>
          </w:p>
        </w:tc>
        <w:tc>
          <w:tcPr>
            <w:tcW w:w="2552" w:type="dxa"/>
            <w:tcBorders>
              <w:bottom w:val="single" w:color="auto" w:sz="4" w:space="0"/>
            </w:tcBorders>
            <w:noWrap w:val="0"/>
            <w:vAlign w:val="center"/>
          </w:tcPr>
          <w:p>
            <w:pPr>
              <w:ind w:left="420" w:hanging="420" w:hangingChars="200"/>
              <w:jc w:val="center"/>
              <w:rPr>
                <w:szCs w:val="21"/>
              </w:rPr>
            </w:pPr>
            <w:r>
              <w:rPr>
                <w:szCs w:val="21"/>
              </w:rPr>
              <w:t>263.94m³/</w:t>
            </w:r>
            <w:r>
              <w:rPr>
                <w:rFonts w:hint="eastAsia"/>
                <w:szCs w:val="21"/>
              </w:rPr>
              <w:t>d，</w:t>
            </w:r>
            <w:r>
              <w:rPr>
                <w:szCs w:val="21"/>
              </w:rPr>
              <w:t>96338m</w:t>
            </w:r>
            <w:r>
              <w:rPr>
                <w:szCs w:val="21"/>
                <w:vertAlign w:val="superscript"/>
              </w:rPr>
              <w:t>3</w:t>
            </w:r>
            <w:r>
              <w:rPr>
                <w:szCs w:val="21"/>
              </w:rPr>
              <w:t>/</w:t>
            </w:r>
            <w:r>
              <w:rPr>
                <w:rFonts w:hint="eastAsia"/>
                <w:szCs w:val="21"/>
              </w:rPr>
              <w:t>a</w:t>
            </w:r>
          </w:p>
        </w:tc>
        <w:tc>
          <w:tcPr>
            <w:tcW w:w="2797" w:type="dxa"/>
            <w:tcBorders>
              <w:bottom w:val="single" w:color="auto" w:sz="4" w:space="0"/>
            </w:tcBorders>
            <w:noWrap w:val="0"/>
            <w:vAlign w:val="center"/>
          </w:tcPr>
          <w:p>
            <w:pPr>
              <w:autoSpaceDE w:val="0"/>
              <w:autoSpaceDN w:val="0"/>
              <w:adjustRightInd w:val="0"/>
              <w:rPr>
                <w:rFonts w:hAnsi="宋体"/>
                <w:szCs w:val="21"/>
              </w:rPr>
            </w:pPr>
            <w:r>
              <w:rPr>
                <w:szCs w:val="21"/>
              </w:rPr>
              <w:t>162.67m³/</w:t>
            </w:r>
            <w:r>
              <w:rPr>
                <w:rFonts w:hint="eastAsia"/>
                <w:szCs w:val="21"/>
              </w:rPr>
              <w:t>d，</w:t>
            </w:r>
            <w:r>
              <w:rPr>
                <w:szCs w:val="21"/>
              </w:rPr>
              <w:t>5.38</w:t>
            </w:r>
            <w:r>
              <w:rPr>
                <w:rFonts w:hint="eastAsia"/>
                <w:szCs w:val="21"/>
              </w:rPr>
              <w:t>万</w:t>
            </w:r>
            <w:r>
              <w:rPr>
                <w:szCs w:val="21"/>
              </w:rPr>
              <w:t>m</w:t>
            </w:r>
            <w:r>
              <w:rPr>
                <w:szCs w:val="21"/>
                <w:vertAlign w:val="superscript"/>
              </w:rPr>
              <w:t>3</w:t>
            </w:r>
            <w:r>
              <w:rPr>
                <w:szCs w:val="21"/>
              </w:rPr>
              <w:t>/</w:t>
            </w:r>
            <w:r>
              <w:rPr>
                <w:rFonts w:hint="eastAsia"/>
                <w:szCs w:val="21"/>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jc w:val="center"/>
              <w:rPr>
                <w:kern w:val="0"/>
                <w:szCs w:val="21"/>
              </w:rPr>
            </w:pPr>
          </w:p>
        </w:tc>
        <w:tc>
          <w:tcPr>
            <w:tcW w:w="446" w:type="dxa"/>
            <w:vMerge w:val="continue"/>
            <w:noWrap w:val="0"/>
            <w:vAlign w:val="center"/>
          </w:tcPr>
          <w:p>
            <w:pPr>
              <w:jc w:val="center"/>
              <w:rPr>
                <w:kern w:val="0"/>
                <w:szCs w:val="21"/>
              </w:rPr>
            </w:pPr>
          </w:p>
        </w:tc>
        <w:tc>
          <w:tcPr>
            <w:tcW w:w="1599" w:type="dxa"/>
            <w:vMerge w:val="continue"/>
            <w:noWrap w:val="0"/>
            <w:vAlign w:val="center"/>
          </w:tcPr>
          <w:p>
            <w:pPr>
              <w:jc w:val="center"/>
              <w:rPr>
                <w:kern w:val="0"/>
                <w:szCs w:val="21"/>
              </w:rPr>
            </w:pPr>
          </w:p>
        </w:tc>
        <w:tc>
          <w:tcPr>
            <w:tcW w:w="1419" w:type="dxa"/>
            <w:noWrap w:val="0"/>
            <w:vAlign w:val="center"/>
          </w:tcPr>
          <w:p>
            <w:pPr>
              <w:jc w:val="center"/>
              <w:rPr>
                <w:kern w:val="0"/>
                <w:szCs w:val="21"/>
              </w:rPr>
            </w:pPr>
            <w:r>
              <w:rPr>
                <w:kern w:val="0"/>
                <w:szCs w:val="21"/>
              </w:rPr>
              <w:t>COD</w:t>
            </w:r>
          </w:p>
        </w:tc>
        <w:tc>
          <w:tcPr>
            <w:tcW w:w="2552" w:type="dxa"/>
            <w:tcBorders>
              <w:bottom w:val="single" w:color="auto" w:sz="4" w:space="0"/>
            </w:tcBorders>
            <w:noWrap w:val="0"/>
            <w:vAlign w:val="center"/>
          </w:tcPr>
          <w:p>
            <w:pPr>
              <w:jc w:val="center"/>
              <w:rPr>
                <w:kern w:val="0"/>
                <w:szCs w:val="21"/>
              </w:rPr>
            </w:pPr>
            <w:r>
              <w:rPr>
                <w:rFonts w:hint="eastAsia"/>
                <w:kern w:val="0"/>
                <w:szCs w:val="21"/>
              </w:rPr>
              <w:t>500</w:t>
            </w:r>
            <w:r>
              <w:rPr>
                <w:kern w:val="0"/>
                <w:szCs w:val="21"/>
              </w:rPr>
              <w:t>mg/L</w:t>
            </w:r>
            <w:r>
              <w:rPr>
                <w:rFonts w:hAnsi="宋体"/>
                <w:kern w:val="0"/>
                <w:szCs w:val="21"/>
              </w:rPr>
              <w:t>；</w:t>
            </w:r>
            <w:r>
              <w:rPr>
                <w:kern w:val="0"/>
                <w:szCs w:val="21"/>
              </w:rPr>
              <w:t>48.169t/a</w:t>
            </w:r>
          </w:p>
        </w:tc>
        <w:tc>
          <w:tcPr>
            <w:tcW w:w="2797" w:type="dxa"/>
            <w:tcBorders>
              <w:top w:val="single" w:color="auto" w:sz="4" w:space="0"/>
              <w:bottom w:val="single" w:color="auto" w:sz="4" w:space="0"/>
            </w:tcBorders>
            <w:noWrap w:val="0"/>
            <w:vAlign w:val="center"/>
          </w:tcPr>
          <w:p>
            <w:pPr>
              <w:jc w:val="center"/>
              <w:rPr>
                <w:kern w:val="0"/>
                <w:szCs w:val="21"/>
              </w:rPr>
            </w:pPr>
            <w:r>
              <w:rPr>
                <w:rFonts w:hint="eastAsia"/>
                <w:kern w:val="0"/>
                <w:szCs w:val="21"/>
              </w:rPr>
              <w:t>425</w:t>
            </w:r>
            <w:r>
              <w:rPr>
                <w:kern w:val="0"/>
                <w:szCs w:val="21"/>
              </w:rPr>
              <w:t>mg/L</w:t>
            </w:r>
            <w:r>
              <w:rPr>
                <w:rFonts w:hAnsi="宋体"/>
                <w:kern w:val="0"/>
                <w:szCs w:val="21"/>
              </w:rPr>
              <w:t>；</w:t>
            </w:r>
            <w:r>
              <w:rPr>
                <w:kern w:val="0"/>
                <w:szCs w:val="21"/>
              </w:rPr>
              <w:t>25.23t/a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widowControl/>
              <w:jc w:val="center"/>
              <w:rPr>
                <w:kern w:val="0"/>
                <w:szCs w:val="21"/>
              </w:rPr>
            </w:pPr>
          </w:p>
        </w:tc>
        <w:tc>
          <w:tcPr>
            <w:tcW w:w="446" w:type="dxa"/>
            <w:vMerge w:val="continue"/>
            <w:noWrap w:val="0"/>
            <w:vAlign w:val="center"/>
          </w:tcPr>
          <w:p>
            <w:pPr>
              <w:widowControl/>
              <w:jc w:val="center"/>
              <w:rPr>
                <w:kern w:val="0"/>
                <w:szCs w:val="21"/>
              </w:rPr>
            </w:pPr>
          </w:p>
        </w:tc>
        <w:tc>
          <w:tcPr>
            <w:tcW w:w="1599" w:type="dxa"/>
            <w:vMerge w:val="continue"/>
            <w:noWrap w:val="0"/>
            <w:vAlign w:val="center"/>
          </w:tcPr>
          <w:p>
            <w:pPr>
              <w:jc w:val="center"/>
              <w:rPr>
                <w:kern w:val="0"/>
                <w:szCs w:val="21"/>
              </w:rPr>
            </w:pPr>
          </w:p>
        </w:tc>
        <w:tc>
          <w:tcPr>
            <w:tcW w:w="1419" w:type="dxa"/>
            <w:noWrap w:val="0"/>
            <w:vAlign w:val="center"/>
          </w:tcPr>
          <w:p>
            <w:pPr>
              <w:jc w:val="center"/>
              <w:rPr>
                <w:kern w:val="0"/>
                <w:szCs w:val="21"/>
              </w:rPr>
            </w:pPr>
            <w:r>
              <w:rPr>
                <w:rFonts w:hAnsi="宋体"/>
                <w:kern w:val="0"/>
                <w:szCs w:val="21"/>
              </w:rPr>
              <w:t>氨氮</w:t>
            </w:r>
          </w:p>
        </w:tc>
        <w:tc>
          <w:tcPr>
            <w:tcW w:w="2552" w:type="dxa"/>
            <w:tcBorders>
              <w:bottom w:val="single" w:color="auto" w:sz="4" w:space="0"/>
            </w:tcBorders>
            <w:noWrap w:val="0"/>
            <w:vAlign w:val="center"/>
          </w:tcPr>
          <w:p>
            <w:pPr>
              <w:jc w:val="center"/>
              <w:rPr>
                <w:szCs w:val="21"/>
              </w:rPr>
            </w:pPr>
            <w:r>
              <w:rPr>
                <w:rFonts w:hint="eastAsia"/>
                <w:kern w:val="0"/>
                <w:szCs w:val="21"/>
              </w:rPr>
              <w:t>46</w:t>
            </w:r>
            <w:r>
              <w:rPr>
                <w:kern w:val="0"/>
                <w:szCs w:val="21"/>
              </w:rPr>
              <w:t>mg/L</w:t>
            </w:r>
            <w:r>
              <w:rPr>
                <w:rFonts w:hAnsi="宋体"/>
                <w:kern w:val="0"/>
                <w:szCs w:val="21"/>
              </w:rPr>
              <w:t>；</w:t>
            </w:r>
            <w:r>
              <w:rPr>
                <w:kern w:val="0"/>
                <w:szCs w:val="21"/>
              </w:rPr>
              <w:t>4.43t/a</w:t>
            </w:r>
          </w:p>
        </w:tc>
        <w:tc>
          <w:tcPr>
            <w:tcW w:w="2797" w:type="dxa"/>
            <w:tcBorders>
              <w:top w:val="single" w:color="auto" w:sz="4" w:space="0"/>
              <w:bottom w:val="single" w:color="auto" w:sz="4" w:space="0"/>
            </w:tcBorders>
            <w:noWrap w:val="0"/>
            <w:vAlign w:val="center"/>
          </w:tcPr>
          <w:p>
            <w:pPr>
              <w:jc w:val="center"/>
              <w:rPr>
                <w:szCs w:val="21"/>
              </w:rPr>
            </w:pPr>
            <w:r>
              <w:rPr>
                <w:rFonts w:hint="eastAsia"/>
                <w:kern w:val="0"/>
                <w:szCs w:val="21"/>
              </w:rPr>
              <w:t>43.24</w:t>
            </w:r>
            <w:r>
              <w:rPr>
                <w:kern w:val="0"/>
                <w:szCs w:val="21"/>
              </w:rPr>
              <w:t>mg/L</w:t>
            </w:r>
            <w:r>
              <w:rPr>
                <w:rFonts w:hAnsi="宋体"/>
                <w:kern w:val="0"/>
                <w:szCs w:val="21"/>
              </w:rPr>
              <w:t>；</w:t>
            </w:r>
            <w:r>
              <w:rPr>
                <w:kern w:val="0"/>
                <w:szCs w:val="21"/>
              </w:rPr>
              <w:t>2.57t/a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8" w:hRule="atLeast"/>
          <w:jc w:val="center"/>
        </w:trPr>
        <w:tc>
          <w:tcPr>
            <w:tcW w:w="473" w:type="dxa"/>
            <w:vMerge w:val="continue"/>
            <w:noWrap w:val="0"/>
            <w:vAlign w:val="center"/>
          </w:tcPr>
          <w:p>
            <w:pPr>
              <w:widowControl/>
              <w:jc w:val="center"/>
              <w:rPr>
                <w:kern w:val="0"/>
                <w:szCs w:val="21"/>
              </w:rPr>
            </w:pPr>
          </w:p>
        </w:tc>
        <w:tc>
          <w:tcPr>
            <w:tcW w:w="446" w:type="dxa"/>
            <w:vMerge w:val="continue"/>
            <w:noWrap w:val="0"/>
            <w:vAlign w:val="center"/>
          </w:tcPr>
          <w:p>
            <w:pPr>
              <w:widowControl/>
              <w:jc w:val="center"/>
              <w:rPr>
                <w:kern w:val="0"/>
                <w:szCs w:val="21"/>
              </w:rPr>
            </w:pPr>
          </w:p>
        </w:tc>
        <w:tc>
          <w:tcPr>
            <w:tcW w:w="1599" w:type="dxa"/>
            <w:vMerge w:val="continue"/>
            <w:noWrap w:val="0"/>
            <w:vAlign w:val="center"/>
          </w:tcPr>
          <w:p>
            <w:pPr>
              <w:jc w:val="center"/>
              <w:rPr>
                <w:kern w:val="0"/>
                <w:szCs w:val="21"/>
              </w:rPr>
            </w:pPr>
          </w:p>
        </w:tc>
        <w:tc>
          <w:tcPr>
            <w:tcW w:w="1419" w:type="dxa"/>
            <w:tcBorders>
              <w:bottom w:val="single" w:color="auto" w:sz="4" w:space="0"/>
            </w:tcBorders>
            <w:noWrap w:val="0"/>
            <w:vAlign w:val="center"/>
          </w:tcPr>
          <w:p>
            <w:pPr>
              <w:jc w:val="center"/>
              <w:rPr>
                <w:kern w:val="0"/>
                <w:szCs w:val="21"/>
              </w:rPr>
            </w:pPr>
            <w:r>
              <w:rPr>
                <w:kern w:val="0"/>
                <w:szCs w:val="21"/>
              </w:rPr>
              <w:t>SS</w:t>
            </w:r>
          </w:p>
        </w:tc>
        <w:tc>
          <w:tcPr>
            <w:tcW w:w="2552" w:type="dxa"/>
            <w:tcBorders>
              <w:bottom w:val="single" w:color="auto" w:sz="4" w:space="0"/>
            </w:tcBorders>
            <w:noWrap w:val="0"/>
            <w:vAlign w:val="center"/>
          </w:tcPr>
          <w:p>
            <w:pPr>
              <w:jc w:val="center"/>
              <w:rPr>
                <w:szCs w:val="21"/>
              </w:rPr>
            </w:pPr>
            <w:r>
              <w:rPr>
                <w:rFonts w:hint="eastAsia"/>
                <w:kern w:val="0"/>
                <w:szCs w:val="21"/>
              </w:rPr>
              <w:t>400</w:t>
            </w:r>
            <w:r>
              <w:rPr>
                <w:kern w:val="0"/>
                <w:szCs w:val="21"/>
              </w:rPr>
              <w:t>mg/L</w:t>
            </w:r>
            <w:r>
              <w:rPr>
                <w:rFonts w:hAnsi="宋体"/>
                <w:kern w:val="0"/>
                <w:szCs w:val="21"/>
              </w:rPr>
              <w:t>；</w:t>
            </w:r>
            <w:r>
              <w:rPr>
                <w:kern w:val="0"/>
                <w:szCs w:val="21"/>
              </w:rPr>
              <w:t>38.54t/a</w:t>
            </w:r>
          </w:p>
        </w:tc>
        <w:tc>
          <w:tcPr>
            <w:tcW w:w="2797" w:type="dxa"/>
            <w:tcBorders>
              <w:top w:val="single" w:color="auto" w:sz="4" w:space="0"/>
              <w:bottom w:val="single" w:color="auto" w:sz="4" w:space="0"/>
            </w:tcBorders>
            <w:noWrap w:val="0"/>
            <w:vAlign w:val="center"/>
          </w:tcPr>
          <w:p>
            <w:pPr>
              <w:jc w:val="center"/>
              <w:rPr>
                <w:szCs w:val="21"/>
              </w:rPr>
            </w:pPr>
            <w:r>
              <w:rPr>
                <w:rFonts w:hint="eastAsia"/>
                <w:kern w:val="0"/>
                <w:szCs w:val="21"/>
              </w:rPr>
              <w:t>280</w:t>
            </w:r>
            <w:r>
              <w:rPr>
                <w:kern w:val="0"/>
                <w:szCs w:val="21"/>
              </w:rPr>
              <w:t>mg/L</w:t>
            </w:r>
            <w:r>
              <w:rPr>
                <w:rFonts w:hAnsi="宋体"/>
                <w:kern w:val="0"/>
                <w:szCs w:val="21"/>
              </w:rPr>
              <w:t>；</w:t>
            </w:r>
            <w:r>
              <w:rPr>
                <w:kern w:val="0"/>
                <w:szCs w:val="21"/>
              </w:rPr>
              <w:t>16.62t/a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35" w:hRule="atLeast"/>
          <w:jc w:val="center"/>
        </w:trPr>
        <w:tc>
          <w:tcPr>
            <w:tcW w:w="473" w:type="dxa"/>
            <w:vMerge w:val="continue"/>
            <w:noWrap w:val="0"/>
            <w:vAlign w:val="center"/>
          </w:tcPr>
          <w:p>
            <w:pPr>
              <w:widowControl/>
              <w:jc w:val="center"/>
              <w:rPr>
                <w:kern w:val="0"/>
                <w:szCs w:val="21"/>
              </w:rPr>
            </w:pPr>
          </w:p>
        </w:tc>
        <w:tc>
          <w:tcPr>
            <w:tcW w:w="446" w:type="dxa"/>
            <w:vMerge w:val="continue"/>
            <w:noWrap w:val="0"/>
            <w:vAlign w:val="center"/>
          </w:tcPr>
          <w:p>
            <w:pPr>
              <w:widowControl/>
              <w:jc w:val="center"/>
              <w:rPr>
                <w:kern w:val="0"/>
                <w:szCs w:val="21"/>
              </w:rPr>
            </w:pPr>
          </w:p>
        </w:tc>
        <w:tc>
          <w:tcPr>
            <w:tcW w:w="1599" w:type="dxa"/>
            <w:vMerge w:val="continue"/>
            <w:noWrap w:val="0"/>
            <w:vAlign w:val="center"/>
          </w:tcPr>
          <w:p>
            <w:pPr>
              <w:jc w:val="center"/>
              <w:rPr>
                <w:kern w:val="0"/>
                <w:szCs w:val="21"/>
              </w:rPr>
            </w:pPr>
          </w:p>
        </w:tc>
        <w:tc>
          <w:tcPr>
            <w:tcW w:w="1419" w:type="dxa"/>
            <w:tcBorders>
              <w:top w:val="single" w:color="auto" w:sz="4" w:space="0"/>
              <w:bottom w:val="single" w:color="auto" w:sz="4" w:space="0"/>
            </w:tcBorders>
            <w:noWrap w:val="0"/>
            <w:vAlign w:val="center"/>
          </w:tcPr>
          <w:p>
            <w:pPr>
              <w:jc w:val="center"/>
              <w:rPr>
                <w:szCs w:val="21"/>
              </w:rPr>
            </w:pPr>
            <w:r>
              <w:rPr>
                <w:rFonts w:hint="eastAsia"/>
                <w:szCs w:val="21"/>
              </w:rPr>
              <w:t>BOD</w:t>
            </w:r>
            <w:r>
              <w:rPr>
                <w:rFonts w:hint="eastAsia"/>
                <w:szCs w:val="21"/>
                <w:vertAlign w:val="subscript"/>
              </w:rPr>
              <w:t>5</w:t>
            </w:r>
          </w:p>
        </w:tc>
        <w:tc>
          <w:tcPr>
            <w:tcW w:w="2552" w:type="dxa"/>
            <w:tcBorders>
              <w:top w:val="single" w:color="auto" w:sz="4" w:space="0"/>
              <w:bottom w:val="single" w:color="auto" w:sz="4" w:space="0"/>
            </w:tcBorders>
            <w:noWrap w:val="0"/>
            <w:vAlign w:val="center"/>
          </w:tcPr>
          <w:p>
            <w:pPr>
              <w:jc w:val="center"/>
              <w:rPr>
                <w:szCs w:val="21"/>
              </w:rPr>
            </w:pPr>
            <w:r>
              <w:rPr>
                <w:rFonts w:hint="eastAsia"/>
                <w:szCs w:val="21"/>
              </w:rPr>
              <w:t>350mg/L，</w:t>
            </w:r>
            <w:r>
              <w:rPr>
                <w:szCs w:val="21"/>
              </w:rPr>
              <w:t>33.72</w:t>
            </w:r>
            <w:r>
              <w:rPr>
                <w:rFonts w:hint="eastAsia"/>
                <w:szCs w:val="21"/>
              </w:rPr>
              <w:t>t/a</w:t>
            </w:r>
          </w:p>
        </w:tc>
        <w:tc>
          <w:tcPr>
            <w:tcW w:w="2797" w:type="dxa"/>
            <w:tcBorders>
              <w:top w:val="single" w:color="auto" w:sz="4" w:space="0"/>
              <w:bottom w:val="single" w:color="auto" w:sz="4" w:space="0"/>
            </w:tcBorders>
            <w:noWrap w:val="0"/>
            <w:vAlign w:val="center"/>
          </w:tcPr>
          <w:p>
            <w:pPr>
              <w:jc w:val="center"/>
              <w:rPr>
                <w:szCs w:val="21"/>
              </w:rPr>
            </w:pPr>
            <w:r>
              <w:rPr>
                <w:rFonts w:hint="eastAsia"/>
                <w:szCs w:val="21"/>
              </w:rPr>
              <w:t>294mg/L，</w:t>
            </w:r>
            <w:r>
              <w:rPr>
                <w:szCs w:val="21"/>
              </w:rPr>
              <w:t>17.45</w:t>
            </w:r>
            <w:r>
              <w:rPr>
                <w:rFonts w:hint="eastAsia"/>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18" w:hRule="atLeast"/>
          <w:jc w:val="center"/>
        </w:trPr>
        <w:tc>
          <w:tcPr>
            <w:tcW w:w="473" w:type="dxa"/>
            <w:vMerge w:val="continue"/>
            <w:noWrap w:val="0"/>
            <w:vAlign w:val="center"/>
          </w:tcPr>
          <w:p>
            <w:pPr>
              <w:widowControl/>
              <w:jc w:val="center"/>
              <w:rPr>
                <w:kern w:val="0"/>
                <w:szCs w:val="21"/>
              </w:rPr>
            </w:pPr>
          </w:p>
        </w:tc>
        <w:tc>
          <w:tcPr>
            <w:tcW w:w="446" w:type="dxa"/>
            <w:vMerge w:val="continue"/>
            <w:noWrap w:val="0"/>
            <w:vAlign w:val="center"/>
          </w:tcPr>
          <w:p>
            <w:pPr>
              <w:widowControl/>
              <w:jc w:val="center"/>
              <w:rPr>
                <w:kern w:val="0"/>
                <w:szCs w:val="21"/>
              </w:rPr>
            </w:pPr>
          </w:p>
        </w:tc>
        <w:tc>
          <w:tcPr>
            <w:tcW w:w="1599" w:type="dxa"/>
            <w:vMerge w:val="continue"/>
            <w:noWrap w:val="0"/>
            <w:vAlign w:val="center"/>
          </w:tcPr>
          <w:p>
            <w:pPr>
              <w:jc w:val="center"/>
              <w:rPr>
                <w:kern w:val="0"/>
                <w:szCs w:val="21"/>
              </w:rPr>
            </w:pPr>
          </w:p>
        </w:tc>
        <w:tc>
          <w:tcPr>
            <w:tcW w:w="1419" w:type="dxa"/>
            <w:tcBorders>
              <w:top w:val="single" w:color="auto" w:sz="4" w:space="0"/>
            </w:tcBorders>
            <w:noWrap w:val="0"/>
            <w:vAlign w:val="center"/>
          </w:tcPr>
          <w:p>
            <w:pPr>
              <w:jc w:val="center"/>
              <w:rPr>
                <w:szCs w:val="21"/>
              </w:rPr>
            </w:pPr>
            <w:r>
              <w:rPr>
                <w:rFonts w:hint="eastAsia"/>
                <w:szCs w:val="21"/>
              </w:rPr>
              <w:t>动植物油</w:t>
            </w:r>
          </w:p>
        </w:tc>
        <w:tc>
          <w:tcPr>
            <w:tcW w:w="2552" w:type="dxa"/>
            <w:tcBorders>
              <w:top w:val="single" w:color="auto" w:sz="4" w:space="0"/>
            </w:tcBorders>
            <w:noWrap w:val="0"/>
            <w:vAlign w:val="center"/>
          </w:tcPr>
          <w:p>
            <w:pPr>
              <w:jc w:val="center"/>
              <w:rPr>
                <w:szCs w:val="21"/>
              </w:rPr>
            </w:pPr>
            <w:r>
              <w:rPr>
                <w:rFonts w:hint="eastAsia"/>
                <w:szCs w:val="21"/>
              </w:rPr>
              <w:t>30mg/L，</w:t>
            </w:r>
            <w:r>
              <w:rPr>
                <w:szCs w:val="21"/>
              </w:rPr>
              <w:t>2.89</w:t>
            </w:r>
            <w:r>
              <w:rPr>
                <w:rFonts w:hint="eastAsia"/>
                <w:szCs w:val="21"/>
              </w:rPr>
              <w:t>t/a</w:t>
            </w:r>
          </w:p>
        </w:tc>
        <w:tc>
          <w:tcPr>
            <w:tcW w:w="2797" w:type="dxa"/>
            <w:tcBorders>
              <w:top w:val="single" w:color="auto" w:sz="4" w:space="0"/>
            </w:tcBorders>
            <w:noWrap w:val="0"/>
            <w:vAlign w:val="center"/>
          </w:tcPr>
          <w:p>
            <w:pPr>
              <w:jc w:val="center"/>
              <w:rPr>
                <w:szCs w:val="21"/>
              </w:rPr>
            </w:pPr>
            <w:r>
              <w:rPr>
                <w:rFonts w:hint="eastAsia"/>
                <w:kern w:val="0"/>
                <w:szCs w:val="21"/>
              </w:rPr>
              <w:t>29</w:t>
            </w:r>
            <w:r>
              <w:rPr>
                <w:kern w:val="0"/>
                <w:szCs w:val="21"/>
              </w:rPr>
              <w:t>mg/L</w:t>
            </w:r>
            <w:r>
              <w:rPr>
                <w:rFonts w:hAnsi="宋体"/>
                <w:kern w:val="0"/>
                <w:szCs w:val="21"/>
              </w:rPr>
              <w:t>；</w:t>
            </w:r>
            <w:r>
              <w:rPr>
                <w:kern w:val="0"/>
                <w:szCs w:val="21"/>
              </w:rPr>
              <w:t>1.72t/a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restart"/>
            <w:noWrap w:val="0"/>
            <w:vAlign w:val="center"/>
          </w:tcPr>
          <w:p>
            <w:pPr>
              <w:jc w:val="center"/>
              <w:rPr>
                <w:kern w:val="0"/>
                <w:szCs w:val="21"/>
              </w:rPr>
            </w:pPr>
            <w:r>
              <w:rPr>
                <w:rFonts w:hAnsi="宋体"/>
                <w:kern w:val="0"/>
                <w:szCs w:val="21"/>
              </w:rPr>
              <w:t>固体废物</w:t>
            </w:r>
          </w:p>
        </w:tc>
        <w:tc>
          <w:tcPr>
            <w:tcW w:w="446" w:type="dxa"/>
            <w:vMerge w:val="restart"/>
            <w:noWrap w:val="0"/>
            <w:vAlign w:val="center"/>
          </w:tcPr>
          <w:p>
            <w:pPr>
              <w:widowControl/>
              <w:jc w:val="center"/>
              <w:rPr>
                <w:kern w:val="0"/>
                <w:szCs w:val="21"/>
              </w:rPr>
            </w:pPr>
            <w:r>
              <w:rPr>
                <w:rFonts w:hAnsi="宋体"/>
                <w:kern w:val="0"/>
                <w:szCs w:val="21"/>
              </w:rPr>
              <w:t>施工期</w:t>
            </w:r>
          </w:p>
        </w:tc>
        <w:tc>
          <w:tcPr>
            <w:tcW w:w="1599" w:type="dxa"/>
            <w:vMerge w:val="restart"/>
            <w:noWrap w:val="0"/>
            <w:vAlign w:val="center"/>
          </w:tcPr>
          <w:p>
            <w:pPr>
              <w:jc w:val="center"/>
              <w:rPr>
                <w:kern w:val="0"/>
                <w:szCs w:val="21"/>
              </w:rPr>
            </w:pPr>
            <w:r>
              <w:rPr>
                <w:rFonts w:hAnsi="宋体"/>
                <w:kern w:val="0"/>
                <w:szCs w:val="21"/>
              </w:rPr>
              <w:t>工地</w:t>
            </w:r>
          </w:p>
        </w:tc>
        <w:tc>
          <w:tcPr>
            <w:tcW w:w="1419" w:type="dxa"/>
            <w:noWrap w:val="0"/>
            <w:vAlign w:val="center"/>
          </w:tcPr>
          <w:p>
            <w:pPr>
              <w:jc w:val="center"/>
              <w:rPr>
                <w:rFonts w:hAnsi="宋体"/>
                <w:szCs w:val="21"/>
              </w:rPr>
            </w:pPr>
            <w:r>
              <w:rPr>
                <w:rFonts w:hint="eastAsia" w:hAnsi="宋体"/>
                <w:szCs w:val="21"/>
              </w:rPr>
              <w:t>开挖土石方</w:t>
            </w:r>
          </w:p>
        </w:tc>
        <w:tc>
          <w:tcPr>
            <w:tcW w:w="2552" w:type="dxa"/>
            <w:noWrap w:val="0"/>
            <w:vAlign w:val="center"/>
          </w:tcPr>
          <w:p>
            <w:pPr>
              <w:jc w:val="center"/>
              <w:rPr>
                <w:rFonts w:hAnsi="宋体"/>
                <w:szCs w:val="21"/>
              </w:rPr>
            </w:pPr>
            <w:r>
              <w:rPr>
                <w:rFonts w:hAnsi="宋体"/>
                <w:szCs w:val="21"/>
              </w:rPr>
              <w:t>207375.87</w:t>
            </w:r>
            <w:r>
              <w:rPr>
                <w:rFonts w:hint="eastAsia" w:hAnsi="宋体"/>
                <w:szCs w:val="21"/>
              </w:rPr>
              <w:t xml:space="preserve"> m</w:t>
            </w:r>
            <w:r>
              <w:rPr>
                <w:rFonts w:hint="eastAsia" w:hAnsi="宋体"/>
                <w:szCs w:val="21"/>
                <w:vertAlign w:val="superscript"/>
              </w:rPr>
              <w:t>3</w:t>
            </w:r>
            <w:r>
              <w:rPr>
                <w:rFonts w:hAnsi="宋体"/>
                <w:szCs w:val="21"/>
              </w:rPr>
              <w:t xml:space="preserve"> </w:t>
            </w:r>
          </w:p>
        </w:tc>
        <w:tc>
          <w:tcPr>
            <w:tcW w:w="2797" w:type="dxa"/>
            <w:noWrap w:val="0"/>
            <w:vAlign w:val="center"/>
          </w:tcPr>
          <w:p>
            <w:pPr>
              <w:autoSpaceDE w:val="0"/>
              <w:autoSpaceDN w:val="0"/>
              <w:adjustRightInd w:val="0"/>
              <w:jc w:val="center"/>
              <w:rPr>
                <w:rFonts w:hAnsi="宋体"/>
                <w:szCs w:val="21"/>
              </w:rPr>
            </w:pPr>
            <w:r>
              <w:rPr>
                <w:rFonts w:hint="eastAsia"/>
                <w:sz w:val="24"/>
                <w:szCs w:val="28"/>
              </w:rPr>
              <w:t>运至指定堆放点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jc w:val="center"/>
              <w:rPr>
                <w:rFonts w:hAnsi="宋体"/>
                <w:kern w:val="0"/>
                <w:szCs w:val="21"/>
              </w:rPr>
            </w:pPr>
          </w:p>
        </w:tc>
        <w:tc>
          <w:tcPr>
            <w:tcW w:w="446" w:type="dxa"/>
            <w:vMerge w:val="continue"/>
            <w:noWrap w:val="0"/>
            <w:vAlign w:val="center"/>
          </w:tcPr>
          <w:p>
            <w:pPr>
              <w:widowControl/>
              <w:jc w:val="center"/>
              <w:rPr>
                <w:rFonts w:hAnsi="宋体"/>
                <w:kern w:val="0"/>
                <w:szCs w:val="21"/>
              </w:rPr>
            </w:pPr>
          </w:p>
        </w:tc>
        <w:tc>
          <w:tcPr>
            <w:tcW w:w="1599" w:type="dxa"/>
            <w:vMerge w:val="continue"/>
            <w:noWrap w:val="0"/>
            <w:vAlign w:val="center"/>
          </w:tcPr>
          <w:p>
            <w:pPr>
              <w:jc w:val="center"/>
              <w:rPr>
                <w:rFonts w:hAnsi="宋体"/>
                <w:kern w:val="0"/>
                <w:szCs w:val="21"/>
              </w:rPr>
            </w:pPr>
          </w:p>
        </w:tc>
        <w:tc>
          <w:tcPr>
            <w:tcW w:w="1419" w:type="dxa"/>
            <w:noWrap w:val="0"/>
            <w:vAlign w:val="center"/>
          </w:tcPr>
          <w:p>
            <w:pPr>
              <w:jc w:val="center"/>
              <w:rPr>
                <w:kern w:val="0"/>
                <w:szCs w:val="21"/>
              </w:rPr>
            </w:pPr>
            <w:r>
              <w:rPr>
                <w:rFonts w:hAnsi="宋体"/>
                <w:kern w:val="0"/>
                <w:szCs w:val="21"/>
              </w:rPr>
              <w:t>建筑垃圾</w:t>
            </w:r>
          </w:p>
        </w:tc>
        <w:tc>
          <w:tcPr>
            <w:tcW w:w="2552" w:type="dxa"/>
            <w:noWrap w:val="0"/>
            <w:vAlign w:val="center"/>
          </w:tcPr>
          <w:p>
            <w:pPr>
              <w:jc w:val="center"/>
              <w:rPr>
                <w:kern w:val="0"/>
                <w:szCs w:val="21"/>
              </w:rPr>
            </w:pPr>
            <w:r>
              <w:rPr>
                <w:sz w:val="24"/>
              </w:rPr>
              <w:t>100.22</w:t>
            </w:r>
            <w:r>
              <w:rPr>
                <w:rFonts w:hint="eastAsia"/>
                <w:sz w:val="24"/>
              </w:rPr>
              <w:t>t</w:t>
            </w:r>
          </w:p>
        </w:tc>
        <w:tc>
          <w:tcPr>
            <w:tcW w:w="2797" w:type="dxa"/>
            <w:noWrap w:val="0"/>
            <w:vAlign w:val="center"/>
          </w:tcPr>
          <w:p>
            <w:pPr>
              <w:autoSpaceDE w:val="0"/>
              <w:autoSpaceDN w:val="0"/>
              <w:adjustRightInd w:val="0"/>
              <w:jc w:val="center"/>
              <w:rPr>
                <w:rFonts w:ascii="宋体" w:cs="宋体"/>
                <w:kern w:val="0"/>
                <w:sz w:val="24"/>
              </w:rPr>
            </w:pPr>
            <w:r>
              <w:rPr>
                <w:rFonts w:hint="eastAsia"/>
                <w:sz w:val="24"/>
                <w:szCs w:val="28"/>
              </w:rPr>
              <w:t>运至指定堆放点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jc w:val="center"/>
              <w:rPr>
                <w:kern w:val="0"/>
                <w:szCs w:val="21"/>
              </w:rPr>
            </w:pPr>
          </w:p>
        </w:tc>
        <w:tc>
          <w:tcPr>
            <w:tcW w:w="446" w:type="dxa"/>
            <w:vMerge w:val="continue"/>
            <w:noWrap w:val="0"/>
            <w:vAlign w:val="center"/>
          </w:tcPr>
          <w:p>
            <w:pPr>
              <w:widowControl/>
              <w:jc w:val="center"/>
              <w:rPr>
                <w:kern w:val="0"/>
                <w:szCs w:val="21"/>
              </w:rPr>
            </w:pPr>
          </w:p>
        </w:tc>
        <w:tc>
          <w:tcPr>
            <w:tcW w:w="1599" w:type="dxa"/>
            <w:vMerge w:val="continue"/>
            <w:noWrap w:val="0"/>
            <w:vAlign w:val="center"/>
          </w:tcPr>
          <w:p>
            <w:pPr>
              <w:jc w:val="center"/>
              <w:rPr>
                <w:kern w:val="0"/>
                <w:szCs w:val="21"/>
              </w:rPr>
            </w:pPr>
          </w:p>
        </w:tc>
        <w:tc>
          <w:tcPr>
            <w:tcW w:w="1419" w:type="dxa"/>
            <w:noWrap w:val="0"/>
            <w:vAlign w:val="center"/>
          </w:tcPr>
          <w:p>
            <w:pPr>
              <w:jc w:val="center"/>
              <w:rPr>
                <w:kern w:val="0"/>
                <w:szCs w:val="21"/>
              </w:rPr>
            </w:pPr>
            <w:r>
              <w:rPr>
                <w:rFonts w:hAnsi="宋体"/>
                <w:kern w:val="0"/>
                <w:szCs w:val="21"/>
              </w:rPr>
              <w:t>生活垃圾</w:t>
            </w:r>
          </w:p>
        </w:tc>
        <w:tc>
          <w:tcPr>
            <w:tcW w:w="2552" w:type="dxa"/>
            <w:tcBorders>
              <w:bottom w:val="single" w:color="auto" w:sz="4" w:space="0"/>
            </w:tcBorders>
            <w:noWrap w:val="0"/>
            <w:vAlign w:val="center"/>
          </w:tcPr>
          <w:p>
            <w:pPr>
              <w:jc w:val="center"/>
              <w:rPr>
                <w:kern w:val="0"/>
                <w:szCs w:val="21"/>
              </w:rPr>
            </w:pPr>
            <w:r>
              <w:rPr>
                <w:kern w:val="0"/>
                <w:szCs w:val="21"/>
              </w:rPr>
              <w:t>3.0</w:t>
            </w:r>
            <w:r>
              <w:rPr>
                <w:rFonts w:hint="eastAsia" w:hAnsi="宋体"/>
                <w:kern w:val="0"/>
                <w:szCs w:val="21"/>
              </w:rPr>
              <w:t>kg/d</w:t>
            </w:r>
          </w:p>
        </w:tc>
        <w:tc>
          <w:tcPr>
            <w:tcW w:w="2797" w:type="dxa"/>
            <w:tcBorders>
              <w:bottom w:val="single" w:color="auto" w:sz="4" w:space="0"/>
            </w:tcBorders>
            <w:noWrap w:val="0"/>
            <w:vAlign w:val="center"/>
          </w:tcPr>
          <w:p>
            <w:pPr>
              <w:jc w:val="center"/>
              <w:rPr>
                <w:szCs w:val="21"/>
              </w:rPr>
            </w:pPr>
            <w:r>
              <w:rPr>
                <w:rFonts w:hint="eastAsia"/>
                <w:szCs w:val="21"/>
              </w:rPr>
              <w:t>集中收集后，统一清运处理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widowControl/>
              <w:jc w:val="center"/>
              <w:rPr>
                <w:kern w:val="0"/>
                <w:szCs w:val="21"/>
              </w:rPr>
            </w:pPr>
          </w:p>
        </w:tc>
        <w:tc>
          <w:tcPr>
            <w:tcW w:w="446" w:type="dxa"/>
            <w:vMerge w:val="restart"/>
            <w:noWrap w:val="0"/>
            <w:vAlign w:val="center"/>
          </w:tcPr>
          <w:p>
            <w:pPr>
              <w:widowControl/>
              <w:jc w:val="center"/>
              <w:rPr>
                <w:kern w:val="0"/>
                <w:szCs w:val="21"/>
              </w:rPr>
            </w:pPr>
            <w:r>
              <w:rPr>
                <w:rFonts w:hAnsi="宋体"/>
                <w:kern w:val="0"/>
                <w:szCs w:val="21"/>
              </w:rPr>
              <w:t>营运期</w:t>
            </w:r>
          </w:p>
        </w:tc>
        <w:tc>
          <w:tcPr>
            <w:tcW w:w="1599" w:type="dxa"/>
            <w:noWrap w:val="0"/>
            <w:vAlign w:val="center"/>
          </w:tcPr>
          <w:p>
            <w:pPr>
              <w:jc w:val="center"/>
              <w:rPr>
                <w:rFonts w:hAnsi="宋体"/>
                <w:szCs w:val="21"/>
              </w:rPr>
            </w:pPr>
            <w:r>
              <w:rPr>
                <w:rFonts w:hint="eastAsia" w:hAnsi="宋体"/>
                <w:szCs w:val="21"/>
              </w:rPr>
              <w:t>生活区</w:t>
            </w:r>
          </w:p>
        </w:tc>
        <w:tc>
          <w:tcPr>
            <w:tcW w:w="1419" w:type="dxa"/>
            <w:noWrap w:val="0"/>
            <w:vAlign w:val="center"/>
          </w:tcPr>
          <w:p>
            <w:pPr>
              <w:jc w:val="center"/>
              <w:rPr>
                <w:szCs w:val="21"/>
              </w:rPr>
            </w:pPr>
            <w:r>
              <w:rPr>
                <w:rFonts w:hAnsi="宋体"/>
                <w:szCs w:val="21"/>
              </w:rPr>
              <w:t>生活垃圾</w:t>
            </w:r>
          </w:p>
        </w:tc>
        <w:tc>
          <w:tcPr>
            <w:tcW w:w="2552" w:type="dxa"/>
            <w:noWrap w:val="0"/>
            <w:vAlign w:val="center"/>
          </w:tcPr>
          <w:p>
            <w:pPr>
              <w:jc w:val="center"/>
              <w:rPr>
                <w:szCs w:val="21"/>
              </w:rPr>
            </w:pPr>
            <w:r>
              <w:rPr>
                <w:rFonts w:eastAsia="新宋体"/>
                <w:sz w:val="24"/>
              </w:rPr>
              <w:t>144.9t/a</w:t>
            </w:r>
          </w:p>
        </w:tc>
        <w:tc>
          <w:tcPr>
            <w:tcW w:w="2797" w:type="dxa"/>
            <w:vMerge w:val="restart"/>
            <w:tcBorders>
              <w:top w:val="single" w:color="auto" w:sz="4" w:space="0"/>
            </w:tcBorders>
            <w:noWrap w:val="0"/>
            <w:vAlign w:val="center"/>
          </w:tcPr>
          <w:p>
            <w:pPr>
              <w:jc w:val="center"/>
              <w:rPr>
                <w:szCs w:val="21"/>
              </w:rPr>
            </w:pPr>
            <w:r>
              <w:rPr>
                <w:szCs w:val="21"/>
              </w:rPr>
              <w:t>委托</w:t>
            </w:r>
            <w:r>
              <w:rPr>
                <w:rFonts w:hint="eastAsia"/>
                <w:szCs w:val="21"/>
              </w:rPr>
              <w:t>环卫部门</w:t>
            </w:r>
            <w:r>
              <w:rPr>
                <w:szCs w:val="21"/>
              </w:rPr>
              <w:t>清运处理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96" w:hRule="atLeast"/>
          <w:jc w:val="center"/>
        </w:trPr>
        <w:tc>
          <w:tcPr>
            <w:tcW w:w="473" w:type="dxa"/>
            <w:vMerge w:val="continue"/>
            <w:noWrap w:val="0"/>
            <w:vAlign w:val="center"/>
          </w:tcPr>
          <w:p>
            <w:pPr>
              <w:widowControl/>
              <w:jc w:val="center"/>
              <w:rPr>
                <w:kern w:val="0"/>
                <w:szCs w:val="21"/>
              </w:rPr>
            </w:pPr>
          </w:p>
        </w:tc>
        <w:tc>
          <w:tcPr>
            <w:tcW w:w="446" w:type="dxa"/>
            <w:vMerge w:val="continue"/>
            <w:noWrap w:val="0"/>
            <w:vAlign w:val="center"/>
          </w:tcPr>
          <w:p>
            <w:pPr>
              <w:widowControl/>
              <w:jc w:val="center"/>
              <w:rPr>
                <w:rFonts w:hAnsi="宋体"/>
                <w:kern w:val="0"/>
                <w:szCs w:val="21"/>
              </w:rPr>
            </w:pPr>
          </w:p>
        </w:tc>
        <w:tc>
          <w:tcPr>
            <w:tcW w:w="1599" w:type="dxa"/>
            <w:noWrap w:val="0"/>
            <w:vAlign w:val="center"/>
          </w:tcPr>
          <w:p>
            <w:pPr>
              <w:jc w:val="center"/>
              <w:rPr>
                <w:rFonts w:hAnsi="宋体"/>
                <w:szCs w:val="21"/>
              </w:rPr>
            </w:pPr>
            <w:r>
              <w:rPr>
                <w:rFonts w:hint="eastAsia" w:hAnsi="宋体"/>
                <w:szCs w:val="21"/>
              </w:rPr>
              <w:t>商铺</w:t>
            </w:r>
          </w:p>
        </w:tc>
        <w:tc>
          <w:tcPr>
            <w:tcW w:w="1419" w:type="dxa"/>
            <w:noWrap w:val="0"/>
            <w:vAlign w:val="center"/>
          </w:tcPr>
          <w:p>
            <w:pPr>
              <w:jc w:val="center"/>
              <w:rPr>
                <w:rFonts w:hAnsi="宋体"/>
                <w:szCs w:val="21"/>
              </w:rPr>
            </w:pPr>
            <w:r>
              <w:rPr>
                <w:rFonts w:hint="eastAsia" w:hAnsi="宋体"/>
                <w:szCs w:val="21"/>
              </w:rPr>
              <w:t>商业垃圾</w:t>
            </w:r>
          </w:p>
        </w:tc>
        <w:tc>
          <w:tcPr>
            <w:tcW w:w="2552" w:type="dxa"/>
            <w:noWrap w:val="0"/>
            <w:vAlign w:val="center"/>
          </w:tcPr>
          <w:p>
            <w:pPr>
              <w:jc w:val="center"/>
              <w:rPr>
                <w:rFonts w:hint="eastAsia"/>
                <w:szCs w:val="21"/>
              </w:rPr>
            </w:pPr>
            <w:r>
              <w:rPr>
                <w:sz w:val="24"/>
              </w:rPr>
              <w:t>1298.54t/a</w:t>
            </w:r>
          </w:p>
        </w:tc>
        <w:tc>
          <w:tcPr>
            <w:tcW w:w="2797" w:type="dxa"/>
            <w:vMerge w:val="continue"/>
            <w:noWrap w:val="0"/>
            <w:vAlign w:val="center"/>
          </w:tcPr>
          <w:p>
            <w:pPr>
              <w:jc w:val="cente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tcBorders>
              <w:bottom w:val="single" w:color="auto" w:sz="4" w:space="0"/>
            </w:tcBorders>
            <w:noWrap w:val="0"/>
            <w:vAlign w:val="center"/>
          </w:tcPr>
          <w:p>
            <w:pPr>
              <w:widowControl/>
              <w:jc w:val="center"/>
              <w:rPr>
                <w:kern w:val="0"/>
                <w:szCs w:val="21"/>
              </w:rPr>
            </w:pPr>
          </w:p>
        </w:tc>
        <w:tc>
          <w:tcPr>
            <w:tcW w:w="446" w:type="dxa"/>
            <w:vMerge w:val="continue"/>
            <w:noWrap w:val="0"/>
            <w:vAlign w:val="center"/>
          </w:tcPr>
          <w:p>
            <w:pPr>
              <w:widowControl/>
              <w:jc w:val="center"/>
              <w:rPr>
                <w:kern w:val="0"/>
                <w:szCs w:val="21"/>
              </w:rPr>
            </w:pPr>
          </w:p>
        </w:tc>
        <w:tc>
          <w:tcPr>
            <w:tcW w:w="1599" w:type="dxa"/>
            <w:noWrap w:val="0"/>
            <w:vAlign w:val="center"/>
          </w:tcPr>
          <w:p>
            <w:pPr>
              <w:jc w:val="center"/>
              <w:rPr>
                <w:rFonts w:hint="eastAsia" w:hAnsi="宋体"/>
                <w:szCs w:val="21"/>
              </w:rPr>
            </w:pPr>
            <w:r>
              <w:rPr>
                <w:rFonts w:hint="eastAsia" w:hAnsi="宋体"/>
                <w:szCs w:val="21"/>
              </w:rPr>
              <w:t>化粪池</w:t>
            </w:r>
          </w:p>
        </w:tc>
        <w:tc>
          <w:tcPr>
            <w:tcW w:w="1419" w:type="dxa"/>
            <w:noWrap w:val="0"/>
            <w:vAlign w:val="center"/>
          </w:tcPr>
          <w:p>
            <w:pPr>
              <w:jc w:val="center"/>
              <w:rPr>
                <w:rFonts w:hint="eastAsia" w:hAnsi="宋体"/>
                <w:szCs w:val="21"/>
              </w:rPr>
            </w:pPr>
            <w:r>
              <w:rPr>
                <w:rFonts w:hint="eastAsia" w:hAnsi="宋体"/>
                <w:szCs w:val="21"/>
              </w:rPr>
              <w:t>污泥</w:t>
            </w:r>
          </w:p>
        </w:tc>
        <w:tc>
          <w:tcPr>
            <w:tcW w:w="2552" w:type="dxa"/>
            <w:noWrap w:val="0"/>
            <w:vAlign w:val="center"/>
          </w:tcPr>
          <w:p>
            <w:pPr>
              <w:spacing w:before="156" w:beforeLines="50"/>
              <w:jc w:val="center"/>
              <w:rPr>
                <w:rFonts w:hint="eastAsia"/>
                <w:szCs w:val="21"/>
              </w:rPr>
            </w:pPr>
            <w:r>
              <w:rPr>
                <w:sz w:val="24"/>
              </w:rPr>
              <w:t>8</w:t>
            </w:r>
            <w:r>
              <w:rPr>
                <w:rFonts w:hint="eastAsia"/>
                <w:sz w:val="24"/>
              </w:rPr>
              <w:t>t</w:t>
            </w:r>
            <w:r>
              <w:rPr>
                <w:sz w:val="24"/>
              </w:rPr>
              <w:t>/a</w:t>
            </w:r>
          </w:p>
        </w:tc>
        <w:tc>
          <w:tcPr>
            <w:tcW w:w="2797" w:type="dxa"/>
            <w:tcBorders>
              <w:top w:val="single" w:color="auto" w:sz="4" w:space="0"/>
            </w:tcBorders>
            <w:noWrap w:val="0"/>
            <w:vAlign w:val="center"/>
          </w:tcPr>
          <w:p>
            <w:pPr>
              <w:jc w:val="center"/>
              <w:rPr>
                <w:rFonts w:hint="eastAsia"/>
                <w:szCs w:val="21"/>
              </w:rPr>
            </w:pPr>
            <w:r>
              <w:rPr>
                <w:szCs w:val="21"/>
              </w:rPr>
              <w:t>交由有处理资质的单位进行处理。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restart"/>
            <w:tcBorders>
              <w:top w:val="single" w:color="auto" w:sz="4" w:space="0"/>
            </w:tcBorders>
            <w:noWrap w:val="0"/>
            <w:vAlign w:val="center"/>
          </w:tcPr>
          <w:p>
            <w:pPr>
              <w:rPr>
                <w:kern w:val="0"/>
                <w:szCs w:val="21"/>
              </w:rPr>
            </w:pPr>
            <w:r>
              <w:rPr>
                <w:rFonts w:hAnsi="宋体"/>
                <w:kern w:val="0"/>
                <w:szCs w:val="21"/>
              </w:rPr>
              <w:t>噪声</w:t>
            </w:r>
          </w:p>
        </w:tc>
        <w:tc>
          <w:tcPr>
            <w:tcW w:w="2045" w:type="dxa"/>
            <w:gridSpan w:val="2"/>
            <w:noWrap w:val="0"/>
            <w:vAlign w:val="center"/>
          </w:tcPr>
          <w:p>
            <w:pPr>
              <w:jc w:val="center"/>
              <w:rPr>
                <w:szCs w:val="21"/>
              </w:rPr>
            </w:pPr>
            <w:r>
              <w:rPr>
                <w:rFonts w:hint="eastAsia" w:hAnsi="宋体"/>
                <w:szCs w:val="21"/>
              </w:rPr>
              <w:t>施工期</w:t>
            </w:r>
          </w:p>
        </w:tc>
        <w:tc>
          <w:tcPr>
            <w:tcW w:w="1419" w:type="dxa"/>
            <w:noWrap w:val="0"/>
            <w:vAlign w:val="center"/>
          </w:tcPr>
          <w:p>
            <w:pPr>
              <w:jc w:val="center"/>
              <w:rPr>
                <w:szCs w:val="21"/>
              </w:rPr>
            </w:pPr>
            <w:r>
              <w:rPr>
                <w:rFonts w:hint="eastAsia" w:hAnsi="宋体"/>
                <w:szCs w:val="21"/>
              </w:rPr>
              <w:t>机械噪声</w:t>
            </w:r>
          </w:p>
        </w:tc>
        <w:tc>
          <w:tcPr>
            <w:tcW w:w="2552" w:type="dxa"/>
            <w:noWrap w:val="0"/>
            <w:vAlign w:val="center"/>
          </w:tcPr>
          <w:p>
            <w:pPr>
              <w:jc w:val="center"/>
              <w:rPr>
                <w:szCs w:val="21"/>
              </w:rPr>
            </w:pPr>
            <w:r>
              <w:rPr>
                <w:rFonts w:hint="eastAsia"/>
                <w:sz w:val="24"/>
              </w:rPr>
              <w:t>84</w:t>
            </w:r>
            <w:r>
              <w:rPr>
                <w:rFonts w:hAnsi="宋体"/>
                <w:sz w:val="24"/>
              </w:rPr>
              <w:t>～</w:t>
            </w:r>
            <w:r>
              <w:rPr>
                <w:rFonts w:hint="eastAsia"/>
                <w:sz w:val="24"/>
              </w:rPr>
              <w:t>104</w:t>
            </w:r>
            <w:r>
              <w:rPr>
                <w:sz w:val="24"/>
              </w:rPr>
              <w:t>dB</w:t>
            </w:r>
            <w:r>
              <w:rPr>
                <w:rFonts w:hAnsi="宋体"/>
                <w:sz w:val="24"/>
              </w:rPr>
              <w:t>（</w:t>
            </w:r>
            <w:r>
              <w:rPr>
                <w:sz w:val="24"/>
              </w:rPr>
              <w:t>A</w:t>
            </w:r>
            <w:r>
              <w:rPr>
                <w:rFonts w:hAnsi="宋体"/>
                <w:sz w:val="24"/>
              </w:rPr>
              <w:t>）</w:t>
            </w:r>
          </w:p>
        </w:tc>
        <w:tc>
          <w:tcPr>
            <w:tcW w:w="2797" w:type="dxa"/>
            <w:noWrap w:val="0"/>
            <w:vAlign w:val="center"/>
          </w:tcPr>
          <w:p>
            <w:pPr>
              <w:adjustRightInd w:val="0"/>
              <w:spacing w:before="20" w:after="20"/>
              <w:jc w:val="center"/>
              <w:rPr>
                <w:rFonts w:hAnsi="宋体"/>
                <w:szCs w:val="21"/>
              </w:rPr>
            </w:pPr>
            <w:r>
              <w:rPr>
                <w:rFonts w:hAnsi="宋体"/>
                <w:szCs w:val="21"/>
              </w:rPr>
              <w:t>昼间</w:t>
            </w:r>
            <w:r>
              <w:rPr>
                <w:szCs w:val="21"/>
              </w:rPr>
              <w:t>≤</w:t>
            </w:r>
            <w:r>
              <w:rPr>
                <w:rFonts w:hint="eastAsia"/>
                <w:szCs w:val="21"/>
              </w:rPr>
              <w:t>70</w:t>
            </w:r>
            <w:r>
              <w:rPr>
                <w:szCs w:val="21"/>
              </w:rPr>
              <w:t>dB(A)</w:t>
            </w:r>
            <w:r>
              <w:rPr>
                <w:rFonts w:hAnsi="宋体"/>
                <w:szCs w:val="21"/>
              </w:rPr>
              <w:t>，</w:t>
            </w:r>
          </w:p>
          <w:p>
            <w:pPr>
              <w:adjustRightInd w:val="0"/>
              <w:spacing w:before="20" w:after="20"/>
              <w:ind w:firstLine="525" w:firstLineChars="250"/>
              <w:rPr>
                <w:szCs w:val="21"/>
              </w:rPr>
            </w:pPr>
            <w:r>
              <w:rPr>
                <w:rFonts w:hAnsi="宋体"/>
                <w:szCs w:val="21"/>
              </w:rPr>
              <w:t>夜间</w:t>
            </w:r>
            <w:r>
              <w:rPr>
                <w:szCs w:val="21"/>
              </w:rPr>
              <w:t>≤55dB(A)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noWrap w:val="0"/>
            <w:vAlign w:val="center"/>
          </w:tcPr>
          <w:p>
            <w:pPr>
              <w:jc w:val="center"/>
              <w:rPr>
                <w:rFonts w:hint="eastAsia" w:hAnsi="宋体"/>
                <w:kern w:val="0"/>
                <w:szCs w:val="21"/>
              </w:rPr>
            </w:pPr>
          </w:p>
        </w:tc>
        <w:tc>
          <w:tcPr>
            <w:tcW w:w="2045" w:type="dxa"/>
            <w:gridSpan w:val="2"/>
            <w:vMerge w:val="restart"/>
            <w:noWrap w:val="0"/>
            <w:vAlign w:val="center"/>
          </w:tcPr>
          <w:p>
            <w:pPr>
              <w:jc w:val="center"/>
              <w:rPr>
                <w:szCs w:val="21"/>
              </w:rPr>
            </w:pPr>
            <w:r>
              <w:rPr>
                <w:rFonts w:hint="eastAsia" w:hAnsi="宋体"/>
                <w:szCs w:val="21"/>
              </w:rPr>
              <w:t>运营期</w:t>
            </w:r>
          </w:p>
        </w:tc>
        <w:tc>
          <w:tcPr>
            <w:tcW w:w="1419" w:type="dxa"/>
            <w:noWrap w:val="0"/>
            <w:vAlign w:val="center"/>
          </w:tcPr>
          <w:p>
            <w:pPr>
              <w:jc w:val="center"/>
              <w:rPr>
                <w:szCs w:val="21"/>
              </w:rPr>
            </w:pPr>
            <w:r>
              <w:rPr>
                <w:rFonts w:hint="eastAsia" w:hAnsi="宋体"/>
                <w:szCs w:val="21"/>
              </w:rPr>
              <w:t>社会噪声</w:t>
            </w:r>
          </w:p>
        </w:tc>
        <w:tc>
          <w:tcPr>
            <w:tcW w:w="2552" w:type="dxa"/>
            <w:noWrap w:val="0"/>
            <w:vAlign w:val="center"/>
          </w:tcPr>
          <w:p>
            <w:pPr>
              <w:jc w:val="center"/>
              <w:rPr>
                <w:szCs w:val="21"/>
              </w:rPr>
            </w:pPr>
            <w:r>
              <w:rPr>
                <w:szCs w:val="21"/>
              </w:rPr>
              <w:t>65</w:t>
            </w:r>
            <w:r>
              <w:rPr>
                <w:rFonts w:hAnsi="宋体"/>
                <w:szCs w:val="21"/>
              </w:rPr>
              <w:t>～</w:t>
            </w:r>
            <w:r>
              <w:rPr>
                <w:szCs w:val="21"/>
              </w:rPr>
              <w:t>80dB(A)</w:t>
            </w:r>
          </w:p>
        </w:tc>
        <w:tc>
          <w:tcPr>
            <w:tcW w:w="2797" w:type="dxa"/>
            <w:vMerge w:val="restart"/>
            <w:noWrap w:val="0"/>
            <w:vAlign w:val="center"/>
          </w:tcPr>
          <w:p>
            <w:pPr>
              <w:jc w:val="center"/>
              <w:rPr>
                <w:rFonts w:hAnsi="宋体"/>
                <w:szCs w:val="21"/>
              </w:rPr>
            </w:pPr>
            <w:r>
              <w:rPr>
                <w:rFonts w:hAnsi="宋体"/>
                <w:szCs w:val="21"/>
              </w:rPr>
              <w:t>昼间</w:t>
            </w:r>
            <w:r>
              <w:rPr>
                <w:szCs w:val="21"/>
              </w:rPr>
              <w:t>≤60dB(A)</w:t>
            </w:r>
            <w:r>
              <w:rPr>
                <w:rFonts w:hAnsi="宋体"/>
                <w:szCs w:val="21"/>
              </w:rPr>
              <w:t>，</w:t>
            </w:r>
          </w:p>
          <w:p>
            <w:pPr>
              <w:jc w:val="center"/>
              <w:rPr>
                <w:szCs w:val="21"/>
              </w:rPr>
            </w:pPr>
            <w:r>
              <w:rPr>
                <w:rFonts w:hAnsi="宋体"/>
                <w:szCs w:val="21"/>
              </w:rPr>
              <w:t>夜间</w:t>
            </w:r>
            <w:r>
              <w:rPr>
                <w:szCs w:val="21"/>
              </w:rPr>
              <w:t>≤50dB(A)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vMerge w:val="continue"/>
            <w:tcBorders>
              <w:bottom w:val="single" w:color="auto" w:sz="4" w:space="0"/>
            </w:tcBorders>
            <w:noWrap w:val="0"/>
            <w:vAlign w:val="center"/>
          </w:tcPr>
          <w:p>
            <w:pPr>
              <w:jc w:val="center"/>
              <w:rPr>
                <w:rFonts w:hAnsi="宋体"/>
                <w:kern w:val="0"/>
                <w:szCs w:val="21"/>
              </w:rPr>
            </w:pPr>
          </w:p>
        </w:tc>
        <w:tc>
          <w:tcPr>
            <w:tcW w:w="2045" w:type="dxa"/>
            <w:gridSpan w:val="2"/>
            <w:vMerge w:val="continue"/>
            <w:noWrap w:val="0"/>
            <w:vAlign w:val="center"/>
          </w:tcPr>
          <w:p>
            <w:pPr>
              <w:jc w:val="center"/>
              <w:rPr>
                <w:rFonts w:hAnsi="宋体"/>
                <w:szCs w:val="21"/>
              </w:rPr>
            </w:pPr>
          </w:p>
        </w:tc>
        <w:tc>
          <w:tcPr>
            <w:tcW w:w="1419" w:type="dxa"/>
            <w:noWrap w:val="0"/>
            <w:vAlign w:val="center"/>
          </w:tcPr>
          <w:p>
            <w:pPr>
              <w:jc w:val="center"/>
              <w:rPr>
                <w:rFonts w:hAnsi="宋体"/>
                <w:szCs w:val="21"/>
              </w:rPr>
            </w:pPr>
            <w:r>
              <w:rPr>
                <w:rFonts w:hint="eastAsia" w:hAnsi="宋体"/>
                <w:szCs w:val="21"/>
              </w:rPr>
              <w:t>机械噪声</w:t>
            </w:r>
          </w:p>
        </w:tc>
        <w:tc>
          <w:tcPr>
            <w:tcW w:w="2552" w:type="dxa"/>
            <w:noWrap w:val="0"/>
            <w:vAlign w:val="center"/>
          </w:tcPr>
          <w:p>
            <w:pPr>
              <w:jc w:val="center"/>
              <w:rPr>
                <w:szCs w:val="21"/>
              </w:rPr>
            </w:pPr>
            <w:r>
              <w:rPr>
                <w:szCs w:val="21"/>
              </w:rPr>
              <w:t>60 dB</w:t>
            </w:r>
            <w:r>
              <w:rPr>
                <w:rFonts w:hAnsi="宋体"/>
                <w:szCs w:val="21"/>
              </w:rPr>
              <w:t>（</w:t>
            </w:r>
            <w:r>
              <w:rPr>
                <w:szCs w:val="21"/>
              </w:rPr>
              <w:t>A</w:t>
            </w:r>
            <w:r>
              <w:rPr>
                <w:rFonts w:hAnsi="宋体"/>
                <w:szCs w:val="21"/>
              </w:rPr>
              <w:t>）</w:t>
            </w:r>
          </w:p>
        </w:tc>
        <w:tc>
          <w:tcPr>
            <w:tcW w:w="2797" w:type="dxa"/>
            <w:vMerge w:val="continue"/>
            <w:noWrap w:val="0"/>
            <w:vAlign w:val="center"/>
          </w:tcPr>
          <w:p>
            <w:pPr>
              <w:jc w:val="center"/>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473" w:type="dxa"/>
            <w:tcBorders>
              <w:bottom w:val="single" w:color="auto" w:sz="4" w:space="0"/>
            </w:tcBorders>
            <w:noWrap w:val="0"/>
            <w:vAlign w:val="center"/>
          </w:tcPr>
          <w:p>
            <w:pPr>
              <w:jc w:val="center"/>
              <w:rPr>
                <w:rFonts w:hAnsi="宋体"/>
                <w:kern w:val="0"/>
                <w:szCs w:val="21"/>
              </w:rPr>
            </w:pPr>
            <w:r>
              <w:rPr>
                <w:rFonts w:hint="eastAsia" w:hAnsi="宋体"/>
                <w:kern w:val="0"/>
                <w:szCs w:val="21"/>
              </w:rPr>
              <w:t>其他</w:t>
            </w:r>
          </w:p>
        </w:tc>
        <w:tc>
          <w:tcPr>
            <w:tcW w:w="8813" w:type="dxa"/>
            <w:gridSpan w:val="5"/>
            <w:noWrap w:val="0"/>
            <w:vAlign w:val="center"/>
          </w:tcPr>
          <w:p>
            <w:pPr>
              <w:jc w:val="center"/>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3446" w:hRule="atLeast"/>
          <w:jc w:val="center"/>
        </w:trPr>
        <w:tc>
          <w:tcPr>
            <w:tcW w:w="9286" w:type="dxa"/>
            <w:gridSpan w:val="6"/>
            <w:noWrap w:val="0"/>
            <w:vAlign w:val="top"/>
          </w:tcPr>
          <w:p>
            <w:pPr>
              <w:spacing w:line="360" w:lineRule="auto"/>
              <w:rPr>
                <w:rFonts w:hint="eastAsia"/>
                <w:b/>
                <w:spacing w:val="6"/>
                <w:sz w:val="24"/>
              </w:rPr>
            </w:pPr>
            <w:r>
              <w:rPr>
                <w:b/>
                <w:spacing w:val="6"/>
                <w:sz w:val="24"/>
              </w:rPr>
              <w:t>主要生态影响（不够可另附页）</w:t>
            </w:r>
            <w:bookmarkStart w:id="24" w:name="_Toc152060666"/>
            <w:bookmarkStart w:id="25" w:name="_Toc152008913"/>
            <w:bookmarkStart w:id="26" w:name="_Toc151537457"/>
            <w:bookmarkStart w:id="27" w:name="_Toc148179570"/>
          </w:p>
          <w:p>
            <w:pPr>
              <w:spacing w:line="360" w:lineRule="auto"/>
              <w:ind w:firstLine="480" w:firstLineChars="200"/>
              <w:rPr>
                <w:sz w:val="24"/>
              </w:rPr>
            </w:pPr>
            <w:r>
              <w:rPr>
                <w:sz w:val="24"/>
              </w:rPr>
              <w:t>因工程开挖、回填等建设活动，破坏了原地貌及其土层结构、使原来相对稳定的表土层受到不同程度的扰动和破坏，降低抗蚀能力，在降雨及径流的作用下，加剧水土流失。工程施工过程中，剥离表土使原地貌遭到破坏，地表受到机械的碾压，将使土壤下渗和涵养水分的能力降低，影响植物生长。工程施工将产生大量的土石方，如不采取有效的水土保持措施，将会加剧项目区水土流失，降低土地生产力，影响项目区及周边生态环境，导致环境的恶化。</w:t>
            </w:r>
          </w:p>
          <w:p>
            <w:pPr>
              <w:spacing w:line="360" w:lineRule="auto"/>
              <w:ind w:firstLine="480" w:firstLineChars="200"/>
              <w:rPr>
                <w:sz w:val="24"/>
              </w:rPr>
            </w:pPr>
            <w:r>
              <w:rPr>
                <w:rFonts w:hint="eastAsia"/>
                <w:sz w:val="24"/>
              </w:rPr>
              <w:t>运行期间在项目征占地范围内，地表将被建筑物、绿化、道路硬化所覆盖，水土流失将得到全面有效控制。</w:t>
            </w:r>
          </w:p>
          <w:p>
            <w:pPr>
              <w:spacing w:line="360" w:lineRule="auto"/>
              <w:ind w:firstLine="480" w:firstLineChars="200"/>
              <w:rPr>
                <w:sz w:val="24"/>
              </w:rPr>
            </w:pPr>
            <w:r>
              <w:rPr>
                <w:sz w:val="24"/>
              </w:rPr>
              <w:t>项目建成后，将是一个</w:t>
            </w:r>
            <w:r>
              <w:rPr>
                <w:rFonts w:hint="eastAsia"/>
                <w:sz w:val="24"/>
              </w:rPr>
              <w:t>全面的农产品交易中心</w:t>
            </w:r>
            <w:r>
              <w:rPr>
                <w:sz w:val="24"/>
              </w:rPr>
              <w:t>，以满足市场需求和提高人民生活水平为出发点，以优化布局和调整市场结构为主线，注重发挥市场配置资源的基础作用，避免低水平重复建设和无序竞争，促进全</w:t>
            </w:r>
            <w:r>
              <w:rPr>
                <w:rFonts w:hint="eastAsia"/>
                <w:sz w:val="24"/>
              </w:rPr>
              <w:t>市</w:t>
            </w:r>
            <w:r>
              <w:rPr>
                <w:sz w:val="24"/>
              </w:rPr>
              <w:t>社会经济协调发展。</w:t>
            </w:r>
          </w:p>
          <w:p>
            <w:pPr>
              <w:spacing w:line="360" w:lineRule="auto"/>
              <w:ind w:firstLine="480" w:firstLineChars="200"/>
              <w:rPr>
                <w:sz w:val="24"/>
              </w:rPr>
            </w:pPr>
            <w:r>
              <w:rPr>
                <w:sz w:val="24"/>
              </w:rPr>
              <w:t>综合分析，项目的建设虽然会对周围环境产生一定的影响，但是项目的建设总体上带来的正面效益大于负面影响。</w:t>
            </w:r>
          </w:p>
          <w:p>
            <w:pPr>
              <w:spacing w:line="360" w:lineRule="auto"/>
              <w:ind w:firstLine="480" w:firstLineChars="200"/>
              <w:rPr>
                <w:sz w:val="24"/>
              </w:rPr>
            </w:pPr>
            <w:r>
              <w:rPr>
                <w:color w:val="FF0000"/>
                <w:sz w:val="24"/>
              </w:rPr>
              <w:t>项</w:t>
            </w:r>
            <w:r>
              <w:rPr>
                <w:sz w:val="24"/>
              </w:rPr>
              <w:t>目建成后</w:t>
            </w:r>
            <w:r>
              <w:rPr>
                <w:rFonts w:hint="eastAsia"/>
                <w:sz w:val="24"/>
              </w:rPr>
              <w:t>绿化率</w:t>
            </w:r>
            <w:r>
              <w:rPr>
                <w:sz w:val="24"/>
              </w:rPr>
              <w:t>24</w:t>
            </w:r>
            <w:r>
              <w:rPr>
                <w:rFonts w:hint="eastAsia"/>
                <w:sz w:val="24"/>
              </w:rPr>
              <w:t>%</w:t>
            </w:r>
            <w:r>
              <w:rPr>
                <w:sz w:val="24"/>
              </w:rPr>
              <w:t>，较高的</w:t>
            </w:r>
            <w:r>
              <w:rPr>
                <w:rFonts w:hint="eastAsia"/>
                <w:sz w:val="24"/>
              </w:rPr>
              <w:t>绿化率和</w:t>
            </w:r>
            <w:r>
              <w:rPr>
                <w:sz w:val="24"/>
              </w:rPr>
              <w:t>绿化覆盖率可以保障生态系统的良性运行和对小气候的改善，但作为一种典型的人工生态系统，其作用更多的体现在绿化环境和美化景观等方面</w:t>
            </w:r>
            <w:r>
              <w:rPr>
                <w:rFonts w:hint="eastAsia"/>
                <w:sz w:val="24"/>
              </w:rPr>
              <w:t>。</w:t>
            </w:r>
          </w:p>
          <w:bookmarkEnd w:id="24"/>
          <w:bookmarkEnd w:id="25"/>
          <w:bookmarkEnd w:id="26"/>
          <w:bookmarkEnd w:id="27"/>
          <w:p>
            <w:pPr>
              <w:spacing w:line="360" w:lineRule="auto"/>
              <w:ind w:firstLine="480" w:firstLineChars="200"/>
              <w:rPr>
                <w:rFonts w:hint="eastAsia"/>
                <w:sz w:val="24"/>
              </w:rPr>
            </w:pPr>
            <w:r>
              <w:rPr>
                <w:sz w:val="24"/>
              </w:rPr>
              <w:t>因此项目规划应重视景观生态设计，使项目环境与周围自然景观协调统一，项目建设中要充分利用自然条件，并加以整合和强化，使之更适应项目整体结构。</w:t>
            </w:r>
            <w:r>
              <w:rPr>
                <w:rFonts w:hint="eastAsia"/>
                <w:sz w:val="24"/>
              </w:rPr>
              <w:t>（1）</w:t>
            </w:r>
            <w:r>
              <w:rPr>
                <w:sz w:val="24"/>
              </w:rPr>
              <w:t>绿化设计应以当地植被与树木为主，</w:t>
            </w:r>
            <w:r>
              <w:rPr>
                <w:rFonts w:hint="eastAsia"/>
                <w:sz w:val="24"/>
              </w:rPr>
              <w:t>严禁引入外来植物物种。（2）房屋外观视觉应该与民族风格相协调。</w:t>
            </w:r>
          </w:p>
          <w:p>
            <w:pPr>
              <w:spacing w:line="360" w:lineRule="auto"/>
              <w:ind w:firstLine="480" w:firstLineChars="200"/>
              <w:rPr>
                <w:sz w:val="24"/>
              </w:rPr>
            </w:pPr>
            <w:r>
              <w:rPr>
                <w:sz w:val="24"/>
              </w:rPr>
              <w:t>在道路两侧及各建筑物间，可采用各类乔木、灌木及草本植物进行不同高低层次、不同色彩、不同造型的搭配，同时种植较多的花草树木，以丰富和美化项目区景观。</w:t>
            </w:r>
          </w:p>
          <w:p>
            <w:pPr>
              <w:spacing w:line="360" w:lineRule="auto"/>
              <w:ind w:firstLine="480" w:firstLineChars="200"/>
              <w:rPr>
                <w:color w:val="FF0000"/>
                <w:sz w:val="24"/>
              </w:rPr>
            </w:pPr>
          </w:p>
        </w:tc>
      </w:tr>
    </w:tbl>
    <w:p>
      <w:pPr>
        <w:pStyle w:val="3"/>
        <w:keepNext w:val="0"/>
        <w:pageBreakBefore/>
        <w:widowControl/>
        <w:autoSpaceDE w:val="0"/>
        <w:autoSpaceDN w:val="0"/>
        <w:adjustRightInd w:val="0"/>
        <w:jc w:val="left"/>
        <w:rPr>
          <w:b/>
          <w:spacing w:val="20"/>
          <w:kern w:val="0"/>
          <w:sz w:val="32"/>
          <w:szCs w:val="30"/>
        </w:rPr>
      </w:pPr>
      <w:bookmarkStart w:id="28" w:name="_Toc57972431"/>
      <w:r>
        <w:rPr>
          <w:rFonts w:hint="eastAsia" w:hAnsi="宋体"/>
          <w:b/>
          <w:spacing w:val="20"/>
          <w:kern w:val="0"/>
          <w:sz w:val="32"/>
          <w:szCs w:val="30"/>
        </w:rPr>
        <w:t xml:space="preserve">表七 </w:t>
      </w:r>
      <w:r>
        <w:rPr>
          <w:rFonts w:hAnsi="宋体"/>
          <w:b/>
          <w:spacing w:val="20"/>
          <w:kern w:val="0"/>
          <w:sz w:val="32"/>
          <w:szCs w:val="30"/>
        </w:rPr>
        <w:t>环境影响分析</w:t>
      </w:r>
      <w:bookmarkEnd w:id="28"/>
    </w:p>
    <w:tbl>
      <w:tblPr>
        <w:tblStyle w:val="35"/>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22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3051" w:hRule="atLeast"/>
          <w:jc w:val="center"/>
        </w:trPr>
        <w:tc>
          <w:tcPr>
            <w:tcW w:w="9226" w:type="dxa"/>
            <w:tcBorders>
              <w:bottom w:val="single" w:color="auto" w:sz="12" w:space="0"/>
            </w:tcBorders>
            <w:noWrap w:val="0"/>
            <w:vAlign w:val="top"/>
          </w:tcPr>
          <w:p>
            <w:pPr>
              <w:spacing w:line="360" w:lineRule="auto"/>
              <w:rPr>
                <w:b/>
                <w:sz w:val="28"/>
              </w:rPr>
            </w:pPr>
            <w:r>
              <w:rPr>
                <w:rFonts w:hAnsi="宋体"/>
                <w:b/>
                <w:sz w:val="28"/>
              </w:rPr>
              <w:t>一、施工期环境影响分析</w:t>
            </w:r>
          </w:p>
          <w:p>
            <w:pPr>
              <w:pStyle w:val="18"/>
              <w:spacing w:after="0" w:line="360" w:lineRule="auto"/>
              <w:ind w:left="0" w:leftChars="0" w:firstLine="480" w:firstLineChars="200"/>
              <w:rPr>
                <w:rFonts w:hint="eastAsia"/>
                <w:sz w:val="24"/>
              </w:rPr>
            </w:pPr>
            <w:r>
              <w:rPr>
                <w:sz w:val="24"/>
              </w:rPr>
              <w:t>施工期对环境的影响主要是施工粉尘、废气、废水、噪声、振动、建筑废料等对环境的影响：</w:t>
            </w:r>
          </w:p>
          <w:p>
            <w:pPr>
              <w:pStyle w:val="12"/>
              <w:spacing w:line="360" w:lineRule="auto"/>
              <w:ind w:firstLine="482"/>
              <w:rPr>
                <w:rFonts w:hAnsi="宋体"/>
                <w:b/>
                <w:sz w:val="24"/>
              </w:rPr>
            </w:pPr>
            <w:r>
              <w:rPr>
                <w:rFonts w:hAnsi="宋体"/>
                <w:b/>
                <w:sz w:val="24"/>
              </w:rPr>
              <w:t>1、环境空气影响分析</w:t>
            </w:r>
          </w:p>
          <w:p>
            <w:pPr>
              <w:spacing w:line="360" w:lineRule="auto"/>
              <w:ind w:firstLine="480" w:firstLineChars="200"/>
              <w:rPr>
                <w:rFonts w:hint="eastAsia"/>
                <w:sz w:val="24"/>
              </w:rPr>
            </w:pPr>
            <w:r>
              <w:rPr>
                <w:rFonts w:hint="eastAsia"/>
                <w:sz w:val="24"/>
              </w:rPr>
              <w:t>（1）影响分析：</w:t>
            </w:r>
          </w:p>
          <w:p>
            <w:pPr>
              <w:spacing w:line="360" w:lineRule="auto"/>
              <w:ind w:firstLine="480" w:firstLineChars="200"/>
              <w:rPr>
                <w:sz w:val="24"/>
              </w:rPr>
            </w:pPr>
            <w:r>
              <w:rPr>
                <w:rFonts w:hAnsi="宋体"/>
                <w:sz w:val="24"/>
              </w:rPr>
              <w:t>①施工粉尘（或扬尘）</w:t>
            </w:r>
          </w:p>
          <w:p>
            <w:pPr>
              <w:spacing w:line="360" w:lineRule="auto"/>
              <w:ind w:firstLine="480" w:firstLineChars="200"/>
              <w:rPr>
                <w:rFonts w:hint="eastAsia" w:hAnsi="宋体"/>
                <w:sz w:val="24"/>
              </w:rPr>
            </w:pPr>
            <w:r>
              <w:rPr>
                <w:rFonts w:hAnsi="宋体"/>
                <w:sz w:val="24"/>
              </w:rPr>
              <w:t>施工粉尘是项目施工期最主要的大气污染物，主要来源于如下环节：拟建场地清理、场地土方开挖及平整、房屋建设、</w:t>
            </w:r>
            <w:r>
              <w:rPr>
                <w:rFonts w:hint="eastAsia" w:hAnsi="宋体"/>
                <w:sz w:val="24"/>
              </w:rPr>
              <w:t>场</w:t>
            </w:r>
            <w:r>
              <w:rPr>
                <w:rFonts w:hAnsi="宋体"/>
                <w:sz w:val="24"/>
              </w:rPr>
              <w:t>区最后清理等，污染因子主要为</w:t>
            </w:r>
            <w:r>
              <w:rPr>
                <w:sz w:val="24"/>
              </w:rPr>
              <w:t>TSP</w:t>
            </w:r>
            <w:r>
              <w:rPr>
                <w:rFonts w:hAnsi="宋体"/>
                <w:sz w:val="24"/>
              </w:rPr>
              <w:t>、</w:t>
            </w:r>
            <w:r>
              <w:rPr>
                <w:sz w:val="24"/>
              </w:rPr>
              <w:t>PM</w:t>
            </w:r>
            <w:r>
              <w:rPr>
                <w:sz w:val="24"/>
                <w:vertAlign w:val="subscript"/>
              </w:rPr>
              <w:t>10</w:t>
            </w:r>
            <w:r>
              <w:rPr>
                <w:rFonts w:hAnsi="宋体"/>
                <w:sz w:val="24"/>
              </w:rPr>
              <w:t>。粉尘主要为尘土和建筑材料细微颗粒，无特殊污染物质。扬尘的产生量与施工方式、土壤含水量、气象条件等有关。在空气干燥、风速较大的气候条件下，施工建设过程中会导致现场尘土飞扬，使空气中颗粒物浓度增加，并随风扩散，影响下风区域及周围环境空气质量，对施工场地、周围地表及公路过往车辆带来一定影响。施工扬尘主要为无组织排放，对环境的影响除与排放量有关外还可受多种因素制约，如与空气湿度、风速、风向等气象条件有关，影响面主要集中在施工场地</w:t>
            </w:r>
            <w:r>
              <w:rPr>
                <w:sz w:val="24"/>
              </w:rPr>
              <w:t>200m</w:t>
            </w:r>
            <w:r>
              <w:rPr>
                <w:rFonts w:hAnsi="宋体"/>
                <w:sz w:val="24"/>
              </w:rPr>
              <w:t>范围内。在干旱季节风大的情况下，施工现场扬尘飞扬，对项目周围环境空气质量的影响范围和影响程度加重，反之，在静风、小雨湿润条件下，其对环境空气的影响范围将减小、程度减轻。</w:t>
            </w:r>
          </w:p>
          <w:p>
            <w:pPr>
              <w:spacing w:line="360" w:lineRule="auto"/>
              <w:ind w:firstLine="480" w:firstLineChars="200"/>
              <w:rPr>
                <w:rFonts w:hint="eastAsia" w:hAnsi="宋体"/>
                <w:sz w:val="24"/>
              </w:rPr>
            </w:pPr>
            <w:r>
              <w:rPr>
                <w:rFonts w:hAnsi="宋体"/>
                <w:sz w:val="24"/>
              </w:rPr>
              <w:t>本项目采取洒水降尘、物料封闭堆存及运输等</w:t>
            </w:r>
            <w:r>
              <w:rPr>
                <w:rFonts w:hint="eastAsia" w:hAnsi="宋体"/>
                <w:sz w:val="24"/>
              </w:rPr>
              <w:t>防治</w:t>
            </w:r>
            <w:r>
              <w:rPr>
                <w:rFonts w:hAnsi="宋体"/>
                <w:sz w:val="24"/>
              </w:rPr>
              <w:t>措施，</w:t>
            </w:r>
            <w:r>
              <w:rPr>
                <w:rFonts w:hint="eastAsia" w:hAnsi="宋体"/>
                <w:sz w:val="24"/>
              </w:rPr>
              <w:t>降低扬尘量，减小扬尘产生的影响</w:t>
            </w:r>
            <w:r>
              <w:rPr>
                <w:rFonts w:hAnsi="宋体"/>
                <w:sz w:val="24"/>
              </w:rPr>
              <w:t>。</w:t>
            </w:r>
          </w:p>
          <w:p>
            <w:pPr>
              <w:spacing w:line="360" w:lineRule="auto"/>
              <w:ind w:firstLine="480" w:firstLineChars="200"/>
              <w:rPr>
                <w:rFonts w:hint="eastAsia" w:eastAsia="仿宋_GB2312"/>
                <w:sz w:val="24"/>
              </w:rPr>
            </w:pPr>
            <w:r>
              <w:rPr>
                <w:rFonts w:hAnsi="宋体"/>
                <w:sz w:val="24"/>
              </w:rPr>
              <w:t>施工期产生的扬尘污染是短期的，随着场地的硬化、建筑物的形成，</w:t>
            </w:r>
            <w:r>
              <w:rPr>
                <w:rFonts w:hint="eastAsia" w:hAnsi="宋体"/>
                <w:sz w:val="24"/>
              </w:rPr>
              <w:t>场</w:t>
            </w:r>
            <w:r>
              <w:rPr>
                <w:rFonts w:hAnsi="宋体"/>
                <w:sz w:val="24"/>
              </w:rPr>
              <w:t>区内的绿化等施工活动的结束，施工扬尘对环境空气的影响也就随之结束。只要严格管理</w:t>
            </w:r>
            <w:r>
              <w:rPr>
                <w:rFonts w:hint="eastAsia" w:hAnsi="宋体"/>
                <w:sz w:val="24"/>
              </w:rPr>
              <w:t>落实防治</w:t>
            </w:r>
            <w:r>
              <w:rPr>
                <w:rFonts w:hAnsi="宋体"/>
                <w:sz w:val="24"/>
              </w:rPr>
              <w:t>措施，可有效降低施工期粉尘对周围环境的影响，环境可以承受。</w:t>
            </w:r>
          </w:p>
          <w:p>
            <w:pPr>
              <w:spacing w:line="360" w:lineRule="auto"/>
              <w:ind w:firstLine="480" w:firstLineChars="200"/>
              <w:rPr>
                <w:sz w:val="24"/>
              </w:rPr>
            </w:pPr>
            <w:r>
              <w:rPr>
                <w:rFonts w:hint="eastAsia"/>
                <w:sz w:val="24"/>
              </w:rPr>
              <w:t>②</w:t>
            </w:r>
            <w:r>
              <w:rPr>
                <w:rFonts w:hAnsi="宋体"/>
                <w:sz w:val="24"/>
              </w:rPr>
              <w:t>施工机械及运输车辆废气</w:t>
            </w:r>
          </w:p>
          <w:p>
            <w:pPr>
              <w:spacing w:line="360" w:lineRule="auto"/>
              <w:ind w:firstLine="480" w:firstLineChars="200"/>
              <w:rPr>
                <w:sz w:val="24"/>
              </w:rPr>
            </w:pPr>
            <w:r>
              <w:rPr>
                <w:rFonts w:hAnsi="宋体"/>
                <w:sz w:val="24"/>
              </w:rPr>
              <w:t>施工机械和运输车辆作业期间产生的尾气，也是影响环境空气的主要污染物之一。产生废气的施工机械主要有在场地开挖平整、房屋建设等阶段使用的装载机、挖土机、运输车辆等。</w:t>
            </w:r>
          </w:p>
          <w:p>
            <w:pPr>
              <w:spacing w:line="360" w:lineRule="auto"/>
              <w:ind w:firstLine="480" w:firstLineChars="200"/>
              <w:rPr>
                <w:rFonts w:hint="eastAsia" w:hAnsi="宋体"/>
                <w:sz w:val="24"/>
              </w:rPr>
            </w:pPr>
            <w:r>
              <w:rPr>
                <w:rFonts w:hAnsi="宋体"/>
                <w:sz w:val="24"/>
              </w:rPr>
              <w:t>由于施工期不长，作业范围相对较小，机械数量较少，施工机械和运输车辆外排尾气量均不是很大，尾气排放点随设备移动呈不固定方式排放，且使用汽油或柴油作能源，外排尾气中主要为</w:t>
            </w:r>
            <w:r>
              <w:rPr>
                <w:rFonts w:hint="eastAsia" w:hAnsi="宋体"/>
                <w:sz w:val="24"/>
              </w:rPr>
              <w:t>一氧化碳、</w:t>
            </w:r>
            <w:r>
              <w:rPr>
                <w:rFonts w:hint="eastAsia"/>
                <w:sz w:val="24"/>
              </w:rPr>
              <w:t>氮氧化物</w:t>
            </w:r>
            <w:r>
              <w:rPr>
                <w:rFonts w:hAnsi="宋体"/>
                <w:sz w:val="24"/>
              </w:rPr>
              <w:t>、碳氢化合物等，在空气环境中经一定的距离自然扩散、稀释后，对评价区域空气质量影响不大。</w:t>
            </w:r>
          </w:p>
          <w:p>
            <w:pPr>
              <w:spacing w:line="360" w:lineRule="auto"/>
              <w:ind w:firstLine="480" w:firstLineChars="200"/>
              <w:rPr>
                <w:rFonts w:hint="eastAsia" w:hAnsi="宋体"/>
                <w:sz w:val="24"/>
              </w:rPr>
            </w:pPr>
            <w:r>
              <w:rPr>
                <w:rFonts w:hint="eastAsia" w:hAnsi="宋体"/>
                <w:sz w:val="24"/>
              </w:rPr>
              <w:t>③装修废气</w:t>
            </w:r>
          </w:p>
          <w:p>
            <w:pPr>
              <w:spacing w:line="360" w:lineRule="auto"/>
              <w:ind w:firstLine="480" w:firstLineChars="200"/>
              <w:rPr>
                <w:rFonts w:hint="eastAsia" w:hAnsi="宋体"/>
                <w:sz w:val="24"/>
              </w:rPr>
            </w:pPr>
            <w:r>
              <w:rPr>
                <w:rFonts w:hAnsi="宋体"/>
                <w:sz w:val="24"/>
              </w:rPr>
              <w:t>根据本项目工程分析，装修阶段需向周围大气环境排放甲苯和二甲苯。装修阶段的油漆废气排放周期短，且作业点分散。因此，在装修油漆期间，应加强室内的通风换气，</w:t>
            </w:r>
            <w:r>
              <w:rPr>
                <w:rFonts w:hint="eastAsia" w:hAnsi="宋体"/>
                <w:sz w:val="24"/>
              </w:rPr>
              <w:t>装修</w:t>
            </w:r>
            <w:r>
              <w:rPr>
                <w:rFonts w:hAnsi="宋体"/>
                <w:sz w:val="24"/>
              </w:rPr>
              <w:t>结束完成以后，也应进行通风换气一至二个月后才能</w:t>
            </w:r>
            <w:r>
              <w:rPr>
                <w:rFonts w:hint="eastAsia" w:hAnsi="宋体"/>
                <w:sz w:val="24"/>
              </w:rPr>
              <w:t>使用</w:t>
            </w:r>
            <w:r>
              <w:rPr>
                <w:rFonts w:hAnsi="宋体"/>
                <w:sz w:val="24"/>
              </w:rPr>
              <w:t>。由于装修时采用的三合板和油漆中含有的甲醛、甲苯、二甲苯等影响环境质量的有毒有害物质挥发时间长，所以</w:t>
            </w:r>
            <w:r>
              <w:rPr>
                <w:rFonts w:hint="eastAsia" w:hAnsi="宋体"/>
                <w:sz w:val="24"/>
              </w:rPr>
              <w:t>使用</w:t>
            </w:r>
            <w:r>
              <w:rPr>
                <w:rFonts w:hAnsi="宋体"/>
                <w:sz w:val="24"/>
              </w:rPr>
              <w:t>后也要注意室内空气的流畅。</w:t>
            </w:r>
            <w:r>
              <w:rPr>
                <w:rFonts w:hint="eastAsia" w:hAnsi="宋体"/>
                <w:sz w:val="24"/>
              </w:rPr>
              <w:t>综合分析，装修过程产生的异味对大气环境造成的影响轻微。</w:t>
            </w:r>
          </w:p>
          <w:p>
            <w:pPr>
              <w:spacing w:line="360" w:lineRule="auto"/>
              <w:ind w:firstLine="480" w:firstLineChars="200"/>
              <w:rPr>
                <w:sz w:val="24"/>
              </w:rPr>
            </w:pPr>
            <w:r>
              <w:rPr>
                <w:sz w:val="24"/>
              </w:rPr>
              <w:t>（2）减缓措施</w:t>
            </w:r>
            <w:r>
              <w:rPr>
                <w:rFonts w:hint="eastAsia"/>
                <w:sz w:val="24"/>
              </w:rPr>
              <w:t>：</w:t>
            </w:r>
          </w:p>
          <w:p>
            <w:pPr>
              <w:spacing w:line="360" w:lineRule="auto"/>
              <w:ind w:firstLine="480" w:firstLineChars="200"/>
              <w:rPr>
                <w:sz w:val="24"/>
              </w:rPr>
            </w:pPr>
            <w:r>
              <w:rPr>
                <w:sz w:val="24"/>
              </w:rPr>
              <w:t>建设期的特点是每个作业点施工时间相对较短，施工作业点分散，造成污染物排放点数量多、分布散、处理难度大，针对该特点，采取的减缓措施主要有：</w:t>
            </w:r>
          </w:p>
          <w:p>
            <w:pPr>
              <w:spacing w:line="360" w:lineRule="auto"/>
              <w:ind w:firstLine="480" w:firstLineChars="200"/>
              <w:rPr>
                <w:rFonts w:hint="eastAsia"/>
                <w:sz w:val="24"/>
              </w:rPr>
            </w:pPr>
            <w:r>
              <w:rPr>
                <w:sz w:val="24"/>
              </w:rPr>
              <w:t>①施工场地定期洒水，防止浮土产生，在大风日加大洒水量及洒水次数；开挖土方应集中堆放，缩小粉尘影响范围，及时回填或运走，缩短粉尘影响时间。多余的土方根据水土保持的要求及时回填。</w:t>
            </w:r>
          </w:p>
          <w:p>
            <w:pPr>
              <w:spacing w:line="360" w:lineRule="auto"/>
              <w:ind w:firstLine="480" w:firstLineChars="200"/>
              <w:rPr>
                <w:sz w:val="24"/>
              </w:rPr>
            </w:pPr>
            <w:r>
              <w:rPr>
                <w:sz w:val="24"/>
              </w:rPr>
              <w:t>②加强施工机械的使用管理和保养维修，合理降低使用次数，提高机械使用效率，降低废气排放，减轻燃油动力机械排放的废气对环境空气的影响</w:t>
            </w:r>
            <w:r>
              <w:rPr>
                <w:rFonts w:hint="eastAsia"/>
                <w:sz w:val="24"/>
              </w:rPr>
              <w:t>。</w:t>
            </w:r>
          </w:p>
          <w:p>
            <w:pPr>
              <w:spacing w:line="360" w:lineRule="auto"/>
              <w:ind w:firstLine="480" w:firstLineChars="200"/>
              <w:rPr>
                <w:rFonts w:hint="eastAsia"/>
                <w:sz w:val="24"/>
              </w:rPr>
            </w:pPr>
            <w:r>
              <w:rPr>
                <w:sz w:val="24"/>
              </w:rPr>
              <w:t>③施工道路应保持平整，设立施工道路养护、维修、清扫专职人员，保持道路清洁，运行状态良好。在无雨干燥天气、运输高峰时段，应对施工道路适时洒水。运输车辆进入施工场地应低速行驶，或限速行驶，减少产尘量。</w:t>
            </w:r>
            <w:r>
              <w:rPr>
                <w:rFonts w:hAnsi="宋体"/>
                <w:sz w:val="24"/>
              </w:rPr>
              <w:t>运土车辆应加蓬，严禁超重、超高装载，控制二次扬尘对环境空气的污染。</w:t>
            </w:r>
          </w:p>
          <w:p>
            <w:pPr>
              <w:adjustRightInd w:val="0"/>
              <w:snapToGrid w:val="0"/>
              <w:spacing w:line="360" w:lineRule="auto"/>
              <w:ind w:firstLine="480" w:firstLineChars="200"/>
              <w:rPr>
                <w:rFonts w:hint="eastAsia"/>
                <w:sz w:val="24"/>
              </w:rPr>
            </w:pPr>
            <w:r>
              <w:rPr>
                <w:rFonts w:hint="eastAsia"/>
                <w:sz w:val="24"/>
              </w:rPr>
              <w:t>④</w:t>
            </w:r>
            <w:r>
              <w:rPr>
                <w:rFonts w:hAnsi="宋体"/>
                <w:sz w:val="24"/>
              </w:rPr>
              <w:t>将施工用水泥堆放在库房或临时工棚内，及时清除撒落在地面的水泥，对产生扬尘的施工作业点设洒水装置，抑制粉尘散发和运输中的二次扬尘</w:t>
            </w:r>
            <w:r>
              <w:rPr>
                <w:rFonts w:hint="eastAsia" w:hAnsi="宋体"/>
                <w:sz w:val="24"/>
              </w:rPr>
              <w:t>。</w:t>
            </w:r>
          </w:p>
          <w:p>
            <w:pPr>
              <w:spacing w:line="360" w:lineRule="auto"/>
              <w:ind w:firstLine="480" w:firstLineChars="200"/>
              <w:rPr>
                <w:rFonts w:hint="eastAsia"/>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lang/>
              </w:rPr>
              <w:t>⑤</w:t>
            </w:r>
            <w:r>
              <w:rPr>
                <w:sz w:val="24"/>
              </w:rPr>
              <w:fldChar w:fldCharType="end"/>
            </w:r>
            <w:r>
              <w:rPr>
                <w:sz w:val="24"/>
              </w:rPr>
              <w:t>材料仓库和临时材料堆放场应防止物料散落污染。仓库四周应有疏水沟系，防止雨水浸湿，水流引起物料流失。运输车辆应入库装卸。临时堆放场应有遮蓬遮蔽，防止物料飘失污染环境空气。</w:t>
            </w:r>
          </w:p>
          <w:p>
            <w:pPr>
              <w:spacing w:line="360" w:lineRule="auto"/>
              <w:ind w:firstLine="480" w:firstLineChars="200"/>
              <w:rPr>
                <w:rFonts w:hint="eastAsia"/>
                <w:sz w:val="24"/>
              </w:rPr>
            </w:pPr>
            <w:r>
              <w:rPr>
                <w:sz w:val="24"/>
              </w:rPr>
              <w:t>采取上述措施后，对环境的影响较小。</w:t>
            </w:r>
          </w:p>
          <w:p>
            <w:pPr>
              <w:spacing w:line="360" w:lineRule="auto"/>
              <w:ind w:firstLine="480" w:firstLineChars="200"/>
              <w:rPr>
                <w:rFonts w:hint="eastAsia"/>
                <w:color w:val="FF0000"/>
                <w:sz w:val="24"/>
              </w:rPr>
            </w:pPr>
          </w:p>
          <w:p>
            <w:pPr>
              <w:spacing w:line="360" w:lineRule="auto"/>
              <w:ind w:firstLine="480" w:firstLineChars="200"/>
              <w:rPr>
                <w:rFonts w:hint="eastAsia"/>
                <w:color w:val="FF0000"/>
                <w:sz w:val="24"/>
              </w:rPr>
            </w:pPr>
          </w:p>
          <w:p>
            <w:pPr>
              <w:spacing w:line="360" w:lineRule="auto"/>
              <w:ind w:firstLine="480" w:firstLineChars="200"/>
              <w:rPr>
                <w:color w:val="FF0000"/>
                <w:sz w:val="24"/>
              </w:rPr>
            </w:pPr>
          </w:p>
          <w:p>
            <w:pPr>
              <w:spacing w:line="360" w:lineRule="auto"/>
              <w:ind w:firstLine="482" w:firstLineChars="200"/>
              <w:rPr>
                <w:b/>
                <w:sz w:val="24"/>
              </w:rPr>
            </w:pPr>
            <w:r>
              <w:rPr>
                <w:b/>
                <w:sz w:val="24"/>
              </w:rPr>
              <w:t>2、水环境影响分析</w:t>
            </w:r>
          </w:p>
          <w:p>
            <w:pPr>
              <w:spacing w:line="360" w:lineRule="auto"/>
              <w:ind w:firstLine="480" w:firstLineChars="200"/>
              <w:rPr>
                <w:rFonts w:hint="eastAsia"/>
                <w:sz w:val="24"/>
              </w:rPr>
            </w:pPr>
            <w:r>
              <w:rPr>
                <w:sz w:val="24"/>
              </w:rPr>
              <w:t>（1）</w:t>
            </w:r>
            <w:r>
              <w:rPr>
                <w:rFonts w:hint="eastAsia"/>
                <w:sz w:val="24"/>
              </w:rPr>
              <w:t>农贸市场、配套综合业务用房和回迁安置房施工</w:t>
            </w:r>
            <w:r>
              <w:rPr>
                <w:sz w:val="24"/>
              </w:rPr>
              <w:t>影响分析</w:t>
            </w:r>
            <w:r>
              <w:rPr>
                <w:rFonts w:hint="eastAsia"/>
                <w:sz w:val="24"/>
              </w:rPr>
              <w:t>：</w:t>
            </w:r>
          </w:p>
          <w:p>
            <w:pPr>
              <w:adjustRightInd w:val="0"/>
              <w:spacing w:line="360" w:lineRule="auto"/>
              <w:ind w:firstLine="480" w:firstLineChars="200"/>
              <w:jc w:val="left"/>
              <w:rPr>
                <w:rFonts w:hint="eastAsia"/>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lang/>
              </w:rPr>
              <w:t>①</w:t>
            </w:r>
            <w:r>
              <w:rPr>
                <w:sz w:val="24"/>
              </w:rPr>
              <w:fldChar w:fldCharType="end"/>
            </w:r>
            <w:r>
              <w:rPr>
                <w:rFonts w:hint="eastAsia"/>
                <w:sz w:val="24"/>
              </w:rPr>
              <w:t>基坑涌水</w:t>
            </w:r>
          </w:p>
          <w:p>
            <w:pPr>
              <w:spacing w:line="360" w:lineRule="auto"/>
              <w:ind w:firstLine="480" w:firstLineChars="200"/>
              <w:rPr>
                <w:sz w:val="24"/>
              </w:rPr>
            </w:pPr>
            <w:r>
              <w:rPr>
                <w:rFonts w:hint="eastAsia" w:hAnsi="宋体"/>
                <w:kern w:val="0"/>
                <w:sz w:val="24"/>
              </w:rPr>
              <w:t>基坑涌水主要污染物为悬浮物，一般浓度500~1000mg/L。采用水泵抽吸</w:t>
            </w:r>
            <w:r>
              <w:rPr>
                <w:rFonts w:hAnsi="宋体"/>
                <w:kern w:val="0"/>
                <w:sz w:val="24"/>
              </w:rPr>
              <w:t>及时引入废水收集池中进行沉淀处理。经过沉淀处理后的废水用于建筑材料的冲洗和施工场地喷水降尘</w:t>
            </w:r>
            <w:r>
              <w:rPr>
                <w:rFonts w:hint="eastAsia" w:hAnsi="宋体"/>
                <w:kern w:val="0"/>
                <w:sz w:val="24"/>
              </w:rPr>
              <w:t>等。</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lang/>
              </w:rPr>
              <w:t>②</w:t>
            </w:r>
            <w:r>
              <w:rPr>
                <w:sz w:val="24"/>
              </w:rPr>
              <w:fldChar w:fldCharType="end"/>
            </w:r>
            <w:r>
              <w:rPr>
                <w:rFonts w:hint="eastAsia"/>
                <w:sz w:val="24"/>
              </w:rPr>
              <w:t>建筑施工废水</w:t>
            </w:r>
          </w:p>
          <w:p>
            <w:pPr>
              <w:spacing w:line="360" w:lineRule="auto"/>
              <w:ind w:firstLine="480" w:firstLineChars="200"/>
              <w:rPr>
                <w:rFonts w:hint="eastAsia"/>
                <w:sz w:val="24"/>
              </w:rPr>
            </w:pPr>
            <w:r>
              <w:rPr>
                <w:sz w:val="24"/>
              </w:rPr>
              <w:t>根据工程分析估算，整个建筑施工期废水产生量</w:t>
            </w:r>
            <w:r>
              <w:rPr>
                <w:rFonts w:hint="eastAsia"/>
                <w:sz w:val="24"/>
              </w:rPr>
              <w:t>为</w:t>
            </w:r>
            <w:r>
              <w:rPr>
                <w:sz w:val="24"/>
              </w:rPr>
              <w:t>10950m</w:t>
            </w:r>
            <w:r>
              <w:rPr>
                <w:sz w:val="24"/>
                <w:vertAlign w:val="superscript"/>
              </w:rPr>
              <w:t>3</w:t>
            </w:r>
            <w:r>
              <w:rPr>
                <w:rFonts w:hint="eastAsia"/>
                <w:sz w:val="24"/>
              </w:rPr>
              <w:t>。</w:t>
            </w:r>
            <w:r>
              <w:rPr>
                <w:sz w:val="24"/>
              </w:rPr>
              <w:t>通过在</w:t>
            </w:r>
            <w:r>
              <w:rPr>
                <w:rFonts w:hint="eastAsia"/>
                <w:sz w:val="24"/>
              </w:rPr>
              <w:t>施工</w:t>
            </w:r>
            <w:r>
              <w:rPr>
                <w:sz w:val="24"/>
              </w:rPr>
              <w:t>场地修建临时沉淀池集中收集，</w:t>
            </w:r>
            <w:r>
              <w:rPr>
                <w:rFonts w:hint="eastAsia"/>
                <w:sz w:val="24"/>
              </w:rPr>
              <w:t>澄清后回用于施工及场地洒水降尘。对外环境影响较小。</w:t>
            </w:r>
          </w:p>
          <w:p>
            <w:pPr>
              <w:spacing w:line="360" w:lineRule="auto"/>
              <w:ind w:firstLine="480" w:firstLineChars="200"/>
              <w:rPr>
                <w:rFonts w:hint="eastAsia"/>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lang/>
              </w:rPr>
              <w:t>③</w:t>
            </w:r>
            <w:r>
              <w:rPr>
                <w:sz w:val="24"/>
              </w:rPr>
              <w:fldChar w:fldCharType="end"/>
            </w:r>
            <w:r>
              <w:rPr>
                <w:rFonts w:hint="eastAsia"/>
                <w:sz w:val="24"/>
              </w:rPr>
              <w:t>施工人员生活废水</w:t>
            </w:r>
          </w:p>
          <w:p>
            <w:pPr>
              <w:spacing w:line="360" w:lineRule="auto"/>
              <w:ind w:firstLine="480" w:firstLineChars="200"/>
              <w:rPr>
                <w:sz w:val="24"/>
              </w:rPr>
            </w:pPr>
            <w:r>
              <w:rPr>
                <w:rFonts w:hint="eastAsia"/>
                <w:sz w:val="24"/>
              </w:rPr>
              <w:t>根据工程分析，施工期生活污水产生量为</w:t>
            </w:r>
            <w:r>
              <w:rPr>
                <w:sz w:val="24"/>
              </w:rPr>
              <w:t>2.4</w:t>
            </w:r>
            <w:r>
              <w:rPr>
                <w:rFonts w:hint="eastAsia"/>
                <w:sz w:val="24"/>
              </w:rPr>
              <w:t>m</w:t>
            </w:r>
            <w:r>
              <w:rPr>
                <w:rFonts w:hint="eastAsia"/>
                <w:sz w:val="24"/>
                <w:vertAlign w:val="superscript"/>
              </w:rPr>
              <w:t>3</w:t>
            </w:r>
            <w:r>
              <w:rPr>
                <w:rFonts w:hint="eastAsia"/>
                <w:sz w:val="24"/>
              </w:rPr>
              <w:t>/d ，</w:t>
            </w:r>
            <w:r>
              <w:rPr>
                <w:sz w:val="24"/>
              </w:rPr>
              <w:t>如果这些污废水不经适当处理，</w:t>
            </w:r>
            <w:r>
              <w:rPr>
                <w:rFonts w:hint="eastAsia"/>
                <w:sz w:val="24"/>
              </w:rPr>
              <w:t>随意排放</w:t>
            </w:r>
            <w:r>
              <w:rPr>
                <w:sz w:val="24"/>
              </w:rPr>
              <w:t>会污染周边地区的地面水环境。因此在施工期间要求加强对施工人员的管理，使用旱厕收集粪便并</w:t>
            </w:r>
            <w:r>
              <w:rPr>
                <w:rFonts w:hint="eastAsia"/>
                <w:sz w:val="24"/>
              </w:rPr>
              <w:t>请抽粪车定期抽走</w:t>
            </w:r>
            <w:r>
              <w:rPr>
                <w:sz w:val="24"/>
              </w:rPr>
              <w:t>，其余生活污水集中收集和处理后</w:t>
            </w:r>
            <w:r>
              <w:rPr>
                <w:rFonts w:hint="eastAsia"/>
                <w:sz w:val="24"/>
              </w:rPr>
              <w:t>部分</w:t>
            </w:r>
            <w:r>
              <w:rPr>
                <w:sz w:val="24"/>
              </w:rPr>
              <w:t>用于洒水降尘</w:t>
            </w:r>
            <w:r>
              <w:rPr>
                <w:rFonts w:hint="eastAsia"/>
                <w:sz w:val="24"/>
              </w:rPr>
              <w:t>，由于生活污水量较小，简单处理后可全部用于洒水降尘，不外排，避免对水环境的污染。</w:t>
            </w:r>
          </w:p>
          <w:p>
            <w:pPr>
              <w:adjustRightInd w:val="0"/>
              <w:spacing w:line="360" w:lineRule="auto"/>
              <w:ind w:firstLine="480" w:firstLineChars="200"/>
              <w:jc w:val="left"/>
              <w:rPr>
                <w:rFonts w:hint="eastAsia"/>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lang/>
              </w:rPr>
              <w:t>④</w:t>
            </w:r>
            <w:r>
              <w:rPr>
                <w:sz w:val="24"/>
              </w:rPr>
              <w:fldChar w:fldCharType="end"/>
            </w:r>
            <w:r>
              <w:rPr>
                <w:rFonts w:hint="eastAsia"/>
                <w:sz w:val="24"/>
              </w:rPr>
              <w:t>场地降雨冲刷水</w:t>
            </w:r>
          </w:p>
          <w:p>
            <w:pPr>
              <w:adjustRightInd w:val="0"/>
              <w:spacing w:line="360" w:lineRule="auto"/>
              <w:ind w:firstLine="480" w:firstLineChars="200"/>
              <w:jc w:val="left"/>
              <w:rPr>
                <w:rFonts w:hint="eastAsia"/>
                <w:sz w:val="24"/>
              </w:rPr>
            </w:pPr>
            <w:r>
              <w:rPr>
                <w:rFonts w:hint="eastAsia"/>
                <w:sz w:val="24"/>
              </w:rPr>
              <w:t>拟建项目占地面积</w:t>
            </w:r>
            <w:r>
              <w:rPr>
                <w:sz w:val="24"/>
              </w:rPr>
              <w:t>40916.43</w:t>
            </w:r>
            <w:r>
              <w:rPr>
                <w:rFonts w:hint="eastAsia"/>
                <w:sz w:val="24"/>
              </w:rPr>
              <w:t>m</w:t>
            </w:r>
            <w:r>
              <w:rPr>
                <w:rFonts w:hint="eastAsia"/>
                <w:sz w:val="24"/>
                <w:vertAlign w:val="superscript"/>
              </w:rPr>
              <w:t>2</w:t>
            </w:r>
            <w:r>
              <w:rPr>
                <w:rFonts w:hint="eastAsia"/>
                <w:sz w:val="24"/>
              </w:rPr>
              <w:t>，施工期跨越雨季，因此施工场地不可避免的会遭遇暴雨的冲刷，使得施工场地成为面源污染源。降雨径流产生的主要污染物为SS。</w:t>
            </w:r>
          </w:p>
          <w:p>
            <w:pPr>
              <w:spacing w:line="360" w:lineRule="auto"/>
              <w:ind w:firstLine="480" w:firstLineChars="200"/>
              <w:rPr>
                <w:rFonts w:hAnsi="宋体"/>
                <w:sz w:val="24"/>
              </w:rPr>
            </w:pPr>
            <w:r>
              <w:rPr>
                <w:rFonts w:hint="eastAsia" w:hAnsi="宋体"/>
                <w:sz w:val="24"/>
              </w:rPr>
              <w:t>在施工阶段，施工场地周围均设围墙，并在每个施工场地较低的位置修建两个</w:t>
            </w:r>
            <w:r>
              <w:rPr>
                <w:rFonts w:hAnsi="宋体"/>
                <w:sz w:val="24"/>
              </w:rPr>
              <w:t>容积合计</w:t>
            </w:r>
            <w:r>
              <w:rPr>
                <w:rFonts w:hint="eastAsia" w:hAnsi="宋体"/>
                <w:sz w:val="24"/>
              </w:rPr>
              <w:t>30m</w:t>
            </w:r>
            <w:r>
              <w:rPr>
                <w:rFonts w:hint="eastAsia" w:hAnsi="宋体"/>
                <w:sz w:val="24"/>
                <w:vertAlign w:val="superscript"/>
              </w:rPr>
              <w:t>3</w:t>
            </w:r>
            <w:r>
              <w:rPr>
                <w:rFonts w:hint="eastAsia" w:hAnsi="宋体"/>
                <w:sz w:val="24"/>
              </w:rPr>
              <w:t>临时沉淀池，</w:t>
            </w:r>
            <w:r>
              <w:rPr>
                <w:rFonts w:hAnsi="宋体"/>
                <w:sz w:val="24"/>
              </w:rPr>
              <w:t>雨季项目区内产生的雨水统一收集后进入临时沉淀池进行沉淀处理后排入</w:t>
            </w:r>
            <w:r>
              <w:rPr>
                <w:rFonts w:hint="eastAsia" w:hAnsi="宋体"/>
                <w:sz w:val="24"/>
              </w:rPr>
              <w:t>市政雨水管网</w:t>
            </w:r>
            <w:r>
              <w:rPr>
                <w:rFonts w:hAnsi="宋体"/>
                <w:sz w:val="24"/>
              </w:rPr>
              <w:t>，对</w:t>
            </w:r>
            <w:r>
              <w:rPr>
                <w:rFonts w:hint="eastAsia" w:hAnsi="宋体"/>
                <w:sz w:val="24"/>
              </w:rPr>
              <w:t>周边</w:t>
            </w:r>
            <w:r>
              <w:rPr>
                <w:rFonts w:hAnsi="宋体"/>
                <w:sz w:val="24"/>
              </w:rPr>
              <w:t>环境水质影响很小</w:t>
            </w:r>
            <w:r>
              <w:rPr>
                <w:rFonts w:hint="eastAsia" w:hAnsi="宋体"/>
                <w:sz w:val="24"/>
              </w:rPr>
              <w:t>。</w:t>
            </w:r>
          </w:p>
          <w:p>
            <w:pPr>
              <w:spacing w:line="360" w:lineRule="auto"/>
              <w:ind w:firstLine="480" w:firstLineChars="200"/>
              <w:rPr>
                <w:rFonts w:hint="eastAsia"/>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lang/>
              </w:rPr>
              <w:t>⑤</w:t>
            </w:r>
            <w:r>
              <w:rPr>
                <w:sz w:val="24"/>
              </w:rPr>
              <w:fldChar w:fldCharType="end"/>
            </w:r>
            <w:r>
              <w:rPr>
                <w:rFonts w:hint="eastAsia"/>
                <w:sz w:val="24"/>
              </w:rPr>
              <w:t>施工机械冲洗废水和废机油</w:t>
            </w:r>
          </w:p>
          <w:p>
            <w:pPr>
              <w:spacing w:line="360" w:lineRule="auto"/>
              <w:ind w:firstLine="480" w:firstLineChars="200"/>
              <w:rPr>
                <w:sz w:val="24"/>
              </w:rPr>
            </w:pPr>
            <w:r>
              <w:rPr>
                <w:rFonts w:hint="eastAsia"/>
                <w:sz w:val="24"/>
              </w:rPr>
              <w:t>挖掘机、推土机冲洗泥土的废水主要污染物为悬浮物；如果施工机械燃油存在跑、冒、滴、漏，则废水中还含有一定石油类污染物。防止施工机械燃油跑、冒、滴、漏，在冲洗区修建临时收集池，澄清后可用于施工场地洒水降尘，可避免施工机械冲洗废水对水环境的污染。</w:t>
            </w:r>
          </w:p>
          <w:p>
            <w:pPr>
              <w:adjustRightInd w:val="0"/>
              <w:spacing w:line="360" w:lineRule="auto"/>
              <w:ind w:firstLine="480" w:firstLineChars="200"/>
              <w:jc w:val="left"/>
              <w:rPr>
                <w:rFonts w:hint="eastAsia"/>
                <w:sz w:val="24"/>
              </w:rPr>
            </w:pPr>
            <w:r>
              <w:rPr>
                <w:rFonts w:hint="eastAsia"/>
                <w:sz w:val="24"/>
              </w:rPr>
              <w:t>施工机械保养、更换机油产生废机油采用专用容器收集，交由专业单位回收处置，可避免废机油对水环境的污染。</w:t>
            </w:r>
          </w:p>
          <w:p>
            <w:pPr>
              <w:adjustRightInd w:val="0"/>
              <w:spacing w:line="360" w:lineRule="auto"/>
              <w:ind w:firstLine="480" w:firstLineChars="200"/>
              <w:jc w:val="left"/>
              <w:rPr>
                <w:rFonts w:hint="eastAsia"/>
                <w:color w:val="FF0000"/>
                <w:sz w:val="24"/>
              </w:rPr>
            </w:pPr>
          </w:p>
          <w:p>
            <w:pPr>
              <w:spacing w:line="360" w:lineRule="auto"/>
              <w:ind w:firstLine="480" w:firstLineChars="200"/>
              <w:rPr>
                <w:sz w:val="24"/>
              </w:rPr>
            </w:pPr>
            <w:r>
              <w:rPr>
                <w:rFonts w:hint="eastAsia"/>
                <w:sz w:val="24"/>
              </w:rPr>
              <w:t>（</w:t>
            </w:r>
            <w:r>
              <w:rPr>
                <w:sz w:val="24"/>
              </w:rPr>
              <w:t>2</w:t>
            </w:r>
            <w:r>
              <w:rPr>
                <w:rFonts w:hint="eastAsia"/>
                <w:sz w:val="24"/>
              </w:rPr>
              <w:t>）头道河提升工程水环境影响</w:t>
            </w:r>
          </w:p>
          <w:p>
            <w:pPr>
              <w:spacing w:line="360" w:lineRule="auto"/>
              <w:ind w:firstLine="480" w:firstLineChars="200"/>
              <w:rPr>
                <w:sz w:val="24"/>
              </w:rPr>
            </w:pPr>
            <w:r>
              <w:rPr>
                <w:rFonts w:hint="eastAsia"/>
                <w:sz w:val="24"/>
              </w:rPr>
              <w:t>头道河提升工程主要包含河岸两边步行、自行车道路建设，立交桥附件河道扩宽景观建设和河岸乔灌木、湿地植物种植等工程建设。施工过程中可能对水环境产生一定影响。</w:t>
            </w:r>
          </w:p>
          <w:p>
            <w:pPr>
              <w:spacing w:line="360" w:lineRule="auto"/>
              <w:ind w:firstLine="480" w:firstLineChars="200"/>
              <w:rPr>
                <w:sz w:val="24"/>
              </w:rPr>
            </w:pPr>
            <w:r>
              <w:rPr>
                <w:rFonts w:hint="eastAsia"/>
                <w:sz w:val="24"/>
              </w:rPr>
              <w:t>在河堤修建、河道扩宽机械施工时，机械搅动及水上设备移动等因素都可对水体造成相当规模的扰动，从而引起沉积泥沙特别是细颗粒的扩散，使河水变浑浊，对水质有一定影响，但由于颗粒物的自身重力沉降，在流经一段短时间后，该影响将会消失。河道扩宽施工区域，通过施工导流，使施工区域内河水导流绕开施工区域，这样可减少施工扰动对河水的影响。</w:t>
            </w:r>
          </w:p>
          <w:p>
            <w:pPr>
              <w:spacing w:line="360" w:lineRule="auto"/>
              <w:ind w:firstLine="480" w:firstLineChars="200"/>
              <w:rPr>
                <w:rFonts w:hint="eastAsia"/>
                <w:sz w:val="24"/>
              </w:rPr>
            </w:pPr>
            <w:r>
              <w:rPr>
                <w:rFonts w:hint="eastAsia"/>
                <w:sz w:val="24"/>
              </w:rPr>
              <w:t>河岸施工，主要已步行、自行车道，绿化景观，公共设施的建设为主，施工工程量较小，施工过程中，注意对河道一侧进行施工拦挡，施工废水收集回用不排入河道等措施减小对头道河的影响。</w:t>
            </w:r>
          </w:p>
          <w:p>
            <w:pPr>
              <w:spacing w:line="360" w:lineRule="auto"/>
              <w:ind w:firstLine="480" w:firstLineChars="200"/>
              <w:rPr>
                <w:sz w:val="24"/>
              </w:rPr>
            </w:pPr>
            <w:r>
              <w:rPr>
                <w:sz w:val="24"/>
              </w:rPr>
              <w:t>（3）减缓措施</w:t>
            </w:r>
            <w:r>
              <w:rPr>
                <w:rFonts w:hint="eastAsia"/>
                <w:sz w:val="24"/>
              </w:rPr>
              <w:t>：</w:t>
            </w:r>
          </w:p>
          <w:p>
            <w:pPr>
              <w:spacing w:line="360" w:lineRule="auto"/>
              <w:ind w:firstLine="480" w:firstLineChars="200"/>
              <w:rPr>
                <w:rFonts w:hint="eastAsia"/>
                <w:sz w:val="24"/>
              </w:rPr>
            </w:pPr>
            <w:r>
              <w:rPr>
                <w:sz w:val="24"/>
              </w:rPr>
              <w:t>针对建设期污废水可能对地表水体产生的影响，可采取以下措施减缓对水环境的污染：</w:t>
            </w:r>
          </w:p>
          <w:p>
            <w:pPr>
              <w:spacing w:line="360" w:lineRule="auto"/>
              <w:ind w:firstLine="480" w:firstLineChars="200"/>
              <w:rPr>
                <w:rFonts w:eastAsia="新宋体"/>
                <w:sz w:val="24"/>
              </w:rPr>
            </w:pPr>
            <w:r>
              <w:rPr>
                <w:rFonts w:ascii="宋体" w:hAnsi="宋体"/>
                <w:sz w:val="24"/>
              </w:rPr>
              <w:t>①</w:t>
            </w:r>
            <w:r>
              <w:rPr>
                <w:rFonts w:hint="eastAsia" w:eastAsia="新宋体"/>
                <w:sz w:val="24"/>
              </w:rPr>
              <w:t>修建临时沉砂池，基坑涌水应沉淀处理；施工过程中</w:t>
            </w:r>
            <w:r>
              <w:rPr>
                <w:rFonts w:eastAsia="新宋体"/>
                <w:sz w:val="24"/>
              </w:rPr>
              <w:t>设置施工废水收集池，将引入池中的废水进行沉淀处理后，回用于场地浇洒等，禁止施工废水随意排放。</w:t>
            </w:r>
          </w:p>
          <w:p>
            <w:pPr>
              <w:spacing w:line="360" w:lineRule="auto"/>
              <w:ind w:firstLine="480" w:firstLineChars="200"/>
              <w:rPr>
                <w:rFonts w:hint="eastAsia" w:eastAsia="新宋体"/>
                <w:sz w:val="24"/>
              </w:rPr>
            </w:pPr>
            <w:r>
              <w:rPr>
                <w:sz w:val="24"/>
              </w:rPr>
              <w:t>②加强施工机械管理，尽量避免跑、冒、滴、漏；设置固定的车辆冲洗场所和隔油、沉砂池等处理设施；</w:t>
            </w:r>
            <w:r>
              <w:rPr>
                <w:rFonts w:hint="eastAsia" w:eastAsia="新宋体"/>
                <w:sz w:val="24"/>
              </w:rPr>
              <w:t>沉淀后用于施工场地洒水降尘，不外排。</w:t>
            </w:r>
          </w:p>
          <w:p>
            <w:pPr>
              <w:spacing w:line="360" w:lineRule="auto"/>
              <w:ind w:firstLine="480" w:firstLineChars="200"/>
              <w:rPr>
                <w:sz w:val="24"/>
              </w:rPr>
            </w:pPr>
            <w:r>
              <w:rPr>
                <w:sz w:val="24"/>
              </w:rPr>
              <w:t>③</w:t>
            </w:r>
            <w:r>
              <w:rPr>
                <w:rFonts w:eastAsia="新宋体"/>
                <w:sz w:val="24"/>
              </w:rPr>
              <w:t>注意施工期节约用水，减少废水的产生。降雨期间，不进行挖填方作业。暴雨期间禁止施工。合理安排施工期，大面积的破土应尽量避开雨季。</w:t>
            </w:r>
          </w:p>
          <w:p>
            <w:pPr>
              <w:spacing w:line="360" w:lineRule="auto"/>
              <w:ind w:firstLine="480" w:firstLineChars="200"/>
              <w:rPr>
                <w:rFonts w:eastAsia="新宋体"/>
                <w:sz w:val="24"/>
              </w:rPr>
            </w:pPr>
            <w:r>
              <w:rPr>
                <w:rFonts w:hint="eastAsia"/>
                <w:sz w:val="24"/>
              </w:rPr>
              <w:t>④</w:t>
            </w:r>
            <w:r>
              <w:rPr>
                <w:rFonts w:eastAsia="新宋体"/>
                <w:sz w:val="24"/>
              </w:rPr>
              <w:t>施工期间应优先完成</w:t>
            </w:r>
            <w:r>
              <w:rPr>
                <w:rFonts w:hint="eastAsia" w:eastAsia="新宋体"/>
                <w:sz w:val="24"/>
              </w:rPr>
              <w:t>施工场</w:t>
            </w:r>
            <w:r>
              <w:rPr>
                <w:rFonts w:eastAsia="新宋体"/>
                <w:sz w:val="24"/>
              </w:rPr>
              <w:t>内外雨水截流沟，使施工区内外的雨水分流。在污水管道施工期间，注意</w:t>
            </w:r>
            <w:r>
              <w:rPr>
                <w:rFonts w:hint="eastAsia" w:eastAsia="新宋体"/>
                <w:sz w:val="24"/>
              </w:rPr>
              <w:t>管道</w:t>
            </w:r>
            <w:r>
              <w:rPr>
                <w:rFonts w:eastAsia="新宋体"/>
                <w:sz w:val="24"/>
              </w:rPr>
              <w:t>的连接要密封，以防止将来污水从管中渗漏污染地下水</w:t>
            </w:r>
            <w:r>
              <w:rPr>
                <w:rFonts w:hint="eastAsia" w:eastAsia="新宋体"/>
                <w:sz w:val="24"/>
              </w:rPr>
              <w:t>。</w:t>
            </w:r>
          </w:p>
          <w:p>
            <w:pPr>
              <w:spacing w:line="360" w:lineRule="auto"/>
              <w:ind w:firstLine="480" w:firstLineChars="200"/>
              <w:rPr>
                <w:rFonts w:eastAsia="新宋体"/>
                <w:sz w:val="24"/>
              </w:rPr>
            </w:pPr>
            <w:r>
              <w:rPr>
                <w:sz w:val="24"/>
              </w:rPr>
              <w:t>⑤土石方开挖应科学规划，按着</w:t>
            </w:r>
            <w:r>
              <w:rPr>
                <w:rFonts w:hint="eastAsia"/>
                <w:sz w:val="24"/>
              </w:rPr>
              <w:t>“</w:t>
            </w:r>
            <w:r>
              <w:rPr>
                <w:sz w:val="24"/>
              </w:rPr>
              <w:t>当天开挖多少，就运走多少，及时推平碾压多少</w:t>
            </w:r>
            <w:r>
              <w:rPr>
                <w:rFonts w:hint="eastAsia"/>
                <w:sz w:val="24"/>
              </w:rPr>
              <w:t>”</w:t>
            </w:r>
            <w:r>
              <w:rPr>
                <w:sz w:val="24"/>
              </w:rPr>
              <w:t>的原则进行施工，避免不必要的堆、弃土造成水土流失污染水体</w:t>
            </w:r>
            <w:r>
              <w:rPr>
                <w:rFonts w:hint="eastAsia"/>
                <w:sz w:val="24"/>
              </w:rPr>
              <w:t>。</w:t>
            </w:r>
          </w:p>
          <w:p>
            <w:pPr>
              <w:spacing w:line="360" w:lineRule="auto"/>
              <w:ind w:firstLine="480" w:firstLineChars="200"/>
              <w:rPr>
                <w:rFonts w:hint="eastAsia"/>
                <w:sz w:val="24"/>
              </w:rPr>
            </w:pPr>
            <w:r>
              <w:rPr>
                <w:sz w:val="24"/>
              </w:rPr>
              <w:t>⑥工程完工后尽快绿化或固化地面，尽量减少雨水对裸露地表的冲刷，减小水土流失</w:t>
            </w:r>
            <w:r>
              <w:rPr>
                <w:rFonts w:hint="eastAsia"/>
                <w:sz w:val="24"/>
              </w:rPr>
              <w:t>。</w:t>
            </w:r>
          </w:p>
          <w:p>
            <w:pPr>
              <w:spacing w:line="360" w:lineRule="auto"/>
              <w:ind w:firstLine="480" w:firstLineChars="200"/>
              <w:rPr>
                <w:sz w:val="24"/>
              </w:rPr>
            </w:pPr>
            <w:r>
              <w:rPr>
                <w:rFonts w:eastAsia="新宋体"/>
                <w:sz w:val="24"/>
              </w:rPr>
              <w:fldChar w:fldCharType="begin"/>
            </w:r>
            <w:r>
              <w:rPr>
                <w:rFonts w:eastAsia="新宋体"/>
                <w:sz w:val="24"/>
              </w:rPr>
              <w:instrText xml:space="preserve"> </w:instrText>
            </w:r>
            <w:r>
              <w:rPr>
                <w:rFonts w:hint="eastAsia" w:eastAsia="新宋体"/>
                <w:sz w:val="24"/>
              </w:rPr>
              <w:instrText xml:space="preserve">= 7 \* GB3</w:instrText>
            </w:r>
            <w:r>
              <w:rPr>
                <w:rFonts w:eastAsia="新宋体"/>
                <w:sz w:val="24"/>
              </w:rPr>
              <w:instrText xml:space="preserve"> </w:instrText>
            </w:r>
            <w:r>
              <w:rPr>
                <w:rFonts w:eastAsia="新宋体"/>
                <w:sz w:val="24"/>
              </w:rPr>
              <w:fldChar w:fldCharType="separate"/>
            </w:r>
            <w:r>
              <w:rPr>
                <w:rFonts w:hint="eastAsia" w:eastAsia="新宋体"/>
                <w:sz w:val="24"/>
                <w:lang/>
              </w:rPr>
              <w:t>⑦</w:t>
            </w:r>
            <w:r>
              <w:rPr>
                <w:rFonts w:eastAsia="新宋体"/>
                <w:sz w:val="24"/>
              </w:rPr>
              <w:fldChar w:fldCharType="end"/>
            </w:r>
            <w:r>
              <w:rPr>
                <w:rFonts w:hint="eastAsia" w:eastAsia="新宋体"/>
                <w:sz w:val="24"/>
              </w:rPr>
              <w:t>由于项目西侧靠近头道河，仅相距20米，距离较近。为了防止施工期废水排入头道河，</w:t>
            </w:r>
            <w:r>
              <w:rPr>
                <w:rFonts w:hint="eastAsia"/>
                <w:sz w:val="24"/>
              </w:rPr>
              <w:t>靠近</w:t>
            </w:r>
            <w:r>
              <w:rPr>
                <w:rFonts w:hint="eastAsia" w:eastAsia="新宋体"/>
                <w:sz w:val="24"/>
              </w:rPr>
              <w:t>头道河</w:t>
            </w:r>
            <w:r>
              <w:rPr>
                <w:rFonts w:hint="eastAsia"/>
                <w:sz w:val="24"/>
              </w:rPr>
              <w:t>一侧的施工场地，采取先建设施工围挡的措施，避免施工废水流入</w:t>
            </w:r>
            <w:r>
              <w:rPr>
                <w:rFonts w:hint="eastAsia" w:eastAsia="新宋体"/>
                <w:sz w:val="24"/>
              </w:rPr>
              <w:t>头道河</w:t>
            </w:r>
            <w:r>
              <w:rPr>
                <w:rFonts w:hint="eastAsia"/>
                <w:sz w:val="24"/>
              </w:rPr>
              <w:t>并减缓施工挖方临时堆放引起的水土流失。</w:t>
            </w:r>
            <w:r>
              <w:rPr>
                <w:rFonts w:hint="eastAsia" w:eastAsia="新宋体"/>
                <w:sz w:val="24"/>
              </w:rPr>
              <w:t>建设单位应严格要求现场施工人员，严格规范施工期的操作，</w:t>
            </w:r>
            <w:r>
              <w:rPr>
                <w:rFonts w:hint="eastAsia"/>
                <w:sz w:val="24"/>
              </w:rPr>
              <w:t>现场修建临时的沉淀池保证废水的集中处理以及循环利用。禁止对</w:t>
            </w:r>
            <w:r>
              <w:rPr>
                <w:rFonts w:hint="eastAsia" w:eastAsia="新宋体"/>
                <w:sz w:val="24"/>
              </w:rPr>
              <w:t>头道河</w:t>
            </w:r>
            <w:r>
              <w:rPr>
                <w:rFonts w:hint="eastAsia"/>
                <w:sz w:val="24"/>
              </w:rPr>
              <w:t>倾倒任何废水、废渣，规范施工人员的工作情况。同时对沉淀池的运行状况要及时做好维护与保养，确保其正常运行，保证项目施工废水的有效处理。</w:t>
            </w:r>
          </w:p>
          <w:p>
            <w:pPr>
              <w:spacing w:line="360" w:lineRule="auto"/>
              <w:ind w:firstLine="480" w:firstLineChars="200"/>
              <w:rPr>
                <w:rFonts w:hint="eastAsia" w:eastAsia="新宋体"/>
                <w:sz w:val="24"/>
              </w:rPr>
            </w:pPr>
            <w:r>
              <w:rPr>
                <w:rFonts w:hint="eastAsia"/>
                <w:sz w:val="24"/>
              </w:rPr>
              <w:t>头道河河道扩宽工程施工过程中，做好施工导流，施工区域内河水导流绕开施工区域，减小施工扰动对河水水质的影响。</w:t>
            </w:r>
          </w:p>
          <w:p>
            <w:pPr>
              <w:spacing w:line="360" w:lineRule="auto"/>
              <w:ind w:firstLine="480" w:firstLineChars="200"/>
              <w:rPr>
                <w:sz w:val="24"/>
              </w:rPr>
            </w:pPr>
            <w:r>
              <w:rPr>
                <w:rFonts w:hint="eastAsia"/>
                <w:sz w:val="24"/>
              </w:rPr>
              <w:t>本项目施工期废水产生量较小，通过采取和落实本项目提出的施工废水防治措施，施工期产生的废水对水环境造成的影响较小。</w:t>
            </w:r>
          </w:p>
          <w:p>
            <w:pPr>
              <w:spacing w:line="360" w:lineRule="auto"/>
              <w:ind w:firstLine="482" w:firstLineChars="200"/>
              <w:rPr>
                <w:b/>
                <w:sz w:val="24"/>
              </w:rPr>
            </w:pPr>
            <w:r>
              <w:rPr>
                <w:rFonts w:hint="eastAsia"/>
                <w:b/>
                <w:sz w:val="24"/>
              </w:rPr>
              <w:t>3</w:t>
            </w:r>
            <w:r>
              <w:rPr>
                <w:b/>
                <w:sz w:val="24"/>
              </w:rPr>
              <w:t>、固体废弃物影响分析</w:t>
            </w:r>
          </w:p>
          <w:p>
            <w:pPr>
              <w:spacing w:line="360" w:lineRule="auto"/>
              <w:ind w:firstLine="480" w:firstLineChars="200"/>
              <w:rPr>
                <w:rFonts w:hint="eastAsia"/>
                <w:sz w:val="24"/>
              </w:rPr>
            </w:pPr>
            <w:r>
              <w:rPr>
                <w:sz w:val="24"/>
              </w:rPr>
              <w:t>（1）影响分析</w:t>
            </w:r>
            <w:r>
              <w:rPr>
                <w:rFonts w:hint="eastAsia"/>
                <w:sz w:val="24"/>
              </w:rPr>
              <w:t>：</w:t>
            </w:r>
          </w:p>
          <w:p>
            <w:pPr>
              <w:adjustRightInd w:val="0"/>
              <w:spacing w:line="360" w:lineRule="auto"/>
              <w:ind w:firstLine="480" w:firstLineChars="200"/>
              <w:jc w:val="left"/>
              <w:rPr>
                <w:rFonts w:hint="eastAsia"/>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lang/>
              </w:rPr>
              <w:t>①</w:t>
            </w:r>
            <w:r>
              <w:rPr>
                <w:sz w:val="24"/>
              </w:rPr>
              <w:fldChar w:fldCharType="end"/>
            </w:r>
            <w:r>
              <w:rPr>
                <w:rFonts w:hint="eastAsia"/>
                <w:sz w:val="24"/>
              </w:rPr>
              <w:t>基础开挖土石方</w:t>
            </w:r>
          </w:p>
          <w:p>
            <w:pPr>
              <w:adjustRightInd w:val="0"/>
              <w:spacing w:line="360" w:lineRule="auto"/>
              <w:ind w:firstLine="480" w:firstLineChars="200"/>
              <w:jc w:val="left"/>
              <w:rPr>
                <w:rFonts w:hint="eastAsia"/>
                <w:sz w:val="24"/>
              </w:rPr>
            </w:pPr>
            <w:r>
              <w:rPr>
                <w:rFonts w:hint="eastAsia"/>
                <w:sz w:val="24"/>
              </w:rPr>
              <w:t>根据可研报告和设计说明，本项目建设期间总挖方放量为</w:t>
            </w:r>
            <w:r>
              <w:rPr>
                <w:sz w:val="24"/>
              </w:rPr>
              <w:t>229114.78</w:t>
            </w:r>
            <w:r>
              <w:rPr>
                <w:rFonts w:hint="eastAsia"/>
                <w:sz w:val="24"/>
              </w:rPr>
              <w:t>m</w:t>
            </w:r>
            <w:r>
              <w:rPr>
                <w:rFonts w:hint="eastAsia"/>
                <w:sz w:val="24"/>
                <w:vertAlign w:val="superscript"/>
              </w:rPr>
              <w:t>3</w:t>
            </w:r>
            <w:r>
              <w:rPr>
                <w:rFonts w:hint="eastAsia"/>
                <w:sz w:val="24"/>
              </w:rPr>
              <w:t>，回</w:t>
            </w:r>
            <w:r>
              <w:rPr>
                <w:sz w:val="24"/>
              </w:rPr>
              <w:t>填方量为</w:t>
            </w:r>
            <w:r>
              <w:rPr>
                <w:rFonts w:hint="eastAsia"/>
                <w:sz w:val="24"/>
              </w:rPr>
              <w:t>21738.91 m</w:t>
            </w:r>
            <w:r>
              <w:rPr>
                <w:rFonts w:hint="eastAsia"/>
                <w:sz w:val="24"/>
                <w:vertAlign w:val="superscript"/>
              </w:rPr>
              <w:t>3</w:t>
            </w:r>
            <w:r>
              <w:rPr>
                <w:rFonts w:hint="eastAsia"/>
                <w:sz w:val="24"/>
              </w:rPr>
              <w:t>，</w:t>
            </w:r>
            <w:r>
              <w:rPr>
                <w:sz w:val="24"/>
              </w:rPr>
              <w:t>产生弃土</w:t>
            </w:r>
            <w:r>
              <w:rPr>
                <w:rFonts w:hint="eastAsia"/>
                <w:sz w:val="24"/>
              </w:rPr>
              <w:t>207375.87 m</w:t>
            </w:r>
            <w:r>
              <w:rPr>
                <w:rFonts w:hint="eastAsia"/>
                <w:sz w:val="24"/>
                <w:vertAlign w:val="superscript"/>
              </w:rPr>
              <w:t>3，</w:t>
            </w:r>
            <w:r>
              <w:rPr>
                <w:rFonts w:hint="eastAsia"/>
                <w:sz w:val="24"/>
              </w:rPr>
              <w:t>。运至</w:t>
            </w:r>
            <w:r>
              <w:rPr>
                <w:sz w:val="24"/>
              </w:rPr>
              <w:t>指定地点堆存，对外环境影响较小。</w:t>
            </w:r>
          </w:p>
          <w:p>
            <w:pPr>
              <w:adjustRightInd w:val="0"/>
              <w:spacing w:line="360" w:lineRule="auto"/>
              <w:ind w:firstLine="480" w:firstLineChars="200"/>
              <w:jc w:val="left"/>
              <w:rPr>
                <w:rFonts w:hint="eastAsia"/>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lang/>
              </w:rPr>
              <w:t>②</w:t>
            </w:r>
            <w:r>
              <w:rPr>
                <w:sz w:val="24"/>
              </w:rPr>
              <w:fldChar w:fldCharType="end"/>
            </w:r>
            <w:r>
              <w:rPr>
                <w:sz w:val="24"/>
              </w:rPr>
              <w:t>建筑垃圾</w:t>
            </w:r>
          </w:p>
          <w:p>
            <w:pPr>
              <w:autoSpaceDE w:val="0"/>
              <w:autoSpaceDN w:val="0"/>
              <w:adjustRightInd w:val="0"/>
              <w:spacing w:line="360" w:lineRule="auto"/>
              <w:ind w:firstLine="200"/>
              <w:jc w:val="left"/>
              <w:rPr>
                <w:sz w:val="24"/>
                <w:lang w:val="zh-CN"/>
              </w:rPr>
            </w:pPr>
            <w:r>
              <w:rPr>
                <w:rFonts w:hint="eastAsia"/>
                <w:sz w:val="24"/>
              </w:rPr>
              <w:t>建筑垃圾主要为</w:t>
            </w:r>
            <w:r>
              <w:rPr>
                <w:rFonts w:hint="eastAsia"/>
                <w:sz w:val="24"/>
                <w:lang w:val="zh-CN"/>
              </w:rPr>
              <w:t>废弃的砖石、水泥凝结废渣、废弃铁质和废弃的木质建材等。项目产生的建筑垃圾通过分类集中堆放，避免混合堆放，可提高建筑垃圾的可综合利用率，减小处置难度；可回收重复利用的主要为废弃铁质或木质建材，铁质建材集中收集后可外售给废品收购站，木质建材也可外售；废弃的砖石、水泥凝结废渣产生量约4.806t，运至指定堆放点堆放处理。</w:t>
            </w:r>
          </w:p>
          <w:p>
            <w:pPr>
              <w:autoSpaceDE w:val="0"/>
              <w:autoSpaceDN w:val="0"/>
              <w:adjustRightInd w:val="0"/>
              <w:spacing w:line="360" w:lineRule="auto"/>
              <w:ind w:firstLine="480" w:firstLineChars="200"/>
              <w:rPr>
                <w:rFonts w:hAnsi="宋体"/>
                <w:sz w:val="24"/>
              </w:rPr>
            </w:pPr>
            <w:r>
              <w:rPr>
                <w:rFonts w:hint="eastAsia"/>
                <w:sz w:val="24"/>
              </w:rPr>
              <w:t>运输过程中</w:t>
            </w:r>
            <w:r>
              <w:rPr>
                <w:sz w:val="24"/>
              </w:rPr>
              <w:t>加强运输车辆的管理，合理安排施工车辆行驶路线，尽量避开</w:t>
            </w:r>
            <w:r>
              <w:rPr>
                <w:rFonts w:hint="eastAsia"/>
                <w:sz w:val="24"/>
              </w:rPr>
              <w:t>学校、医院、</w:t>
            </w:r>
            <w:r>
              <w:rPr>
                <w:sz w:val="24"/>
              </w:rPr>
              <w:t>居民集中区，路经居民集中区域应尽量减缓行驶车速。施工区运输车辆实行限速行驶，</w:t>
            </w:r>
            <w:r>
              <w:rPr>
                <w:rFonts w:hint="eastAsia"/>
                <w:sz w:val="24"/>
              </w:rPr>
              <w:t>垃圾</w:t>
            </w:r>
            <w:r>
              <w:rPr>
                <w:sz w:val="24"/>
              </w:rPr>
              <w:t>等在运输过程中应加盖封闭并适量装车，以防运输过程中撒落引起二次</w:t>
            </w:r>
            <w:r>
              <w:rPr>
                <w:rFonts w:hint="eastAsia"/>
                <w:sz w:val="24"/>
              </w:rPr>
              <w:t>污染</w:t>
            </w:r>
            <w:r>
              <w:rPr>
                <w:sz w:val="24"/>
              </w:rPr>
              <w:t>；运输车辆在离开施工区时冲洗轮胎，检查装车质量，防止扬尘污染。</w:t>
            </w:r>
          </w:p>
          <w:p>
            <w:pPr>
              <w:adjustRightInd w:val="0"/>
              <w:spacing w:line="360" w:lineRule="auto"/>
              <w:ind w:firstLine="480" w:firstLineChars="200"/>
              <w:jc w:val="left"/>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lang/>
              </w:rPr>
              <w:t>③</w:t>
            </w:r>
            <w:r>
              <w:rPr>
                <w:sz w:val="24"/>
              </w:rPr>
              <w:fldChar w:fldCharType="end"/>
            </w:r>
            <w:r>
              <w:rPr>
                <w:sz w:val="24"/>
              </w:rPr>
              <w:t xml:space="preserve">施工人员生活垃圾 </w:t>
            </w:r>
          </w:p>
          <w:p>
            <w:pPr>
              <w:spacing w:line="360" w:lineRule="auto"/>
              <w:ind w:firstLine="480" w:firstLineChars="200"/>
              <w:rPr>
                <w:sz w:val="24"/>
              </w:rPr>
            </w:pPr>
            <w:r>
              <w:rPr>
                <w:rFonts w:hAnsi="宋体"/>
                <w:sz w:val="24"/>
              </w:rPr>
              <w:t>施工人员的生活垃圾将设</w:t>
            </w:r>
            <w:r>
              <w:rPr>
                <w:rFonts w:hint="eastAsia" w:hAnsi="宋体"/>
                <w:sz w:val="24"/>
              </w:rPr>
              <w:t>垃圾桶</w:t>
            </w:r>
            <w:r>
              <w:rPr>
                <w:rFonts w:hAnsi="宋体"/>
                <w:sz w:val="24"/>
              </w:rPr>
              <w:t>，将垃圾收集后由环卫部门统一处置。</w:t>
            </w:r>
          </w:p>
          <w:p>
            <w:pPr>
              <w:spacing w:line="360" w:lineRule="auto"/>
              <w:ind w:firstLine="480" w:firstLineChars="200"/>
              <w:rPr>
                <w:rFonts w:hAnsi="宋体"/>
                <w:sz w:val="24"/>
              </w:rPr>
            </w:pPr>
            <w:r>
              <w:rPr>
                <w:rFonts w:hAnsi="宋体"/>
                <w:sz w:val="24"/>
              </w:rPr>
              <w:t>在项目施工期间，</w:t>
            </w:r>
            <w:r>
              <w:rPr>
                <w:rFonts w:hint="eastAsia" w:hAnsi="宋体"/>
                <w:sz w:val="24"/>
              </w:rPr>
              <w:t>通过</w:t>
            </w:r>
            <w:r>
              <w:rPr>
                <w:rFonts w:hAnsi="宋体"/>
                <w:sz w:val="24"/>
              </w:rPr>
              <w:t>加强对施工人员和施工过程的管理，规范固体废物的堆放与处置，严格执行文明施工条例，对所产生的固体废弃物进行合理处置，则施工期所产生的固体废物不会对当地环境产生不良影响。</w:t>
            </w:r>
          </w:p>
          <w:p>
            <w:pPr>
              <w:spacing w:line="360" w:lineRule="auto"/>
              <w:ind w:firstLine="480" w:firstLineChars="200"/>
              <w:rPr>
                <w:rFonts w:hAnsi="宋体"/>
                <w:sz w:val="24"/>
              </w:rPr>
            </w:pPr>
            <w:r>
              <w:rPr>
                <w:rFonts w:hAnsi="宋体"/>
                <w:sz w:val="24"/>
              </w:rPr>
              <w:fldChar w:fldCharType="begin"/>
            </w:r>
            <w:r>
              <w:rPr>
                <w:rFonts w:hAnsi="宋体"/>
                <w:sz w:val="24"/>
              </w:rPr>
              <w:instrText xml:space="preserve"> </w:instrText>
            </w:r>
            <w:r>
              <w:rPr>
                <w:rFonts w:hint="eastAsia" w:hAnsi="宋体"/>
                <w:sz w:val="24"/>
              </w:rPr>
              <w:instrText xml:space="preserve">= 4 \* GB3</w:instrText>
            </w:r>
            <w:r>
              <w:rPr>
                <w:rFonts w:hAnsi="宋体"/>
                <w:sz w:val="24"/>
              </w:rPr>
              <w:instrText xml:space="preserve"> </w:instrText>
            </w:r>
            <w:r>
              <w:rPr>
                <w:rFonts w:hAnsi="宋体"/>
                <w:sz w:val="24"/>
              </w:rPr>
              <w:fldChar w:fldCharType="separate"/>
            </w:r>
            <w:r>
              <w:rPr>
                <w:rFonts w:hint="eastAsia" w:hAnsi="宋体"/>
                <w:sz w:val="24"/>
                <w:lang/>
              </w:rPr>
              <w:t>④</w:t>
            </w:r>
            <w:r>
              <w:rPr>
                <w:rFonts w:hAnsi="宋体"/>
                <w:sz w:val="24"/>
              </w:rPr>
              <w:fldChar w:fldCharType="end"/>
            </w:r>
            <w:r>
              <w:rPr>
                <w:rFonts w:hint="eastAsia" w:hAnsi="宋体"/>
                <w:sz w:val="24"/>
              </w:rPr>
              <w:t>河道扩宽河泥</w:t>
            </w:r>
          </w:p>
          <w:p>
            <w:pPr>
              <w:spacing w:line="360" w:lineRule="auto"/>
              <w:ind w:firstLine="480" w:firstLineChars="200"/>
              <w:rPr>
                <w:rFonts w:hint="eastAsia"/>
                <w:sz w:val="24"/>
              </w:rPr>
            </w:pPr>
            <w:r>
              <w:rPr>
                <w:rFonts w:hint="eastAsia" w:hAnsi="宋体"/>
                <w:sz w:val="24"/>
              </w:rPr>
              <w:t xml:space="preserve"> 扩宽施工过程中，会开挖一定的河泥，开挖的河泥就地用于河道两岸堤岸建设，不外运。</w:t>
            </w:r>
          </w:p>
          <w:p>
            <w:pPr>
              <w:spacing w:line="360" w:lineRule="auto"/>
              <w:ind w:firstLine="480" w:firstLineChars="200"/>
              <w:rPr>
                <w:rFonts w:hAnsi="宋体"/>
                <w:sz w:val="24"/>
              </w:rPr>
            </w:pPr>
            <w:r>
              <w:rPr>
                <w:rFonts w:hAnsi="宋体"/>
                <w:sz w:val="24"/>
              </w:rPr>
              <w:t>（2）减缓措施</w:t>
            </w:r>
            <w:r>
              <w:rPr>
                <w:rFonts w:hint="eastAsia" w:hAnsi="宋体"/>
                <w:sz w:val="24"/>
              </w:rPr>
              <w:t>：</w:t>
            </w:r>
          </w:p>
          <w:p>
            <w:pPr>
              <w:spacing w:line="360" w:lineRule="auto"/>
              <w:ind w:firstLine="480" w:firstLineChars="200"/>
              <w:rPr>
                <w:rFonts w:hAnsi="宋体"/>
                <w:sz w:val="24"/>
              </w:rPr>
            </w:pPr>
            <w:r>
              <w:rPr>
                <w:rFonts w:hAnsi="宋体"/>
                <w:sz w:val="24"/>
              </w:rPr>
              <w:t>①建设施工单位加强施工管理，规范运输，</w:t>
            </w:r>
            <w:r>
              <w:rPr>
                <w:rFonts w:hint="eastAsia" w:hAnsi="宋体"/>
                <w:sz w:val="24"/>
              </w:rPr>
              <w:t>禁止超载、超速运输，</w:t>
            </w:r>
            <w:r>
              <w:rPr>
                <w:rFonts w:hAnsi="宋体"/>
                <w:sz w:val="24"/>
              </w:rPr>
              <w:t>不得随路洒落，不得随意堆放弃土和建筑垃圾</w:t>
            </w:r>
            <w:r>
              <w:rPr>
                <w:rFonts w:hint="eastAsia" w:hAnsi="宋体"/>
                <w:sz w:val="24"/>
              </w:rPr>
              <w:t>。</w:t>
            </w:r>
          </w:p>
          <w:p>
            <w:pPr>
              <w:spacing w:line="360" w:lineRule="auto"/>
              <w:ind w:firstLine="480" w:firstLineChars="200"/>
              <w:rPr>
                <w:rFonts w:hAnsi="宋体"/>
                <w:sz w:val="24"/>
              </w:rPr>
            </w:pPr>
            <w:r>
              <w:rPr>
                <w:rFonts w:hAnsi="宋体"/>
                <w:sz w:val="24"/>
              </w:rPr>
              <w:t>②</w:t>
            </w:r>
            <w:r>
              <w:rPr>
                <w:rFonts w:hint="eastAsia" w:hAnsi="宋体"/>
                <w:sz w:val="24"/>
              </w:rPr>
              <w:t>施工土石方阶段开挖的土石方，在临时堆放期间应采取遮盖，防止表土流失。</w:t>
            </w:r>
          </w:p>
          <w:p>
            <w:pPr>
              <w:spacing w:line="360" w:lineRule="auto"/>
              <w:ind w:firstLine="480" w:firstLineChars="200"/>
              <w:rPr>
                <w:rFonts w:hint="eastAsia" w:hAnsi="宋体"/>
                <w:sz w:val="24"/>
              </w:rPr>
            </w:pPr>
            <w:r>
              <w:rPr>
                <w:rFonts w:hAnsi="宋体"/>
                <w:sz w:val="24"/>
              </w:rPr>
              <w:t>③</w:t>
            </w:r>
            <w:r>
              <w:rPr>
                <w:rFonts w:hint="eastAsia" w:hAnsi="宋体"/>
                <w:sz w:val="24"/>
              </w:rPr>
              <w:t>对于建筑垃圾应</w:t>
            </w:r>
            <w:r>
              <w:rPr>
                <w:rFonts w:hAnsi="宋体"/>
                <w:sz w:val="24"/>
              </w:rPr>
              <w:t>分类收集，将可以回收的部分（如废旧钢筋、铁丝等）集中收集后外售给废品收购站。可以再利用的部分（如木材等）分类堆放，进行再利用或外售。对于建筑垃圾中较为稳定的成分（如碎砖瓦砾等）</w:t>
            </w:r>
            <w:r>
              <w:rPr>
                <w:rFonts w:hint="eastAsia" w:hAnsi="宋体"/>
                <w:sz w:val="24"/>
              </w:rPr>
              <w:t>运至指定堆放点。</w:t>
            </w:r>
          </w:p>
          <w:p>
            <w:pPr>
              <w:spacing w:line="360" w:lineRule="auto"/>
              <w:ind w:firstLine="480" w:firstLineChars="200"/>
              <w:rPr>
                <w:rFonts w:hAnsi="宋体"/>
                <w:sz w:val="24"/>
              </w:rPr>
            </w:pPr>
            <w:r>
              <w:rPr>
                <w:rFonts w:hint="eastAsia" w:hAnsi="宋体"/>
                <w:sz w:val="24"/>
              </w:rPr>
              <w:t>④</w:t>
            </w:r>
            <w:r>
              <w:rPr>
                <w:rFonts w:hAnsi="宋体"/>
                <w:sz w:val="24"/>
              </w:rPr>
              <w:t>对于施工人员产生的分散垃圾，除对施工人员加强环境保护教育和有关宣传外，</w:t>
            </w:r>
            <w:r>
              <w:rPr>
                <w:rFonts w:hint="eastAsia" w:hAnsi="宋体"/>
                <w:sz w:val="24"/>
              </w:rPr>
              <w:t>还应加强施工场内卫生保洁工作。</w:t>
            </w:r>
            <w:r>
              <w:rPr>
                <w:rFonts w:hAnsi="宋体"/>
                <w:sz w:val="24"/>
              </w:rPr>
              <w:t>对于施工期施工人员产生的比较集中的生活垃圾，由于其中含有较多的易腐烂成分，必须</w:t>
            </w:r>
            <w:r>
              <w:rPr>
                <w:rFonts w:hint="eastAsia" w:hAnsi="宋体"/>
                <w:sz w:val="24"/>
              </w:rPr>
              <w:t>修建临时垃圾收集点，并</w:t>
            </w:r>
            <w:r>
              <w:rPr>
                <w:rFonts w:hAnsi="宋体"/>
                <w:sz w:val="24"/>
              </w:rPr>
              <w:t>防止在雨天被雨水浸泡而产生对环境危害严重的渗滤液。</w:t>
            </w:r>
            <w:r>
              <w:rPr>
                <w:rFonts w:hint="eastAsia" w:hAnsi="宋体"/>
                <w:sz w:val="24"/>
              </w:rPr>
              <w:t>施工人员生活垃圾集中收集后委托环卫部门定期清运。</w:t>
            </w:r>
          </w:p>
          <w:p>
            <w:pPr>
              <w:pStyle w:val="17"/>
              <w:spacing w:after="0" w:line="360" w:lineRule="auto"/>
              <w:ind w:right="-94" w:firstLine="480" w:firstLineChars="200"/>
              <w:jc w:val="left"/>
              <w:rPr>
                <w:rFonts w:hint="eastAsia" w:eastAsia="新宋体"/>
                <w:sz w:val="24"/>
              </w:rPr>
            </w:pPr>
            <w:r>
              <w:rPr>
                <w:rFonts w:hint="eastAsia" w:eastAsia="新宋体"/>
                <w:sz w:val="24"/>
              </w:rPr>
              <w:t>⑤</w:t>
            </w:r>
            <w:r>
              <w:rPr>
                <w:rFonts w:eastAsia="新宋体"/>
                <w:sz w:val="24"/>
              </w:rPr>
              <w:t>通过合理规划，减少不必要的土地占用。</w:t>
            </w:r>
            <w:r>
              <w:rPr>
                <w:rFonts w:hint="eastAsia" w:eastAsia="新宋体"/>
                <w:sz w:val="24"/>
              </w:rPr>
              <w:t>对于施工临时占用土地待施工结束后应进行</w:t>
            </w:r>
            <w:r>
              <w:rPr>
                <w:rFonts w:eastAsia="新宋体"/>
                <w:sz w:val="24"/>
              </w:rPr>
              <w:t>绿化。</w:t>
            </w:r>
          </w:p>
          <w:p>
            <w:pPr>
              <w:spacing w:line="360" w:lineRule="auto"/>
              <w:ind w:firstLine="480" w:firstLineChars="200"/>
              <w:rPr>
                <w:rFonts w:hint="eastAsia"/>
                <w:sz w:val="24"/>
              </w:rPr>
            </w:pPr>
            <w:r>
              <w:rPr>
                <w:sz w:val="24"/>
              </w:rPr>
              <w:t>采取上述措施后，对环境的影响较小。</w:t>
            </w:r>
          </w:p>
          <w:p>
            <w:pPr>
              <w:spacing w:line="360" w:lineRule="auto"/>
              <w:ind w:firstLine="482" w:firstLineChars="200"/>
              <w:rPr>
                <w:b/>
                <w:sz w:val="24"/>
              </w:rPr>
            </w:pPr>
            <w:r>
              <w:rPr>
                <w:rFonts w:hint="eastAsia"/>
                <w:b/>
                <w:sz w:val="24"/>
              </w:rPr>
              <w:t>4</w:t>
            </w:r>
            <w:r>
              <w:rPr>
                <w:b/>
                <w:sz w:val="24"/>
              </w:rPr>
              <w:t>、声环境影响分析</w:t>
            </w:r>
          </w:p>
          <w:p>
            <w:pPr>
              <w:spacing w:line="360" w:lineRule="auto"/>
              <w:ind w:firstLine="480" w:firstLineChars="200"/>
              <w:rPr>
                <w:sz w:val="24"/>
              </w:rPr>
            </w:pPr>
            <w:r>
              <w:rPr>
                <w:sz w:val="24"/>
              </w:rPr>
              <w:t>（1）影响分析</w:t>
            </w:r>
            <w:r>
              <w:rPr>
                <w:rFonts w:hint="eastAsia"/>
                <w:sz w:val="24"/>
              </w:rPr>
              <w:t>：</w:t>
            </w:r>
          </w:p>
          <w:p>
            <w:pPr>
              <w:spacing w:line="360" w:lineRule="auto"/>
              <w:ind w:firstLine="480" w:firstLineChars="200"/>
              <w:rPr>
                <w:rFonts w:hint="eastAsia"/>
                <w:sz w:val="24"/>
              </w:rPr>
            </w:pPr>
            <w:r>
              <w:rPr>
                <w:sz w:val="24"/>
              </w:rPr>
              <w:t>不同施工阶段，使用不同的施工机械设备，因而产生不同施工阶段噪声，施工期噪声主要来自不同施工阶段所使用的不同施工机械的非连续性作业噪声。</w:t>
            </w:r>
          </w:p>
          <w:p>
            <w:pPr>
              <w:spacing w:line="360" w:lineRule="auto"/>
              <w:ind w:firstLine="480" w:firstLineChars="200"/>
              <w:rPr>
                <w:rFonts w:hint="eastAsia"/>
                <w:sz w:val="24"/>
              </w:rPr>
            </w:pPr>
            <w:r>
              <w:rPr>
                <w:sz w:val="24"/>
              </w:rPr>
              <w:t>施工期噪声具有阶段性、临时性和不固定性。不同的施工设备产生的机械噪声声级列于表</w:t>
            </w:r>
            <w:r>
              <w:rPr>
                <w:rFonts w:hint="eastAsia"/>
                <w:sz w:val="24"/>
              </w:rPr>
              <w:t>7-1</w:t>
            </w:r>
            <w:r>
              <w:rPr>
                <w:sz w:val="24"/>
              </w:rPr>
              <w:t>。</w:t>
            </w:r>
          </w:p>
          <w:p>
            <w:pPr>
              <w:pStyle w:val="73"/>
              <w:spacing w:before="0" w:line="360" w:lineRule="auto"/>
              <w:ind w:firstLine="0"/>
              <w:jc w:val="center"/>
              <w:rPr>
                <w:rFonts w:hAnsi="宋体"/>
                <w:b/>
              </w:rPr>
            </w:pPr>
          </w:p>
          <w:p>
            <w:pPr>
              <w:pStyle w:val="73"/>
              <w:spacing w:before="0" w:line="360" w:lineRule="auto"/>
              <w:ind w:firstLine="0"/>
              <w:jc w:val="center"/>
              <w:rPr>
                <w:rFonts w:hAnsi="宋体"/>
                <w:b/>
              </w:rPr>
            </w:pPr>
          </w:p>
          <w:p>
            <w:pPr>
              <w:pStyle w:val="73"/>
              <w:spacing w:before="0" w:line="360" w:lineRule="auto"/>
              <w:ind w:firstLine="0"/>
              <w:jc w:val="center"/>
              <w:rPr>
                <w:rFonts w:hAnsi="宋体"/>
                <w:b/>
              </w:rPr>
            </w:pPr>
          </w:p>
          <w:p>
            <w:pPr>
              <w:pStyle w:val="73"/>
              <w:spacing w:before="0" w:line="360" w:lineRule="auto"/>
              <w:ind w:firstLine="0"/>
              <w:jc w:val="center"/>
              <w:rPr>
                <w:rFonts w:hAnsi="宋体"/>
                <w:b/>
              </w:rPr>
            </w:pPr>
          </w:p>
          <w:p>
            <w:pPr>
              <w:pStyle w:val="73"/>
              <w:spacing w:before="0" w:line="360" w:lineRule="auto"/>
              <w:ind w:firstLine="0"/>
              <w:jc w:val="center"/>
              <w:rPr>
                <w:rFonts w:hAnsi="宋体"/>
                <w:b/>
              </w:rPr>
            </w:pPr>
          </w:p>
          <w:p>
            <w:pPr>
              <w:pStyle w:val="73"/>
              <w:spacing w:before="0" w:line="360" w:lineRule="auto"/>
              <w:ind w:firstLine="0"/>
              <w:jc w:val="center"/>
              <w:rPr>
                <w:rFonts w:hAnsi="宋体"/>
                <w:b/>
              </w:rPr>
            </w:pPr>
          </w:p>
          <w:p>
            <w:pPr>
              <w:pStyle w:val="73"/>
              <w:spacing w:before="0" w:line="360" w:lineRule="auto"/>
              <w:ind w:firstLine="0"/>
              <w:jc w:val="center"/>
              <w:rPr>
                <w:rFonts w:hAnsi="宋体"/>
                <w:b/>
              </w:rPr>
            </w:pPr>
          </w:p>
          <w:p>
            <w:pPr>
              <w:pStyle w:val="73"/>
              <w:spacing w:before="0" w:line="360" w:lineRule="auto"/>
              <w:ind w:firstLine="0"/>
              <w:jc w:val="center"/>
              <w:rPr>
                <w:b/>
              </w:rPr>
            </w:pPr>
            <w:r>
              <w:rPr>
                <w:rFonts w:hAnsi="宋体"/>
                <w:b/>
              </w:rPr>
              <w:t>表</w:t>
            </w:r>
            <w:r>
              <w:rPr>
                <w:rFonts w:hint="eastAsia"/>
                <w:b/>
              </w:rPr>
              <w:t>7-1</w:t>
            </w:r>
            <w:r>
              <w:rPr>
                <w:b/>
              </w:rPr>
              <w:t xml:space="preserve">    </w:t>
            </w:r>
            <w:r>
              <w:rPr>
                <w:rFonts w:hAnsi="宋体"/>
                <w:b/>
              </w:rPr>
              <w:t>主要</w:t>
            </w:r>
            <w:r>
              <w:rPr>
                <w:rFonts w:hAnsi="宋体"/>
                <w:b/>
                <w:szCs w:val="24"/>
              </w:rPr>
              <w:t>施工</w:t>
            </w:r>
            <w:r>
              <w:rPr>
                <w:rFonts w:hAnsi="宋体"/>
                <w:b/>
              </w:rPr>
              <w:t>机械设备噪声源</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2342"/>
              <w:gridCol w:w="2317"/>
              <w:gridCol w:w="1125"/>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restart"/>
                  <w:noWrap w:val="0"/>
                  <w:vAlign w:val="center"/>
                </w:tcPr>
                <w:p>
                  <w:pPr>
                    <w:snapToGrid w:val="0"/>
                    <w:spacing w:line="240" w:lineRule="exact"/>
                    <w:jc w:val="center"/>
                    <w:rPr>
                      <w:szCs w:val="21"/>
                    </w:rPr>
                  </w:pPr>
                  <w:r>
                    <w:rPr>
                      <w:rFonts w:hAnsi="宋体"/>
                      <w:szCs w:val="21"/>
                    </w:rPr>
                    <w:t>施工阶段</w:t>
                  </w:r>
                </w:p>
              </w:tc>
              <w:tc>
                <w:tcPr>
                  <w:tcW w:w="2342" w:type="dxa"/>
                  <w:vMerge w:val="restart"/>
                  <w:noWrap w:val="0"/>
                  <w:vAlign w:val="center"/>
                </w:tcPr>
                <w:p>
                  <w:pPr>
                    <w:pStyle w:val="75"/>
                    <w:rPr>
                      <w:rFonts w:eastAsia="宋体"/>
                      <w:szCs w:val="21"/>
                    </w:rPr>
                  </w:pPr>
                  <w:r>
                    <w:rPr>
                      <w:rFonts w:hAnsi="宋体" w:eastAsia="宋体"/>
                      <w:szCs w:val="21"/>
                    </w:rPr>
                    <w:t>主要设备</w:t>
                  </w:r>
                </w:p>
              </w:tc>
              <w:tc>
                <w:tcPr>
                  <w:tcW w:w="2317" w:type="dxa"/>
                  <w:vMerge w:val="restart"/>
                  <w:noWrap w:val="0"/>
                  <w:vAlign w:val="center"/>
                </w:tcPr>
                <w:p>
                  <w:pPr>
                    <w:snapToGrid w:val="0"/>
                    <w:spacing w:line="240" w:lineRule="exact"/>
                    <w:jc w:val="center"/>
                    <w:rPr>
                      <w:szCs w:val="21"/>
                    </w:rPr>
                  </w:pPr>
                  <w:r>
                    <w:rPr>
                      <w:rFonts w:hAnsi="宋体"/>
                      <w:szCs w:val="21"/>
                    </w:rPr>
                    <w:t>近场噪声级（</w:t>
                  </w:r>
                  <w:r>
                    <w:rPr>
                      <w:szCs w:val="21"/>
                    </w:rPr>
                    <w:t>dB</w:t>
                  </w:r>
                  <w:r>
                    <w:rPr>
                      <w:rFonts w:hAnsi="宋体"/>
                      <w:szCs w:val="21"/>
                    </w:rPr>
                    <w:t>）</w:t>
                  </w:r>
                </w:p>
              </w:tc>
              <w:tc>
                <w:tcPr>
                  <w:tcW w:w="2252" w:type="dxa"/>
                  <w:gridSpan w:val="2"/>
                  <w:noWrap w:val="0"/>
                  <w:vAlign w:val="center"/>
                </w:tcPr>
                <w:p>
                  <w:pPr>
                    <w:snapToGrid w:val="0"/>
                    <w:spacing w:line="240" w:lineRule="exact"/>
                    <w:jc w:val="center"/>
                    <w:rPr>
                      <w:szCs w:val="21"/>
                    </w:rPr>
                  </w:pPr>
                  <w:r>
                    <w:rPr>
                      <w:rFonts w:hAnsi="宋体"/>
                      <w:szCs w:val="21"/>
                    </w:rPr>
                    <w:t>场界噪声限值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continue"/>
                  <w:noWrap w:val="0"/>
                  <w:vAlign w:val="center"/>
                </w:tcPr>
                <w:p>
                  <w:pPr>
                    <w:snapToGrid w:val="0"/>
                    <w:spacing w:line="240" w:lineRule="exact"/>
                    <w:jc w:val="center"/>
                    <w:rPr>
                      <w:szCs w:val="21"/>
                    </w:rPr>
                  </w:pPr>
                </w:p>
              </w:tc>
              <w:tc>
                <w:tcPr>
                  <w:tcW w:w="2342" w:type="dxa"/>
                  <w:vMerge w:val="continue"/>
                  <w:noWrap w:val="0"/>
                  <w:vAlign w:val="center"/>
                </w:tcPr>
                <w:p>
                  <w:pPr>
                    <w:snapToGrid w:val="0"/>
                    <w:spacing w:line="240" w:lineRule="exact"/>
                    <w:jc w:val="center"/>
                    <w:rPr>
                      <w:szCs w:val="21"/>
                    </w:rPr>
                  </w:pPr>
                </w:p>
              </w:tc>
              <w:tc>
                <w:tcPr>
                  <w:tcW w:w="2317" w:type="dxa"/>
                  <w:vMerge w:val="continue"/>
                  <w:noWrap w:val="0"/>
                  <w:vAlign w:val="center"/>
                </w:tcPr>
                <w:p>
                  <w:pPr>
                    <w:snapToGrid w:val="0"/>
                    <w:spacing w:line="240" w:lineRule="exact"/>
                    <w:jc w:val="center"/>
                    <w:rPr>
                      <w:szCs w:val="21"/>
                    </w:rPr>
                  </w:pPr>
                </w:p>
              </w:tc>
              <w:tc>
                <w:tcPr>
                  <w:tcW w:w="1125" w:type="dxa"/>
                  <w:noWrap w:val="0"/>
                  <w:vAlign w:val="center"/>
                </w:tcPr>
                <w:p>
                  <w:pPr>
                    <w:snapToGrid w:val="0"/>
                    <w:spacing w:line="240" w:lineRule="exact"/>
                    <w:jc w:val="center"/>
                    <w:rPr>
                      <w:szCs w:val="21"/>
                    </w:rPr>
                  </w:pPr>
                  <w:r>
                    <w:rPr>
                      <w:rFonts w:hAnsi="宋体"/>
                      <w:szCs w:val="21"/>
                    </w:rPr>
                    <w:t>昼间</w:t>
                  </w:r>
                </w:p>
              </w:tc>
              <w:tc>
                <w:tcPr>
                  <w:tcW w:w="1127" w:type="dxa"/>
                  <w:noWrap w:val="0"/>
                  <w:vAlign w:val="center"/>
                </w:tcPr>
                <w:p>
                  <w:pPr>
                    <w:snapToGrid w:val="0"/>
                    <w:spacing w:line="240" w:lineRule="exact"/>
                    <w:jc w:val="center"/>
                    <w:rPr>
                      <w:szCs w:val="21"/>
                    </w:rPr>
                  </w:pPr>
                  <w:r>
                    <w:rPr>
                      <w:rFonts w:hAnsi="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restart"/>
                  <w:noWrap w:val="0"/>
                  <w:vAlign w:val="center"/>
                </w:tcPr>
                <w:p>
                  <w:pPr>
                    <w:snapToGrid w:val="0"/>
                    <w:spacing w:line="240" w:lineRule="exact"/>
                    <w:jc w:val="center"/>
                    <w:rPr>
                      <w:szCs w:val="21"/>
                    </w:rPr>
                  </w:pPr>
                  <w:r>
                    <w:rPr>
                      <w:rFonts w:hAnsi="宋体"/>
                      <w:szCs w:val="21"/>
                    </w:rPr>
                    <w:t>基础开挖</w:t>
                  </w:r>
                </w:p>
              </w:tc>
              <w:tc>
                <w:tcPr>
                  <w:tcW w:w="2342" w:type="dxa"/>
                  <w:noWrap w:val="0"/>
                  <w:vAlign w:val="center"/>
                </w:tcPr>
                <w:p>
                  <w:pPr>
                    <w:snapToGrid w:val="0"/>
                    <w:spacing w:line="240" w:lineRule="exact"/>
                    <w:jc w:val="center"/>
                    <w:rPr>
                      <w:szCs w:val="21"/>
                    </w:rPr>
                  </w:pPr>
                  <w:r>
                    <w:rPr>
                      <w:rFonts w:hAnsi="宋体"/>
                      <w:szCs w:val="21"/>
                    </w:rPr>
                    <w:t>挖掘机</w:t>
                  </w:r>
                </w:p>
              </w:tc>
              <w:tc>
                <w:tcPr>
                  <w:tcW w:w="2317" w:type="dxa"/>
                  <w:noWrap w:val="0"/>
                  <w:vAlign w:val="center"/>
                </w:tcPr>
                <w:p>
                  <w:pPr>
                    <w:snapToGrid w:val="0"/>
                    <w:spacing w:line="240" w:lineRule="exact"/>
                    <w:jc w:val="center"/>
                    <w:rPr>
                      <w:szCs w:val="21"/>
                    </w:rPr>
                  </w:pPr>
                  <w:r>
                    <w:rPr>
                      <w:szCs w:val="21"/>
                    </w:rPr>
                    <w:t>80~9</w:t>
                  </w:r>
                  <w:r>
                    <w:rPr>
                      <w:rFonts w:hint="eastAsia"/>
                      <w:szCs w:val="21"/>
                    </w:rPr>
                    <w:t>0</w:t>
                  </w:r>
                </w:p>
              </w:tc>
              <w:tc>
                <w:tcPr>
                  <w:tcW w:w="1125" w:type="dxa"/>
                  <w:vMerge w:val="restart"/>
                  <w:noWrap w:val="0"/>
                  <w:vAlign w:val="center"/>
                </w:tcPr>
                <w:p>
                  <w:pPr>
                    <w:snapToGrid w:val="0"/>
                    <w:spacing w:line="240" w:lineRule="exact"/>
                    <w:jc w:val="center"/>
                    <w:rPr>
                      <w:szCs w:val="21"/>
                    </w:rPr>
                  </w:pPr>
                  <w:r>
                    <w:rPr>
                      <w:rFonts w:hint="eastAsia"/>
                      <w:szCs w:val="21"/>
                    </w:rPr>
                    <w:t>70</w:t>
                  </w:r>
                </w:p>
              </w:tc>
              <w:tc>
                <w:tcPr>
                  <w:tcW w:w="1127" w:type="dxa"/>
                  <w:vMerge w:val="restart"/>
                  <w:noWrap w:val="0"/>
                  <w:vAlign w:val="center"/>
                </w:tcPr>
                <w:p>
                  <w:pPr>
                    <w:snapToGrid w:val="0"/>
                    <w:spacing w:line="240" w:lineRule="exact"/>
                    <w:jc w:val="center"/>
                    <w:rPr>
                      <w:szCs w:val="21"/>
                    </w:rPr>
                  </w:pPr>
                  <w:r>
                    <w:rPr>
                      <w:rFonts w:hint="eastAsia"/>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continue"/>
                  <w:noWrap w:val="0"/>
                  <w:vAlign w:val="center"/>
                </w:tcPr>
                <w:p>
                  <w:pPr>
                    <w:snapToGrid w:val="0"/>
                    <w:spacing w:line="240" w:lineRule="exact"/>
                    <w:jc w:val="center"/>
                    <w:rPr>
                      <w:szCs w:val="21"/>
                    </w:rPr>
                  </w:pPr>
                </w:p>
              </w:tc>
              <w:tc>
                <w:tcPr>
                  <w:tcW w:w="2342" w:type="dxa"/>
                  <w:noWrap w:val="0"/>
                  <w:vAlign w:val="center"/>
                </w:tcPr>
                <w:p>
                  <w:pPr>
                    <w:snapToGrid w:val="0"/>
                    <w:spacing w:line="240" w:lineRule="exact"/>
                    <w:jc w:val="center"/>
                    <w:rPr>
                      <w:szCs w:val="21"/>
                    </w:rPr>
                  </w:pPr>
                  <w:r>
                    <w:rPr>
                      <w:rFonts w:hAnsi="宋体"/>
                      <w:szCs w:val="21"/>
                    </w:rPr>
                    <w:t>推土机</w:t>
                  </w:r>
                </w:p>
              </w:tc>
              <w:tc>
                <w:tcPr>
                  <w:tcW w:w="2317" w:type="dxa"/>
                  <w:noWrap w:val="0"/>
                  <w:vAlign w:val="center"/>
                </w:tcPr>
                <w:p>
                  <w:pPr>
                    <w:snapToGrid w:val="0"/>
                    <w:spacing w:line="240" w:lineRule="exact"/>
                    <w:jc w:val="center"/>
                    <w:rPr>
                      <w:szCs w:val="21"/>
                    </w:rPr>
                  </w:pPr>
                  <w:r>
                    <w:rPr>
                      <w:szCs w:val="21"/>
                    </w:rPr>
                    <w:t>78-96</w:t>
                  </w:r>
                </w:p>
              </w:tc>
              <w:tc>
                <w:tcPr>
                  <w:tcW w:w="1125" w:type="dxa"/>
                  <w:vMerge w:val="continue"/>
                  <w:noWrap w:val="0"/>
                  <w:vAlign w:val="center"/>
                </w:tcPr>
                <w:p>
                  <w:pPr>
                    <w:snapToGrid w:val="0"/>
                    <w:spacing w:line="240" w:lineRule="exact"/>
                    <w:jc w:val="center"/>
                    <w:rPr>
                      <w:szCs w:val="21"/>
                    </w:rPr>
                  </w:pPr>
                </w:p>
              </w:tc>
              <w:tc>
                <w:tcPr>
                  <w:tcW w:w="1127" w:type="dxa"/>
                  <w:vMerge w:val="continue"/>
                  <w:noWrap w:val="0"/>
                  <w:vAlign w:val="center"/>
                </w:tcPr>
                <w:p>
                  <w:pPr>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continue"/>
                  <w:noWrap w:val="0"/>
                  <w:vAlign w:val="center"/>
                </w:tcPr>
                <w:p>
                  <w:pPr>
                    <w:snapToGrid w:val="0"/>
                    <w:spacing w:line="240" w:lineRule="exact"/>
                    <w:jc w:val="center"/>
                    <w:rPr>
                      <w:szCs w:val="21"/>
                    </w:rPr>
                  </w:pPr>
                </w:p>
              </w:tc>
              <w:tc>
                <w:tcPr>
                  <w:tcW w:w="2342" w:type="dxa"/>
                  <w:noWrap w:val="0"/>
                  <w:vAlign w:val="center"/>
                </w:tcPr>
                <w:p>
                  <w:pPr>
                    <w:snapToGrid w:val="0"/>
                    <w:spacing w:line="240" w:lineRule="exact"/>
                    <w:jc w:val="center"/>
                    <w:rPr>
                      <w:szCs w:val="21"/>
                    </w:rPr>
                  </w:pPr>
                  <w:r>
                    <w:rPr>
                      <w:rFonts w:hint="eastAsia" w:hAnsi="宋体"/>
                      <w:szCs w:val="21"/>
                    </w:rPr>
                    <w:t>抽水泵</w:t>
                  </w:r>
                </w:p>
              </w:tc>
              <w:tc>
                <w:tcPr>
                  <w:tcW w:w="2317" w:type="dxa"/>
                  <w:noWrap w:val="0"/>
                  <w:vAlign w:val="center"/>
                </w:tcPr>
                <w:p>
                  <w:pPr>
                    <w:snapToGrid w:val="0"/>
                    <w:spacing w:line="240" w:lineRule="exact"/>
                    <w:jc w:val="center"/>
                    <w:rPr>
                      <w:szCs w:val="21"/>
                    </w:rPr>
                  </w:pPr>
                  <w:r>
                    <w:rPr>
                      <w:rFonts w:hint="eastAsia"/>
                      <w:szCs w:val="21"/>
                    </w:rPr>
                    <w:t>80~85</w:t>
                  </w:r>
                </w:p>
              </w:tc>
              <w:tc>
                <w:tcPr>
                  <w:tcW w:w="1125" w:type="dxa"/>
                  <w:vMerge w:val="continue"/>
                  <w:noWrap w:val="0"/>
                  <w:vAlign w:val="center"/>
                </w:tcPr>
                <w:p>
                  <w:pPr>
                    <w:snapToGrid w:val="0"/>
                    <w:spacing w:line="240" w:lineRule="exact"/>
                    <w:jc w:val="center"/>
                    <w:rPr>
                      <w:szCs w:val="21"/>
                    </w:rPr>
                  </w:pPr>
                </w:p>
              </w:tc>
              <w:tc>
                <w:tcPr>
                  <w:tcW w:w="1127" w:type="dxa"/>
                  <w:vMerge w:val="continue"/>
                  <w:noWrap w:val="0"/>
                  <w:vAlign w:val="center"/>
                </w:tcPr>
                <w:p>
                  <w:pPr>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restart"/>
                  <w:noWrap w:val="0"/>
                  <w:vAlign w:val="center"/>
                </w:tcPr>
                <w:p>
                  <w:pPr>
                    <w:snapToGrid w:val="0"/>
                    <w:spacing w:line="240" w:lineRule="exact"/>
                    <w:jc w:val="center"/>
                    <w:rPr>
                      <w:szCs w:val="21"/>
                    </w:rPr>
                  </w:pPr>
                  <w:r>
                    <w:rPr>
                      <w:rFonts w:hAnsi="宋体"/>
                      <w:szCs w:val="21"/>
                    </w:rPr>
                    <w:t>浇铸混凝土</w:t>
                  </w:r>
                </w:p>
              </w:tc>
              <w:tc>
                <w:tcPr>
                  <w:tcW w:w="2342" w:type="dxa"/>
                  <w:noWrap w:val="0"/>
                  <w:vAlign w:val="center"/>
                </w:tcPr>
                <w:p>
                  <w:pPr>
                    <w:snapToGrid w:val="0"/>
                    <w:spacing w:line="240" w:lineRule="exact"/>
                    <w:jc w:val="center"/>
                    <w:rPr>
                      <w:szCs w:val="21"/>
                    </w:rPr>
                  </w:pPr>
                  <w:r>
                    <w:rPr>
                      <w:rFonts w:hint="eastAsia" w:hAnsi="宋体"/>
                      <w:szCs w:val="21"/>
                    </w:rPr>
                    <w:t>空压</w:t>
                  </w:r>
                  <w:r>
                    <w:rPr>
                      <w:rFonts w:hAnsi="宋体"/>
                      <w:szCs w:val="21"/>
                    </w:rPr>
                    <w:t>机</w:t>
                  </w:r>
                </w:p>
              </w:tc>
              <w:tc>
                <w:tcPr>
                  <w:tcW w:w="2317" w:type="dxa"/>
                  <w:noWrap w:val="0"/>
                  <w:vAlign w:val="center"/>
                </w:tcPr>
                <w:p>
                  <w:pPr>
                    <w:snapToGrid w:val="0"/>
                    <w:spacing w:line="240" w:lineRule="exact"/>
                    <w:jc w:val="center"/>
                    <w:rPr>
                      <w:szCs w:val="21"/>
                    </w:rPr>
                  </w:pPr>
                  <w:r>
                    <w:rPr>
                      <w:rFonts w:hint="eastAsia"/>
                      <w:szCs w:val="21"/>
                    </w:rPr>
                    <w:t>75</w:t>
                  </w:r>
                  <w:r>
                    <w:rPr>
                      <w:szCs w:val="21"/>
                    </w:rPr>
                    <w:t>~8</w:t>
                  </w:r>
                  <w:r>
                    <w:rPr>
                      <w:rFonts w:hint="eastAsia"/>
                      <w:szCs w:val="21"/>
                    </w:rPr>
                    <w:t>0</w:t>
                  </w:r>
                </w:p>
              </w:tc>
              <w:tc>
                <w:tcPr>
                  <w:tcW w:w="1125" w:type="dxa"/>
                  <w:vMerge w:val="continue"/>
                  <w:noWrap w:val="0"/>
                  <w:vAlign w:val="center"/>
                </w:tcPr>
                <w:p>
                  <w:pPr>
                    <w:snapToGrid w:val="0"/>
                    <w:spacing w:line="240" w:lineRule="exact"/>
                    <w:jc w:val="center"/>
                    <w:rPr>
                      <w:szCs w:val="21"/>
                    </w:rPr>
                  </w:pPr>
                </w:p>
              </w:tc>
              <w:tc>
                <w:tcPr>
                  <w:tcW w:w="1127" w:type="dxa"/>
                  <w:vMerge w:val="continue"/>
                  <w:noWrap w:val="0"/>
                  <w:vAlign w:val="center"/>
                </w:tcPr>
                <w:p>
                  <w:pPr>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continue"/>
                  <w:noWrap w:val="0"/>
                  <w:vAlign w:val="center"/>
                </w:tcPr>
                <w:p>
                  <w:pPr>
                    <w:snapToGrid w:val="0"/>
                    <w:spacing w:line="240" w:lineRule="exact"/>
                    <w:jc w:val="center"/>
                    <w:rPr>
                      <w:szCs w:val="21"/>
                    </w:rPr>
                  </w:pPr>
                </w:p>
              </w:tc>
              <w:tc>
                <w:tcPr>
                  <w:tcW w:w="2342" w:type="dxa"/>
                  <w:noWrap w:val="0"/>
                  <w:vAlign w:val="center"/>
                </w:tcPr>
                <w:p>
                  <w:pPr>
                    <w:snapToGrid w:val="0"/>
                    <w:spacing w:line="240" w:lineRule="exact"/>
                    <w:jc w:val="center"/>
                    <w:rPr>
                      <w:szCs w:val="21"/>
                    </w:rPr>
                  </w:pPr>
                  <w:r>
                    <w:rPr>
                      <w:rFonts w:hAnsi="宋体"/>
                      <w:szCs w:val="21"/>
                    </w:rPr>
                    <w:t>振捣机</w:t>
                  </w:r>
                </w:p>
              </w:tc>
              <w:tc>
                <w:tcPr>
                  <w:tcW w:w="2317" w:type="dxa"/>
                  <w:noWrap w:val="0"/>
                  <w:vAlign w:val="center"/>
                </w:tcPr>
                <w:p>
                  <w:pPr>
                    <w:snapToGrid w:val="0"/>
                    <w:spacing w:line="240" w:lineRule="exact"/>
                    <w:jc w:val="center"/>
                    <w:rPr>
                      <w:szCs w:val="21"/>
                    </w:rPr>
                  </w:pPr>
                  <w:r>
                    <w:rPr>
                      <w:rFonts w:hint="eastAsia"/>
                      <w:szCs w:val="21"/>
                    </w:rPr>
                    <w:t>90~100</w:t>
                  </w:r>
                </w:p>
              </w:tc>
              <w:tc>
                <w:tcPr>
                  <w:tcW w:w="1125" w:type="dxa"/>
                  <w:vMerge w:val="continue"/>
                  <w:noWrap w:val="0"/>
                  <w:vAlign w:val="center"/>
                </w:tcPr>
                <w:p>
                  <w:pPr>
                    <w:snapToGrid w:val="0"/>
                    <w:spacing w:line="240" w:lineRule="exact"/>
                    <w:jc w:val="center"/>
                    <w:rPr>
                      <w:szCs w:val="21"/>
                    </w:rPr>
                  </w:pPr>
                </w:p>
              </w:tc>
              <w:tc>
                <w:tcPr>
                  <w:tcW w:w="1127" w:type="dxa"/>
                  <w:vMerge w:val="continue"/>
                  <w:noWrap w:val="0"/>
                  <w:vAlign w:val="center"/>
                </w:tcPr>
                <w:p>
                  <w:pPr>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continue"/>
                  <w:noWrap w:val="0"/>
                  <w:vAlign w:val="center"/>
                </w:tcPr>
                <w:p>
                  <w:pPr>
                    <w:snapToGrid w:val="0"/>
                    <w:spacing w:line="240" w:lineRule="exact"/>
                    <w:jc w:val="center"/>
                    <w:rPr>
                      <w:szCs w:val="21"/>
                    </w:rPr>
                  </w:pPr>
                </w:p>
              </w:tc>
              <w:tc>
                <w:tcPr>
                  <w:tcW w:w="2342" w:type="dxa"/>
                  <w:noWrap w:val="0"/>
                  <w:vAlign w:val="center"/>
                </w:tcPr>
                <w:p>
                  <w:pPr>
                    <w:snapToGrid w:val="0"/>
                    <w:spacing w:line="240" w:lineRule="exact"/>
                    <w:jc w:val="center"/>
                    <w:rPr>
                      <w:szCs w:val="21"/>
                    </w:rPr>
                  </w:pPr>
                  <w:r>
                    <w:rPr>
                      <w:rFonts w:hint="eastAsia" w:hAnsi="宋体"/>
                      <w:szCs w:val="21"/>
                    </w:rPr>
                    <w:t>混凝土</w:t>
                  </w:r>
                  <w:r>
                    <w:rPr>
                      <w:rFonts w:hAnsi="宋体"/>
                      <w:szCs w:val="21"/>
                    </w:rPr>
                    <w:t>搅拌机</w:t>
                  </w:r>
                </w:p>
              </w:tc>
              <w:tc>
                <w:tcPr>
                  <w:tcW w:w="2317" w:type="dxa"/>
                  <w:noWrap w:val="0"/>
                  <w:vAlign w:val="center"/>
                </w:tcPr>
                <w:p>
                  <w:pPr>
                    <w:snapToGrid w:val="0"/>
                    <w:spacing w:line="240" w:lineRule="exact"/>
                    <w:jc w:val="center"/>
                    <w:rPr>
                      <w:szCs w:val="21"/>
                    </w:rPr>
                  </w:pPr>
                  <w:r>
                    <w:rPr>
                      <w:rFonts w:hint="eastAsia"/>
                      <w:szCs w:val="21"/>
                    </w:rPr>
                    <w:t>90~100</w:t>
                  </w:r>
                </w:p>
              </w:tc>
              <w:tc>
                <w:tcPr>
                  <w:tcW w:w="1125" w:type="dxa"/>
                  <w:vMerge w:val="continue"/>
                  <w:noWrap w:val="0"/>
                  <w:vAlign w:val="center"/>
                </w:tcPr>
                <w:p>
                  <w:pPr>
                    <w:snapToGrid w:val="0"/>
                    <w:spacing w:line="240" w:lineRule="exact"/>
                    <w:jc w:val="center"/>
                    <w:rPr>
                      <w:szCs w:val="21"/>
                    </w:rPr>
                  </w:pPr>
                </w:p>
              </w:tc>
              <w:tc>
                <w:tcPr>
                  <w:tcW w:w="1127" w:type="dxa"/>
                  <w:vMerge w:val="continue"/>
                  <w:noWrap w:val="0"/>
                  <w:vAlign w:val="center"/>
                </w:tcPr>
                <w:p>
                  <w:pPr>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restart"/>
                  <w:noWrap w:val="0"/>
                  <w:vAlign w:val="center"/>
                </w:tcPr>
                <w:p>
                  <w:pPr>
                    <w:snapToGrid w:val="0"/>
                    <w:spacing w:line="240" w:lineRule="exact"/>
                    <w:jc w:val="center"/>
                    <w:rPr>
                      <w:szCs w:val="21"/>
                    </w:rPr>
                  </w:pPr>
                  <w:r>
                    <w:rPr>
                      <w:rFonts w:hAnsi="宋体"/>
                      <w:szCs w:val="21"/>
                    </w:rPr>
                    <w:t>设备安装</w:t>
                  </w:r>
                </w:p>
              </w:tc>
              <w:tc>
                <w:tcPr>
                  <w:tcW w:w="2342" w:type="dxa"/>
                  <w:noWrap w:val="0"/>
                  <w:vAlign w:val="center"/>
                </w:tcPr>
                <w:p>
                  <w:pPr>
                    <w:snapToGrid w:val="0"/>
                    <w:spacing w:line="240" w:lineRule="exact"/>
                    <w:jc w:val="center"/>
                    <w:rPr>
                      <w:szCs w:val="21"/>
                    </w:rPr>
                  </w:pPr>
                  <w:r>
                    <w:rPr>
                      <w:rFonts w:hAnsi="宋体"/>
                      <w:szCs w:val="21"/>
                    </w:rPr>
                    <w:t>切割机</w:t>
                  </w:r>
                </w:p>
              </w:tc>
              <w:tc>
                <w:tcPr>
                  <w:tcW w:w="2317" w:type="dxa"/>
                  <w:noWrap w:val="0"/>
                  <w:vAlign w:val="center"/>
                </w:tcPr>
                <w:p>
                  <w:pPr>
                    <w:snapToGrid w:val="0"/>
                    <w:spacing w:line="240" w:lineRule="exact"/>
                    <w:jc w:val="center"/>
                    <w:rPr>
                      <w:szCs w:val="21"/>
                    </w:rPr>
                  </w:pPr>
                  <w:r>
                    <w:rPr>
                      <w:szCs w:val="21"/>
                    </w:rPr>
                    <w:t>9</w:t>
                  </w:r>
                  <w:r>
                    <w:rPr>
                      <w:rFonts w:hint="eastAsia"/>
                      <w:szCs w:val="21"/>
                    </w:rPr>
                    <w:t>5</w:t>
                  </w:r>
                  <w:r>
                    <w:rPr>
                      <w:szCs w:val="21"/>
                    </w:rPr>
                    <w:t>~</w:t>
                  </w:r>
                  <w:r>
                    <w:rPr>
                      <w:rFonts w:hint="eastAsia"/>
                      <w:szCs w:val="21"/>
                    </w:rPr>
                    <w:t>100</w:t>
                  </w:r>
                </w:p>
              </w:tc>
              <w:tc>
                <w:tcPr>
                  <w:tcW w:w="1125" w:type="dxa"/>
                  <w:vMerge w:val="continue"/>
                  <w:noWrap w:val="0"/>
                  <w:vAlign w:val="center"/>
                </w:tcPr>
                <w:p>
                  <w:pPr>
                    <w:snapToGrid w:val="0"/>
                    <w:spacing w:line="240" w:lineRule="exact"/>
                    <w:jc w:val="center"/>
                    <w:rPr>
                      <w:szCs w:val="21"/>
                    </w:rPr>
                  </w:pPr>
                </w:p>
              </w:tc>
              <w:tc>
                <w:tcPr>
                  <w:tcW w:w="1127" w:type="dxa"/>
                  <w:vMerge w:val="continue"/>
                  <w:noWrap w:val="0"/>
                  <w:vAlign w:val="center"/>
                </w:tcPr>
                <w:p>
                  <w:pPr>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2089" w:type="dxa"/>
                  <w:vMerge w:val="continue"/>
                  <w:noWrap w:val="0"/>
                  <w:vAlign w:val="center"/>
                </w:tcPr>
                <w:p>
                  <w:pPr>
                    <w:snapToGrid w:val="0"/>
                    <w:jc w:val="center"/>
                    <w:rPr>
                      <w:szCs w:val="21"/>
                    </w:rPr>
                  </w:pPr>
                </w:p>
              </w:tc>
              <w:tc>
                <w:tcPr>
                  <w:tcW w:w="2342" w:type="dxa"/>
                  <w:noWrap w:val="0"/>
                  <w:vAlign w:val="center"/>
                </w:tcPr>
                <w:p>
                  <w:pPr>
                    <w:snapToGrid w:val="0"/>
                    <w:jc w:val="center"/>
                    <w:rPr>
                      <w:szCs w:val="21"/>
                    </w:rPr>
                  </w:pPr>
                  <w:r>
                    <w:rPr>
                      <w:rFonts w:hAnsi="宋体"/>
                      <w:szCs w:val="21"/>
                    </w:rPr>
                    <w:t>电焊机</w:t>
                  </w:r>
                </w:p>
              </w:tc>
              <w:tc>
                <w:tcPr>
                  <w:tcW w:w="2317" w:type="dxa"/>
                  <w:noWrap w:val="0"/>
                  <w:vAlign w:val="center"/>
                </w:tcPr>
                <w:p>
                  <w:pPr>
                    <w:snapToGrid w:val="0"/>
                    <w:jc w:val="center"/>
                    <w:rPr>
                      <w:szCs w:val="21"/>
                    </w:rPr>
                  </w:pPr>
                  <w:r>
                    <w:rPr>
                      <w:szCs w:val="21"/>
                    </w:rPr>
                    <w:t>80~85</w:t>
                  </w:r>
                </w:p>
              </w:tc>
              <w:tc>
                <w:tcPr>
                  <w:tcW w:w="1125" w:type="dxa"/>
                  <w:vMerge w:val="continue"/>
                  <w:noWrap w:val="0"/>
                  <w:vAlign w:val="center"/>
                </w:tcPr>
                <w:p>
                  <w:pPr>
                    <w:snapToGrid w:val="0"/>
                    <w:jc w:val="center"/>
                    <w:rPr>
                      <w:szCs w:val="21"/>
                    </w:rPr>
                  </w:pPr>
                </w:p>
              </w:tc>
              <w:tc>
                <w:tcPr>
                  <w:tcW w:w="1127" w:type="dxa"/>
                  <w:vMerge w:val="continue"/>
                  <w:noWrap w:val="0"/>
                  <w:vAlign w:val="center"/>
                </w:tcPr>
                <w:p>
                  <w:pPr>
                    <w:snapToGrid w:val="0"/>
                    <w:jc w:val="center"/>
                    <w:rPr>
                      <w:szCs w:val="21"/>
                    </w:rPr>
                  </w:pPr>
                </w:p>
              </w:tc>
            </w:tr>
          </w:tbl>
          <w:p>
            <w:pPr>
              <w:adjustRightInd w:val="0"/>
              <w:snapToGrid w:val="0"/>
              <w:spacing w:before="156" w:beforeLines="50" w:line="360" w:lineRule="auto"/>
              <w:ind w:firstLine="480" w:firstLineChars="200"/>
              <w:rPr>
                <w:bCs/>
                <w:sz w:val="24"/>
              </w:rPr>
            </w:pPr>
            <w:r>
              <w:rPr>
                <w:bCs/>
                <w:sz w:val="24"/>
              </w:rPr>
              <w:t>施工过程使用的施工机械产生的噪声主要属于中低频率噪声，本次评价场界噪声预测采用点源衰减模式。预测只计算声源至受声点的几何发散衰减，不考虑声屏障、空气吸收等衰减</w:t>
            </w:r>
            <w:r>
              <w:rPr>
                <w:rFonts w:hint="eastAsia"/>
                <w:bCs/>
                <w:sz w:val="24"/>
              </w:rPr>
              <w:t>，</w:t>
            </w:r>
            <w:r>
              <w:rPr>
                <w:bCs/>
                <w:sz w:val="24"/>
              </w:rPr>
              <w:t>预测模型为：</w:t>
            </w:r>
          </w:p>
          <w:p>
            <w:pPr>
              <w:adjustRightInd w:val="0"/>
              <w:snapToGrid w:val="0"/>
              <w:spacing w:line="360" w:lineRule="auto"/>
              <w:ind w:firstLine="480" w:firstLineChars="200"/>
              <w:jc w:val="center"/>
              <w:rPr>
                <w:bCs/>
                <w:sz w:val="24"/>
              </w:rPr>
            </w:pPr>
            <w:r>
              <w:rPr>
                <w:rFonts w:hint="eastAsia"/>
                <w:bCs/>
                <w:sz w:val="24"/>
              </w:rPr>
              <w:t>L</w:t>
            </w:r>
            <w:r>
              <w:rPr>
                <w:rFonts w:hint="eastAsia"/>
                <w:bCs/>
                <w:sz w:val="24"/>
                <w:vertAlign w:val="subscript"/>
              </w:rPr>
              <w:t>p</w:t>
            </w:r>
            <w:r>
              <w:rPr>
                <w:rFonts w:hint="eastAsia"/>
                <w:bCs/>
                <w:sz w:val="24"/>
              </w:rPr>
              <w:t>（r）=L</w:t>
            </w:r>
            <w:r>
              <w:rPr>
                <w:rFonts w:hint="eastAsia"/>
                <w:bCs/>
                <w:sz w:val="24"/>
                <w:vertAlign w:val="subscript"/>
              </w:rPr>
              <w:t>p</w:t>
            </w:r>
            <w:r>
              <w:rPr>
                <w:rFonts w:hint="eastAsia"/>
                <w:bCs/>
                <w:sz w:val="24"/>
              </w:rPr>
              <w:t>（r</w:t>
            </w:r>
            <w:r>
              <w:rPr>
                <w:rFonts w:hint="eastAsia"/>
                <w:bCs/>
                <w:sz w:val="24"/>
                <w:vertAlign w:val="subscript"/>
              </w:rPr>
              <w:t>0</w:t>
            </w:r>
            <w:r>
              <w:rPr>
                <w:rFonts w:hint="eastAsia"/>
                <w:bCs/>
                <w:sz w:val="24"/>
              </w:rPr>
              <w:t>）- 20lg（r/r</w:t>
            </w:r>
            <w:r>
              <w:rPr>
                <w:rFonts w:hint="eastAsia"/>
                <w:bCs/>
                <w:sz w:val="24"/>
                <w:vertAlign w:val="subscript"/>
              </w:rPr>
              <w:t>0</w:t>
            </w:r>
            <w:r>
              <w:rPr>
                <w:rFonts w:hint="eastAsia"/>
                <w:bCs/>
                <w:sz w:val="24"/>
              </w:rPr>
              <w:t>）</w:t>
            </w:r>
          </w:p>
          <w:p>
            <w:pPr>
              <w:adjustRightInd w:val="0"/>
              <w:snapToGrid w:val="0"/>
              <w:spacing w:line="360" w:lineRule="auto"/>
              <w:ind w:firstLine="480" w:firstLineChars="200"/>
              <w:rPr>
                <w:bCs/>
                <w:sz w:val="24"/>
              </w:rPr>
            </w:pPr>
            <w:r>
              <w:rPr>
                <w:bCs/>
                <w:sz w:val="24"/>
              </w:rPr>
              <w:t>式中：</w:t>
            </w:r>
            <w:r>
              <w:rPr>
                <w:rFonts w:hint="eastAsia"/>
                <w:bCs/>
                <w:sz w:val="24"/>
              </w:rPr>
              <w:t>L</w:t>
            </w:r>
            <w:r>
              <w:rPr>
                <w:rFonts w:hint="eastAsia"/>
                <w:bCs/>
                <w:sz w:val="24"/>
                <w:vertAlign w:val="subscript"/>
              </w:rPr>
              <w:t>p</w:t>
            </w:r>
            <w:r>
              <w:rPr>
                <w:rFonts w:hint="eastAsia"/>
                <w:bCs/>
                <w:sz w:val="24"/>
              </w:rPr>
              <w:t>（r）</w:t>
            </w:r>
            <w:r>
              <w:rPr>
                <w:bCs/>
                <w:sz w:val="24"/>
              </w:rPr>
              <w:t>—</w:t>
            </w:r>
            <w:r>
              <w:rPr>
                <w:rFonts w:hint="eastAsia"/>
                <w:bCs/>
                <w:sz w:val="24"/>
              </w:rPr>
              <w:t>距离声源</w:t>
            </w:r>
            <w:r>
              <w:rPr>
                <w:bCs/>
                <w:sz w:val="24"/>
              </w:rPr>
              <w:t xml:space="preserve">r </w:t>
            </w:r>
            <w:r>
              <w:rPr>
                <w:rFonts w:hint="eastAsia"/>
                <w:bCs/>
                <w:sz w:val="24"/>
              </w:rPr>
              <w:t>处的倍频带声压级</w:t>
            </w:r>
            <w:r>
              <w:rPr>
                <w:bCs/>
                <w:sz w:val="24"/>
              </w:rPr>
              <w:t>，dB；</w:t>
            </w:r>
          </w:p>
          <w:p>
            <w:pPr>
              <w:adjustRightInd w:val="0"/>
              <w:snapToGrid w:val="0"/>
              <w:spacing w:line="360" w:lineRule="auto"/>
              <w:ind w:firstLine="1200" w:firstLineChars="500"/>
              <w:rPr>
                <w:bCs/>
                <w:sz w:val="24"/>
              </w:rPr>
            </w:pPr>
            <w:r>
              <w:rPr>
                <w:rFonts w:hint="eastAsia"/>
                <w:bCs/>
                <w:sz w:val="24"/>
              </w:rPr>
              <w:t>L</w:t>
            </w:r>
            <w:r>
              <w:rPr>
                <w:rFonts w:hint="eastAsia"/>
                <w:bCs/>
                <w:sz w:val="24"/>
                <w:vertAlign w:val="subscript"/>
              </w:rPr>
              <w:t>p</w:t>
            </w:r>
            <w:r>
              <w:rPr>
                <w:rFonts w:hint="eastAsia"/>
                <w:bCs/>
                <w:sz w:val="24"/>
              </w:rPr>
              <w:t>（r</w:t>
            </w:r>
            <w:r>
              <w:rPr>
                <w:rFonts w:hint="eastAsia"/>
                <w:bCs/>
                <w:sz w:val="24"/>
                <w:vertAlign w:val="subscript"/>
              </w:rPr>
              <w:t>0</w:t>
            </w:r>
            <w:r>
              <w:rPr>
                <w:rFonts w:hint="eastAsia"/>
                <w:bCs/>
                <w:sz w:val="24"/>
              </w:rPr>
              <w:t>）</w:t>
            </w:r>
            <w:r>
              <w:rPr>
                <w:bCs/>
                <w:sz w:val="24"/>
              </w:rPr>
              <w:t>—</w:t>
            </w:r>
            <w:r>
              <w:rPr>
                <w:rFonts w:hint="eastAsia"/>
                <w:bCs/>
                <w:sz w:val="24"/>
              </w:rPr>
              <w:t>参考位置</w:t>
            </w:r>
            <w:r>
              <w:rPr>
                <w:bCs/>
                <w:i/>
                <w:iCs/>
                <w:sz w:val="24"/>
              </w:rPr>
              <w:t>r</w:t>
            </w:r>
            <w:r>
              <w:rPr>
                <w:bCs/>
                <w:sz w:val="24"/>
                <w:vertAlign w:val="subscript"/>
              </w:rPr>
              <w:t>0</w:t>
            </w:r>
            <w:r>
              <w:rPr>
                <w:bCs/>
                <w:sz w:val="24"/>
              </w:rPr>
              <w:t xml:space="preserve"> </w:t>
            </w:r>
            <w:r>
              <w:rPr>
                <w:rFonts w:hint="eastAsia"/>
                <w:bCs/>
                <w:sz w:val="24"/>
              </w:rPr>
              <w:t>处的倍频带声压级</w:t>
            </w:r>
            <w:r>
              <w:rPr>
                <w:bCs/>
                <w:sz w:val="24"/>
              </w:rPr>
              <w:t>，dB；</w:t>
            </w:r>
          </w:p>
          <w:p>
            <w:pPr>
              <w:adjustRightInd w:val="0"/>
              <w:snapToGrid w:val="0"/>
              <w:spacing w:line="360" w:lineRule="auto"/>
              <w:ind w:firstLine="1200" w:firstLineChars="500"/>
              <w:rPr>
                <w:bCs/>
                <w:sz w:val="24"/>
              </w:rPr>
            </w:pPr>
            <w:r>
              <w:rPr>
                <w:rFonts w:hint="eastAsia"/>
                <w:bCs/>
                <w:sz w:val="24"/>
              </w:rPr>
              <w:t>r</w:t>
            </w:r>
            <w:r>
              <w:rPr>
                <w:bCs/>
                <w:sz w:val="24"/>
              </w:rPr>
              <w:t>—</w:t>
            </w:r>
            <w:r>
              <w:rPr>
                <w:rFonts w:hint="eastAsia"/>
                <w:bCs/>
                <w:sz w:val="24"/>
              </w:rPr>
              <w:t>预测点距离声源的距离</w:t>
            </w:r>
            <w:r>
              <w:rPr>
                <w:bCs/>
                <w:sz w:val="24"/>
              </w:rPr>
              <w:t>，m</w:t>
            </w:r>
            <w:r>
              <w:rPr>
                <w:rFonts w:hint="eastAsia"/>
                <w:bCs/>
                <w:sz w:val="24"/>
              </w:rPr>
              <w:t>；</w:t>
            </w:r>
          </w:p>
          <w:p>
            <w:pPr>
              <w:adjustRightInd w:val="0"/>
              <w:snapToGrid w:val="0"/>
              <w:spacing w:line="360" w:lineRule="auto"/>
              <w:ind w:firstLine="1200" w:firstLineChars="500"/>
              <w:rPr>
                <w:rFonts w:hint="eastAsia"/>
                <w:bCs/>
                <w:sz w:val="24"/>
              </w:rPr>
            </w:pPr>
            <w:r>
              <w:rPr>
                <w:rFonts w:hint="eastAsia"/>
                <w:bCs/>
                <w:sz w:val="24"/>
              </w:rPr>
              <w:t>r</w:t>
            </w:r>
            <w:r>
              <w:rPr>
                <w:rFonts w:hint="eastAsia"/>
                <w:bCs/>
                <w:sz w:val="24"/>
                <w:vertAlign w:val="subscript"/>
              </w:rPr>
              <w:t>0</w:t>
            </w:r>
            <w:r>
              <w:rPr>
                <w:bCs/>
                <w:sz w:val="24"/>
              </w:rPr>
              <w:t>—</w:t>
            </w:r>
            <w:r>
              <w:rPr>
                <w:rFonts w:hint="eastAsia"/>
                <w:bCs/>
                <w:sz w:val="24"/>
              </w:rPr>
              <w:t>参考位置距离声源的距离</w:t>
            </w:r>
            <w:r>
              <w:rPr>
                <w:bCs/>
                <w:sz w:val="24"/>
              </w:rPr>
              <w:t>，m</w:t>
            </w:r>
            <w:r>
              <w:rPr>
                <w:rFonts w:hint="eastAsia"/>
                <w:bCs/>
                <w:sz w:val="24"/>
              </w:rPr>
              <w:t>。</w:t>
            </w:r>
          </w:p>
          <w:p>
            <w:pPr>
              <w:adjustRightInd w:val="0"/>
              <w:snapToGrid w:val="0"/>
              <w:spacing w:line="360" w:lineRule="auto"/>
              <w:ind w:firstLine="480" w:firstLineChars="200"/>
              <w:rPr>
                <w:rFonts w:hint="eastAsia"/>
                <w:bCs/>
                <w:sz w:val="24"/>
              </w:rPr>
            </w:pPr>
            <w:r>
              <w:rPr>
                <w:rFonts w:hint="eastAsia"/>
                <w:bCs/>
                <w:sz w:val="24"/>
              </w:rPr>
              <w:t>项目施工机械噪声源强取最大值计算，则施工机械随距离衰减后的影响值见表7-2</w:t>
            </w:r>
            <w:r>
              <w:rPr>
                <w:bCs/>
                <w:sz w:val="24"/>
              </w:rPr>
              <w:t>。</w:t>
            </w:r>
          </w:p>
          <w:p>
            <w:pPr>
              <w:adjustRightInd w:val="0"/>
              <w:spacing w:before="156" w:beforeLines="50" w:line="420" w:lineRule="exact"/>
              <w:jc w:val="center"/>
              <w:rPr>
                <w:rFonts w:hAnsi="宋体"/>
                <w:b/>
                <w:sz w:val="24"/>
              </w:rPr>
            </w:pPr>
          </w:p>
          <w:p>
            <w:pPr>
              <w:adjustRightInd w:val="0"/>
              <w:spacing w:before="156" w:beforeLines="50" w:line="420" w:lineRule="exact"/>
              <w:jc w:val="center"/>
              <w:rPr>
                <w:rFonts w:hAnsi="宋体"/>
                <w:b/>
                <w:sz w:val="24"/>
              </w:rPr>
            </w:pPr>
          </w:p>
          <w:p>
            <w:pPr>
              <w:adjustRightInd w:val="0"/>
              <w:spacing w:before="156" w:beforeLines="50" w:line="420" w:lineRule="exact"/>
              <w:jc w:val="center"/>
              <w:rPr>
                <w:rFonts w:hAnsi="宋体"/>
                <w:b/>
                <w:sz w:val="24"/>
              </w:rPr>
            </w:pPr>
          </w:p>
          <w:p>
            <w:pPr>
              <w:adjustRightInd w:val="0"/>
              <w:spacing w:before="156" w:beforeLines="50" w:line="420" w:lineRule="exact"/>
              <w:jc w:val="center"/>
              <w:rPr>
                <w:rFonts w:hAnsi="宋体"/>
                <w:b/>
                <w:sz w:val="24"/>
              </w:rPr>
            </w:pPr>
          </w:p>
          <w:p>
            <w:pPr>
              <w:adjustRightInd w:val="0"/>
              <w:spacing w:before="156" w:beforeLines="50" w:line="420" w:lineRule="exact"/>
              <w:jc w:val="center"/>
              <w:rPr>
                <w:rFonts w:hAnsi="宋体"/>
                <w:b/>
                <w:sz w:val="24"/>
              </w:rPr>
            </w:pPr>
          </w:p>
          <w:p>
            <w:pPr>
              <w:adjustRightInd w:val="0"/>
              <w:spacing w:before="156" w:beforeLines="50" w:line="420" w:lineRule="exact"/>
              <w:jc w:val="center"/>
              <w:rPr>
                <w:rFonts w:hAnsi="宋体"/>
                <w:b/>
                <w:sz w:val="24"/>
              </w:rPr>
            </w:pPr>
          </w:p>
          <w:p>
            <w:pPr>
              <w:adjustRightInd w:val="0"/>
              <w:spacing w:before="156" w:beforeLines="50" w:line="420" w:lineRule="exact"/>
              <w:jc w:val="center"/>
              <w:rPr>
                <w:rFonts w:hAnsi="宋体"/>
                <w:b/>
                <w:sz w:val="24"/>
              </w:rPr>
            </w:pPr>
          </w:p>
          <w:p>
            <w:pPr>
              <w:adjustRightInd w:val="0"/>
              <w:spacing w:before="156" w:beforeLines="50" w:line="420" w:lineRule="exact"/>
              <w:jc w:val="center"/>
              <w:rPr>
                <w:rFonts w:hAnsi="宋体"/>
                <w:b/>
                <w:sz w:val="24"/>
              </w:rPr>
            </w:pPr>
          </w:p>
          <w:p>
            <w:pPr>
              <w:adjustRightInd w:val="0"/>
              <w:spacing w:before="156" w:beforeLines="50" w:line="420" w:lineRule="exact"/>
              <w:jc w:val="center"/>
              <w:rPr>
                <w:rFonts w:hAnsi="宋体"/>
                <w:sz w:val="24"/>
              </w:rPr>
            </w:pPr>
            <w:r>
              <w:rPr>
                <w:rFonts w:hAnsi="宋体"/>
                <w:b/>
                <w:sz w:val="24"/>
              </w:rPr>
              <w:t>表</w:t>
            </w:r>
            <w:r>
              <w:rPr>
                <w:rFonts w:hint="eastAsia"/>
                <w:b/>
                <w:sz w:val="24"/>
              </w:rPr>
              <w:t>7-2</w:t>
            </w:r>
            <w:r>
              <w:rPr>
                <w:b/>
                <w:sz w:val="24"/>
              </w:rPr>
              <w:t xml:space="preserve">  </w:t>
            </w:r>
            <w:r>
              <w:rPr>
                <w:rFonts w:hAnsi="宋体"/>
                <w:b/>
                <w:sz w:val="24"/>
              </w:rPr>
              <w:t>各主要施工机械在不同距离处的贡献值</w:t>
            </w:r>
          </w:p>
          <w:tbl>
            <w:tblPr>
              <w:tblStyle w:val="35"/>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364"/>
              <w:gridCol w:w="1536"/>
              <w:gridCol w:w="813"/>
              <w:gridCol w:w="521"/>
              <w:gridCol w:w="502"/>
              <w:gridCol w:w="538"/>
              <w:gridCol w:w="502"/>
              <w:gridCol w:w="556"/>
              <w:gridCol w:w="624"/>
              <w:gridCol w:w="624"/>
              <w:gridCol w:w="624"/>
              <w:gridCol w:w="624"/>
              <w:gridCol w:w="669"/>
              <w:gridCol w:w="4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vMerge w:val="restart"/>
                  <w:noWrap w:val="0"/>
                  <w:vAlign w:val="center"/>
                </w:tcPr>
                <w:p>
                  <w:pPr>
                    <w:jc w:val="center"/>
                    <w:rPr>
                      <w:szCs w:val="21"/>
                    </w:rPr>
                  </w:pPr>
                  <w:r>
                    <w:rPr>
                      <w:rFonts w:hAnsi="宋体"/>
                      <w:szCs w:val="21"/>
                    </w:rPr>
                    <w:t>序</w:t>
                  </w:r>
                </w:p>
                <w:p>
                  <w:pPr>
                    <w:jc w:val="center"/>
                    <w:rPr>
                      <w:szCs w:val="21"/>
                    </w:rPr>
                  </w:pPr>
                  <w:r>
                    <w:rPr>
                      <w:rFonts w:hAnsi="宋体"/>
                      <w:szCs w:val="21"/>
                    </w:rPr>
                    <w:t>号</w:t>
                  </w:r>
                </w:p>
              </w:tc>
              <w:tc>
                <w:tcPr>
                  <w:tcW w:w="1536" w:type="dxa"/>
                  <w:vMerge w:val="restart"/>
                  <w:noWrap w:val="0"/>
                  <w:vAlign w:val="top"/>
                </w:tcPr>
                <w:p>
                  <w:pPr>
                    <w:jc w:val="center"/>
                    <w:rPr>
                      <w:szCs w:val="21"/>
                    </w:rPr>
                  </w:pPr>
                  <w:r>
                    <w:rPr>
                      <w:rFonts w:hAnsi="宋体"/>
                      <w:szCs w:val="21"/>
                    </w:rPr>
                    <w:t>机械</w:t>
                  </w:r>
                </w:p>
                <w:p>
                  <w:pPr>
                    <w:jc w:val="center"/>
                    <w:rPr>
                      <w:szCs w:val="21"/>
                    </w:rPr>
                  </w:pPr>
                  <w:r>
                    <w:rPr>
                      <w:rFonts w:hAnsi="宋体"/>
                      <w:szCs w:val="21"/>
                    </w:rPr>
                    <w:t>名称</w:t>
                  </w:r>
                </w:p>
              </w:tc>
              <w:tc>
                <w:tcPr>
                  <w:tcW w:w="813" w:type="dxa"/>
                  <w:vMerge w:val="restart"/>
                  <w:noWrap w:val="0"/>
                  <w:vAlign w:val="center"/>
                </w:tcPr>
                <w:p>
                  <w:pPr>
                    <w:jc w:val="center"/>
                    <w:rPr>
                      <w:szCs w:val="21"/>
                    </w:rPr>
                  </w:pPr>
                  <w:r>
                    <w:rPr>
                      <w:szCs w:val="21"/>
                    </w:rPr>
                    <w:t>1m</w:t>
                  </w:r>
                  <w:r>
                    <w:rPr>
                      <w:rFonts w:hAnsi="宋体"/>
                      <w:szCs w:val="21"/>
                    </w:rPr>
                    <w:t>处噪声值</w:t>
                  </w:r>
                </w:p>
              </w:tc>
              <w:tc>
                <w:tcPr>
                  <w:tcW w:w="5784" w:type="dxa"/>
                  <w:gridSpan w:val="10"/>
                  <w:noWrap w:val="0"/>
                  <w:vAlign w:val="center"/>
                </w:tcPr>
                <w:p>
                  <w:pPr>
                    <w:jc w:val="center"/>
                    <w:rPr>
                      <w:szCs w:val="21"/>
                    </w:rPr>
                  </w:pPr>
                  <w:r>
                    <w:rPr>
                      <w:rFonts w:hAnsi="宋体"/>
                      <w:szCs w:val="21"/>
                    </w:rPr>
                    <w:t>不同距离处的噪声预测</w:t>
                  </w:r>
                  <w:r>
                    <w:rPr>
                      <w:rFonts w:hint="eastAsia"/>
                      <w:szCs w:val="21"/>
                    </w:rPr>
                    <w:t>[</w:t>
                  </w:r>
                  <w:r>
                    <w:rPr>
                      <w:szCs w:val="21"/>
                    </w:rPr>
                    <w:t>dB(A)</w:t>
                  </w:r>
                  <w:r>
                    <w:rPr>
                      <w:rFonts w:hint="eastAsia"/>
                      <w:szCs w:val="21"/>
                    </w:rPr>
                    <w:t>]</w:t>
                  </w:r>
                </w:p>
              </w:tc>
              <w:tc>
                <w:tcPr>
                  <w:tcW w:w="493" w:type="dxa"/>
                  <w:vMerge w:val="restart"/>
                  <w:noWrap w:val="0"/>
                  <w:vAlign w:val="center"/>
                </w:tcPr>
                <w:p>
                  <w:pPr>
                    <w:jc w:val="center"/>
                    <w:rPr>
                      <w:szCs w:val="21"/>
                    </w:rPr>
                  </w:pPr>
                  <w:r>
                    <w:rPr>
                      <w:rFonts w:hAnsi="宋体"/>
                      <w:szCs w:val="21"/>
                    </w:rPr>
                    <w:t>施工</w:t>
                  </w:r>
                </w:p>
                <w:p>
                  <w:pPr>
                    <w:jc w:val="center"/>
                    <w:rPr>
                      <w:szCs w:val="21"/>
                    </w:rPr>
                  </w:pPr>
                  <w:r>
                    <w:rPr>
                      <w:rFonts w:hAnsi="宋体"/>
                      <w:szCs w:val="21"/>
                    </w:rPr>
                    <w:t>阶段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vMerge w:val="continue"/>
                  <w:noWrap w:val="0"/>
                  <w:vAlign w:val="center"/>
                </w:tcPr>
                <w:p>
                  <w:pPr>
                    <w:jc w:val="center"/>
                    <w:rPr>
                      <w:szCs w:val="21"/>
                    </w:rPr>
                  </w:pPr>
                </w:p>
              </w:tc>
              <w:tc>
                <w:tcPr>
                  <w:tcW w:w="1536" w:type="dxa"/>
                  <w:vMerge w:val="continue"/>
                  <w:noWrap w:val="0"/>
                  <w:vAlign w:val="top"/>
                </w:tcPr>
                <w:p>
                  <w:pPr>
                    <w:jc w:val="center"/>
                    <w:rPr>
                      <w:szCs w:val="21"/>
                    </w:rPr>
                  </w:pPr>
                </w:p>
              </w:tc>
              <w:tc>
                <w:tcPr>
                  <w:tcW w:w="813" w:type="dxa"/>
                  <w:vMerge w:val="continue"/>
                  <w:noWrap w:val="0"/>
                  <w:vAlign w:val="center"/>
                </w:tcPr>
                <w:p>
                  <w:pPr>
                    <w:jc w:val="center"/>
                    <w:rPr>
                      <w:szCs w:val="21"/>
                    </w:rPr>
                  </w:pPr>
                </w:p>
              </w:tc>
              <w:tc>
                <w:tcPr>
                  <w:tcW w:w="521" w:type="dxa"/>
                  <w:noWrap w:val="0"/>
                  <w:vAlign w:val="center"/>
                </w:tcPr>
                <w:p>
                  <w:pPr>
                    <w:jc w:val="center"/>
                    <w:rPr>
                      <w:szCs w:val="21"/>
                    </w:rPr>
                  </w:pPr>
                  <w:r>
                    <w:rPr>
                      <w:szCs w:val="21"/>
                    </w:rPr>
                    <w:t>10m</w:t>
                  </w:r>
                </w:p>
              </w:tc>
              <w:tc>
                <w:tcPr>
                  <w:tcW w:w="502" w:type="dxa"/>
                  <w:noWrap w:val="0"/>
                  <w:vAlign w:val="center"/>
                </w:tcPr>
                <w:p>
                  <w:pPr>
                    <w:jc w:val="center"/>
                    <w:rPr>
                      <w:szCs w:val="21"/>
                    </w:rPr>
                  </w:pPr>
                  <w:r>
                    <w:rPr>
                      <w:szCs w:val="21"/>
                    </w:rPr>
                    <w:t>20m</w:t>
                  </w:r>
                </w:p>
              </w:tc>
              <w:tc>
                <w:tcPr>
                  <w:tcW w:w="538" w:type="dxa"/>
                  <w:noWrap w:val="0"/>
                  <w:vAlign w:val="center"/>
                </w:tcPr>
                <w:p>
                  <w:pPr>
                    <w:jc w:val="center"/>
                    <w:rPr>
                      <w:szCs w:val="21"/>
                    </w:rPr>
                  </w:pPr>
                  <w:r>
                    <w:rPr>
                      <w:szCs w:val="21"/>
                    </w:rPr>
                    <w:t>30m</w:t>
                  </w:r>
                </w:p>
              </w:tc>
              <w:tc>
                <w:tcPr>
                  <w:tcW w:w="502" w:type="dxa"/>
                  <w:noWrap w:val="0"/>
                  <w:vAlign w:val="center"/>
                </w:tcPr>
                <w:p>
                  <w:pPr>
                    <w:jc w:val="center"/>
                    <w:rPr>
                      <w:szCs w:val="21"/>
                    </w:rPr>
                  </w:pPr>
                  <w:r>
                    <w:rPr>
                      <w:szCs w:val="21"/>
                    </w:rPr>
                    <w:t>40m</w:t>
                  </w:r>
                </w:p>
              </w:tc>
              <w:tc>
                <w:tcPr>
                  <w:tcW w:w="556" w:type="dxa"/>
                  <w:noWrap w:val="0"/>
                  <w:vAlign w:val="center"/>
                </w:tcPr>
                <w:p>
                  <w:pPr>
                    <w:jc w:val="center"/>
                    <w:rPr>
                      <w:szCs w:val="21"/>
                    </w:rPr>
                  </w:pPr>
                  <w:r>
                    <w:rPr>
                      <w:szCs w:val="21"/>
                    </w:rPr>
                    <w:t>50m</w:t>
                  </w:r>
                </w:p>
              </w:tc>
              <w:tc>
                <w:tcPr>
                  <w:tcW w:w="624" w:type="dxa"/>
                  <w:noWrap w:val="0"/>
                  <w:vAlign w:val="center"/>
                </w:tcPr>
                <w:p>
                  <w:pPr>
                    <w:jc w:val="center"/>
                    <w:rPr>
                      <w:szCs w:val="21"/>
                    </w:rPr>
                  </w:pPr>
                  <w:r>
                    <w:rPr>
                      <w:szCs w:val="21"/>
                    </w:rPr>
                    <w:t>100m</w:t>
                  </w:r>
                </w:p>
              </w:tc>
              <w:tc>
                <w:tcPr>
                  <w:tcW w:w="624" w:type="dxa"/>
                  <w:noWrap w:val="0"/>
                  <w:vAlign w:val="center"/>
                </w:tcPr>
                <w:p>
                  <w:pPr>
                    <w:jc w:val="center"/>
                    <w:rPr>
                      <w:szCs w:val="21"/>
                    </w:rPr>
                  </w:pPr>
                  <w:r>
                    <w:rPr>
                      <w:szCs w:val="21"/>
                    </w:rPr>
                    <w:t>150m</w:t>
                  </w:r>
                </w:p>
              </w:tc>
              <w:tc>
                <w:tcPr>
                  <w:tcW w:w="624" w:type="dxa"/>
                  <w:noWrap w:val="0"/>
                  <w:vAlign w:val="center"/>
                </w:tcPr>
                <w:p>
                  <w:pPr>
                    <w:jc w:val="center"/>
                    <w:rPr>
                      <w:szCs w:val="21"/>
                    </w:rPr>
                  </w:pPr>
                  <w:r>
                    <w:rPr>
                      <w:szCs w:val="21"/>
                    </w:rPr>
                    <w:t>200m</w:t>
                  </w:r>
                </w:p>
              </w:tc>
              <w:tc>
                <w:tcPr>
                  <w:tcW w:w="624" w:type="dxa"/>
                  <w:noWrap w:val="0"/>
                  <w:vAlign w:val="center"/>
                </w:tcPr>
                <w:p>
                  <w:pPr>
                    <w:jc w:val="center"/>
                    <w:rPr>
                      <w:szCs w:val="21"/>
                    </w:rPr>
                  </w:pPr>
                  <w:r>
                    <w:rPr>
                      <w:szCs w:val="21"/>
                    </w:rPr>
                    <w:t>250m</w:t>
                  </w:r>
                </w:p>
              </w:tc>
              <w:tc>
                <w:tcPr>
                  <w:tcW w:w="669" w:type="dxa"/>
                  <w:tcBorders>
                    <w:bottom w:val="single" w:color="auto" w:sz="4" w:space="0"/>
                  </w:tcBorders>
                  <w:noWrap w:val="0"/>
                  <w:vAlign w:val="center"/>
                </w:tcPr>
                <w:p>
                  <w:pPr>
                    <w:jc w:val="center"/>
                    <w:rPr>
                      <w:szCs w:val="21"/>
                    </w:rPr>
                  </w:pPr>
                  <w:r>
                    <w:rPr>
                      <w:szCs w:val="21"/>
                    </w:rPr>
                    <w:t>300m</w:t>
                  </w:r>
                </w:p>
              </w:tc>
              <w:tc>
                <w:tcPr>
                  <w:tcW w:w="493" w:type="dxa"/>
                  <w:vMerge w:val="continue"/>
                  <w:tcBorders>
                    <w:bottom w:val="single" w:color="auto" w:sz="4" w:space="0"/>
                  </w:tcBorders>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kern w:val="0"/>
                      <w:szCs w:val="21"/>
                    </w:rPr>
                    <w:t>1</w:t>
                  </w:r>
                </w:p>
              </w:tc>
              <w:tc>
                <w:tcPr>
                  <w:tcW w:w="1536" w:type="dxa"/>
                  <w:noWrap w:val="0"/>
                  <w:vAlign w:val="center"/>
                </w:tcPr>
                <w:p>
                  <w:pPr>
                    <w:adjustRightInd w:val="0"/>
                    <w:jc w:val="center"/>
                    <w:rPr>
                      <w:szCs w:val="21"/>
                    </w:rPr>
                  </w:pPr>
                  <w:r>
                    <w:rPr>
                      <w:rFonts w:hint="eastAsia" w:hAnsi="宋体"/>
                      <w:szCs w:val="21"/>
                    </w:rPr>
                    <w:t>挖掘机</w:t>
                  </w:r>
                </w:p>
              </w:tc>
              <w:tc>
                <w:tcPr>
                  <w:tcW w:w="813" w:type="dxa"/>
                  <w:noWrap w:val="0"/>
                  <w:vAlign w:val="center"/>
                </w:tcPr>
                <w:p>
                  <w:pPr>
                    <w:jc w:val="center"/>
                    <w:rPr>
                      <w:szCs w:val="21"/>
                    </w:rPr>
                  </w:pPr>
                  <w:r>
                    <w:rPr>
                      <w:szCs w:val="21"/>
                    </w:rPr>
                    <w:t>89</w:t>
                  </w:r>
                </w:p>
              </w:tc>
              <w:tc>
                <w:tcPr>
                  <w:tcW w:w="521" w:type="dxa"/>
                  <w:noWrap w:val="0"/>
                  <w:vAlign w:val="center"/>
                </w:tcPr>
                <w:p>
                  <w:pPr>
                    <w:jc w:val="center"/>
                    <w:rPr>
                      <w:szCs w:val="21"/>
                    </w:rPr>
                  </w:pPr>
                  <w:r>
                    <w:rPr>
                      <w:rFonts w:hint="eastAsia"/>
                      <w:szCs w:val="21"/>
                    </w:rPr>
                    <w:t>69</w:t>
                  </w:r>
                </w:p>
              </w:tc>
              <w:tc>
                <w:tcPr>
                  <w:tcW w:w="502" w:type="dxa"/>
                  <w:noWrap w:val="0"/>
                  <w:vAlign w:val="center"/>
                </w:tcPr>
                <w:p>
                  <w:pPr>
                    <w:jc w:val="center"/>
                    <w:rPr>
                      <w:szCs w:val="21"/>
                    </w:rPr>
                  </w:pPr>
                  <w:r>
                    <w:rPr>
                      <w:rFonts w:hint="eastAsia"/>
                      <w:szCs w:val="21"/>
                    </w:rPr>
                    <w:t>63</w:t>
                  </w:r>
                </w:p>
              </w:tc>
              <w:tc>
                <w:tcPr>
                  <w:tcW w:w="538" w:type="dxa"/>
                  <w:noWrap w:val="0"/>
                  <w:vAlign w:val="center"/>
                </w:tcPr>
                <w:p>
                  <w:pPr>
                    <w:jc w:val="center"/>
                    <w:rPr>
                      <w:szCs w:val="21"/>
                    </w:rPr>
                  </w:pPr>
                  <w:r>
                    <w:rPr>
                      <w:rFonts w:hint="eastAsia"/>
                      <w:szCs w:val="21"/>
                    </w:rPr>
                    <w:t>59</w:t>
                  </w:r>
                </w:p>
              </w:tc>
              <w:tc>
                <w:tcPr>
                  <w:tcW w:w="502" w:type="dxa"/>
                  <w:noWrap w:val="0"/>
                  <w:vAlign w:val="center"/>
                </w:tcPr>
                <w:p>
                  <w:pPr>
                    <w:jc w:val="center"/>
                    <w:rPr>
                      <w:szCs w:val="21"/>
                    </w:rPr>
                  </w:pPr>
                  <w:r>
                    <w:rPr>
                      <w:rFonts w:hint="eastAsia"/>
                      <w:szCs w:val="21"/>
                    </w:rPr>
                    <w:t>57</w:t>
                  </w:r>
                </w:p>
              </w:tc>
              <w:tc>
                <w:tcPr>
                  <w:tcW w:w="556" w:type="dxa"/>
                  <w:noWrap w:val="0"/>
                  <w:vAlign w:val="center"/>
                </w:tcPr>
                <w:p>
                  <w:pPr>
                    <w:jc w:val="center"/>
                    <w:rPr>
                      <w:szCs w:val="21"/>
                    </w:rPr>
                  </w:pPr>
                  <w:r>
                    <w:rPr>
                      <w:rFonts w:hint="eastAsia"/>
                      <w:szCs w:val="21"/>
                    </w:rPr>
                    <w:t>55</w:t>
                  </w:r>
                </w:p>
              </w:tc>
              <w:tc>
                <w:tcPr>
                  <w:tcW w:w="624" w:type="dxa"/>
                  <w:noWrap w:val="0"/>
                  <w:vAlign w:val="center"/>
                </w:tcPr>
                <w:p>
                  <w:pPr>
                    <w:jc w:val="center"/>
                    <w:rPr>
                      <w:szCs w:val="21"/>
                    </w:rPr>
                  </w:pPr>
                  <w:r>
                    <w:rPr>
                      <w:rFonts w:hint="eastAsia"/>
                      <w:szCs w:val="21"/>
                    </w:rPr>
                    <w:t>49</w:t>
                  </w:r>
                </w:p>
              </w:tc>
              <w:tc>
                <w:tcPr>
                  <w:tcW w:w="624" w:type="dxa"/>
                  <w:noWrap w:val="0"/>
                  <w:vAlign w:val="center"/>
                </w:tcPr>
                <w:p>
                  <w:pPr>
                    <w:jc w:val="center"/>
                    <w:rPr>
                      <w:szCs w:val="21"/>
                    </w:rPr>
                  </w:pPr>
                  <w:r>
                    <w:rPr>
                      <w:rFonts w:hint="eastAsia"/>
                      <w:szCs w:val="21"/>
                    </w:rPr>
                    <w:t>45</w:t>
                  </w:r>
                </w:p>
              </w:tc>
              <w:tc>
                <w:tcPr>
                  <w:tcW w:w="624" w:type="dxa"/>
                  <w:noWrap w:val="0"/>
                  <w:vAlign w:val="center"/>
                </w:tcPr>
                <w:p>
                  <w:pPr>
                    <w:jc w:val="center"/>
                    <w:rPr>
                      <w:szCs w:val="21"/>
                    </w:rPr>
                  </w:pPr>
                  <w:r>
                    <w:rPr>
                      <w:rFonts w:hint="eastAsia"/>
                      <w:szCs w:val="21"/>
                    </w:rPr>
                    <w:t>43</w:t>
                  </w:r>
                </w:p>
              </w:tc>
              <w:tc>
                <w:tcPr>
                  <w:tcW w:w="624" w:type="dxa"/>
                  <w:noWrap w:val="0"/>
                  <w:vAlign w:val="center"/>
                </w:tcPr>
                <w:p>
                  <w:pPr>
                    <w:jc w:val="center"/>
                    <w:rPr>
                      <w:szCs w:val="21"/>
                    </w:rPr>
                  </w:pPr>
                  <w:r>
                    <w:rPr>
                      <w:rFonts w:hint="eastAsia"/>
                      <w:szCs w:val="21"/>
                    </w:rPr>
                    <w:t>41</w:t>
                  </w:r>
                </w:p>
              </w:tc>
              <w:tc>
                <w:tcPr>
                  <w:tcW w:w="669" w:type="dxa"/>
                  <w:noWrap w:val="0"/>
                  <w:vAlign w:val="center"/>
                </w:tcPr>
                <w:p>
                  <w:pPr>
                    <w:jc w:val="center"/>
                    <w:rPr>
                      <w:szCs w:val="21"/>
                    </w:rPr>
                  </w:pPr>
                  <w:r>
                    <w:rPr>
                      <w:rFonts w:hint="eastAsia"/>
                      <w:szCs w:val="21"/>
                    </w:rPr>
                    <w:t>39</w:t>
                  </w:r>
                </w:p>
              </w:tc>
              <w:tc>
                <w:tcPr>
                  <w:tcW w:w="493" w:type="dxa"/>
                  <w:vMerge w:val="restart"/>
                  <w:noWrap w:val="0"/>
                  <w:vAlign w:val="center"/>
                </w:tcPr>
                <w:p>
                  <w:pPr>
                    <w:jc w:val="center"/>
                    <w:rPr>
                      <w:rFonts w:hAnsi="宋体"/>
                      <w:szCs w:val="21"/>
                    </w:rPr>
                  </w:pPr>
                  <w:r>
                    <w:rPr>
                      <w:rFonts w:hAnsi="宋体"/>
                      <w:szCs w:val="21"/>
                    </w:rPr>
                    <w:t>土石方及</w:t>
                  </w:r>
                </w:p>
                <w:p>
                  <w:pPr>
                    <w:jc w:val="center"/>
                    <w:rPr>
                      <w:szCs w:val="21"/>
                    </w:rPr>
                  </w:pPr>
                  <w:r>
                    <w:rPr>
                      <w:rFonts w:hAnsi="宋体"/>
                      <w:szCs w:val="21"/>
                    </w:rPr>
                    <w:t>基础</w:t>
                  </w:r>
                </w:p>
                <w:p>
                  <w:pPr>
                    <w:jc w:val="center"/>
                    <w:rPr>
                      <w:szCs w:val="21"/>
                    </w:rPr>
                  </w:pPr>
                  <w:r>
                    <w:rPr>
                      <w:rFonts w:hAnsi="宋体"/>
                      <w:szCs w:val="21"/>
                    </w:rPr>
                    <w:t>阶段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kern w:val="0"/>
                      <w:szCs w:val="21"/>
                    </w:rPr>
                    <w:t>2</w:t>
                  </w:r>
                </w:p>
              </w:tc>
              <w:tc>
                <w:tcPr>
                  <w:tcW w:w="1536" w:type="dxa"/>
                  <w:noWrap w:val="0"/>
                  <w:vAlign w:val="center"/>
                </w:tcPr>
                <w:p>
                  <w:pPr>
                    <w:jc w:val="center"/>
                    <w:rPr>
                      <w:szCs w:val="21"/>
                    </w:rPr>
                  </w:pPr>
                  <w:r>
                    <w:rPr>
                      <w:rFonts w:hint="eastAsia" w:hAnsi="宋体"/>
                      <w:szCs w:val="21"/>
                    </w:rPr>
                    <w:t>推土机</w:t>
                  </w:r>
                </w:p>
              </w:tc>
              <w:tc>
                <w:tcPr>
                  <w:tcW w:w="813" w:type="dxa"/>
                  <w:noWrap w:val="0"/>
                  <w:vAlign w:val="center"/>
                </w:tcPr>
                <w:p>
                  <w:pPr>
                    <w:jc w:val="center"/>
                    <w:rPr>
                      <w:szCs w:val="21"/>
                    </w:rPr>
                  </w:pPr>
                  <w:r>
                    <w:rPr>
                      <w:rFonts w:hint="eastAsia"/>
                      <w:szCs w:val="21"/>
                    </w:rPr>
                    <w:t>8</w:t>
                  </w:r>
                  <w:r>
                    <w:rPr>
                      <w:szCs w:val="21"/>
                    </w:rPr>
                    <w:t>9</w:t>
                  </w:r>
                </w:p>
              </w:tc>
              <w:tc>
                <w:tcPr>
                  <w:tcW w:w="521" w:type="dxa"/>
                  <w:noWrap w:val="0"/>
                  <w:vAlign w:val="center"/>
                </w:tcPr>
                <w:p>
                  <w:pPr>
                    <w:jc w:val="center"/>
                    <w:rPr>
                      <w:szCs w:val="21"/>
                    </w:rPr>
                  </w:pPr>
                  <w:r>
                    <w:rPr>
                      <w:rFonts w:hint="eastAsia"/>
                      <w:szCs w:val="21"/>
                    </w:rPr>
                    <w:t>69</w:t>
                  </w:r>
                </w:p>
              </w:tc>
              <w:tc>
                <w:tcPr>
                  <w:tcW w:w="502" w:type="dxa"/>
                  <w:noWrap w:val="0"/>
                  <w:vAlign w:val="center"/>
                </w:tcPr>
                <w:p>
                  <w:pPr>
                    <w:jc w:val="center"/>
                    <w:rPr>
                      <w:szCs w:val="21"/>
                    </w:rPr>
                  </w:pPr>
                  <w:r>
                    <w:rPr>
                      <w:rFonts w:hint="eastAsia"/>
                      <w:szCs w:val="21"/>
                    </w:rPr>
                    <w:t>63</w:t>
                  </w:r>
                </w:p>
              </w:tc>
              <w:tc>
                <w:tcPr>
                  <w:tcW w:w="538" w:type="dxa"/>
                  <w:noWrap w:val="0"/>
                  <w:vAlign w:val="center"/>
                </w:tcPr>
                <w:p>
                  <w:pPr>
                    <w:jc w:val="center"/>
                    <w:rPr>
                      <w:szCs w:val="21"/>
                    </w:rPr>
                  </w:pPr>
                  <w:r>
                    <w:rPr>
                      <w:rFonts w:hint="eastAsia"/>
                      <w:szCs w:val="21"/>
                    </w:rPr>
                    <w:t>59</w:t>
                  </w:r>
                </w:p>
              </w:tc>
              <w:tc>
                <w:tcPr>
                  <w:tcW w:w="502" w:type="dxa"/>
                  <w:noWrap w:val="0"/>
                  <w:vAlign w:val="center"/>
                </w:tcPr>
                <w:p>
                  <w:pPr>
                    <w:jc w:val="center"/>
                    <w:rPr>
                      <w:szCs w:val="21"/>
                    </w:rPr>
                  </w:pPr>
                  <w:r>
                    <w:rPr>
                      <w:rFonts w:hint="eastAsia"/>
                      <w:szCs w:val="21"/>
                    </w:rPr>
                    <w:t>57</w:t>
                  </w:r>
                </w:p>
              </w:tc>
              <w:tc>
                <w:tcPr>
                  <w:tcW w:w="556" w:type="dxa"/>
                  <w:noWrap w:val="0"/>
                  <w:vAlign w:val="center"/>
                </w:tcPr>
                <w:p>
                  <w:pPr>
                    <w:jc w:val="center"/>
                    <w:rPr>
                      <w:szCs w:val="21"/>
                    </w:rPr>
                  </w:pPr>
                  <w:r>
                    <w:rPr>
                      <w:rFonts w:hint="eastAsia"/>
                      <w:szCs w:val="21"/>
                    </w:rPr>
                    <w:t>55</w:t>
                  </w:r>
                </w:p>
              </w:tc>
              <w:tc>
                <w:tcPr>
                  <w:tcW w:w="624" w:type="dxa"/>
                  <w:noWrap w:val="0"/>
                  <w:vAlign w:val="center"/>
                </w:tcPr>
                <w:p>
                  <w:pPr>
                    <w:jc w:val="center"/>
                    <w:rPr>
                      <w:szCs w:val="21"/>
                    </w:rPr>
                  </w:pPr>
                  <w:r>
                    <w:rPr>
                      <w:rFonts w:hint="eastAsia"/>
                      <w:szCs w:val="21"/>
                    </w:rPr>
                    <w:t>49</w:t>
                  </w:r>
                </w:p>
              </w:tc>
              <w:tc>
                <w:tcPr>
                  <w:tcW w:w="624" w:type="dxa"/>
                  <w:noWrap w:val="0"/>
                  <w:vAlign w:val="center"/>
                </w:tcPr>
                <w:p>
                  <w:pPr>
                    <w:jc w:val="center"/>
                    <w:rPr>
                      <w:szCs w:val="21"/>
                    </w:rPr>
                  </w:pPr>
                  <w:r>
                    <w:rPr>
                      <w:rFonts w:hint="eastAsia"/>
                      <w:szCs w:val="21"/>
                    </w:rPr>
                    <w:t>45</w:t>
                  </w:r>
                </w:p>
              </w:tc>
              <w:tc>
                <w:tcPr>
                  <w:tcW w:w="624" w:type="dxa"/>
                  <w:noWrap w:val="0"/>
                  <w:vAlign w:val="center"/>
                </w:tcPr>
                <w:p>
                  <w:pPr>
                    <w:jc w:val="center"/>
                    <w:rPr>
                      <w:szCs w:val="21"/>
                    </w:rPr>
                  </w:pPr>
                  <w:r>
                    <w:rPr>
                      <w:rFonts w:hint="eastAsia"/>
                      <w:szCs w:val="21"/>
                    </w:rPr>
                    <w:t>43</w:t>
                  </w:r>
                </w:p>
              </w:tc>
              <w:tc>
                <w:tcPr>
                  <w:tcW w:w="624" w:type="dxa"/>
                  <w:noWrap w:val="0"/>
                  <w:vAlign w:val="center"/>
                </w:tcPr>
                <w:p>
                  <w:pPr>
                    <w:jc w:val="center"/>
                    <w:rPr>
                      <w:szCs w:val="21"/>
                    </w:rPr>
                  </w:pPr>
                  <w:r>
                    <w:rPr>
                      <w:rFonts w:hint="eastAsia"/>
                      <w:szCs w:val="21"/>
                    </w:rPr>
                    <w:t>41</w:t>
                  </w:r>
                </w:p>
              </w:tc>
              <w:tc>
                <w:tcPr>
                  <w:tcW w:w="669" w:type="dxa"/>
                  <w:tcBorders>
                    <w:bottom w:val="single" w:color="auto" w:sz="4" w:space="0"/>
                  </w:tcBorders>
                  <w:noWrap w:val="0"/>
                  <w:vAlign w:val="center"/>
                </w:tcPr>
                <w:p>
                  <w:pPr>
                    <w:jc w:val="center"/>
                    <w:rPr>
                      <w:szCs w:val="21"/>
                    </w:rPr>
                  </w:pPr>
                  <w:r>
                    <w:rPr>
                      <w:rFonts w:hint="eastAsia"/>
                      <w:szCs w:val="21"/>
                    </w:rPr>
                    <w:t>39</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rFonts w:hint="eastAsia"/>
                      <w:kern w:val="0"/>
                      <w:szCs w:val="21"/>
                    </w:rPr>
                    <w:t>3</w:t>
                  </w:r>
                </w:p>
              </w:tc>
              <w:tc>
                <w:tcPr>
                  <w:tcW w:w="1536" w:type="dxa"/>
                  <w:noWrap w:val="0"/>
                  <w:vAlign w:val="center"/>
                </w:tcPr>
                <w:p>
                  <w:pPr>
                    <w:jc w:val="center"/>
                    <w:rPr>
                      <w:rFonts w:hAnsi="宋体"/>
                      <w:szCs w:val="21"/>
                    </w:rPr>
                  </w:pPr>
                  <w:r>
                    <w:rPr>
                      <w:rFonts w:hint="eastAsia" w:hAnsi="宋体"/>
                      <w:szCs w:val="21"/>
                    </w:rPr>
                    <w:t>抽水泵</w:t>
                  </w:r>
                </w:p>
              </w:tc>
              <w:tc>
                <w:tcPr>
                  <w:tcW w:w="813" w:type="dxa"/>
                  <w:noWrap w:val="0"/>
                  <w:vAlign w:val="center"/>
                </w:tcPr>
                <w:p>
                  <w:pPr>
                    <w:jc w:val="center"/>
                    <w:rPr>
                      <w:szCs w:val="21"/>
                    </w:rPr>
                  </w:pPr>
                  <w:r>
                    <w:rPr>
                      <w:rFonts w:hint="eastAsia"/>
                      <w:szCs w:val="21"/>
                    </w:rPr>
                    <w:t>85</w:t>
                  </w:r>
                </w:p>
              </w:tc>
              <w:tc>
                <w:tcPr>
                  <w:tcW w:w="521" w:type="dxa"/>
                  <w:noWrap w:val="0"/>
                  <w:vAlign w:val="center"/>
                </w:tcPr>
                <w:p>
                  <w:pPr>
                    <w:jc w:val="center"/>
                    <w:rPr>
                      <w:szCs w:val="21"/>
                    </w:rPr>
                  </w:pPr>
                  <w:r>
                    <w:rPr>
                      <w:rFonts w:hint="eastAsia"/>
                      <w:szCs w:val="21"/>
                    </w:rPr>
                    <w:t>65</w:t>
                  </w:r>
                </w:p>
              </w:tc>
              <w:tc>
                <w:tcPr>
                  <w:tcW w:w="502" w:type="dxa"/>
                  <w:noWrap w:val="0"/>
                  <w:vAlign w:val="center"/>
                </w:tcPr>
                <w:p>
                  <w:pPr>
                    <w:jc w:val="center"/>
                    <w:rPr>
                      <w:szCs w:val="21"/>
                    </w:rPr>
                  </w:pPr>
                  <w:r>
                    <w:rPr>
                      <w:rFonts w:hint="eastAsia"/>
                      <w:szCs w:val="21"/>
                    </w:rPr>
                    <w:t>59</w:t>
                  </w:r>
                </w:p>
              </w:tc>
              <w:tc>
                <w:tcPr>
                  <w:tcW w:w="538" w:type="dxa"/>
                  <w:noWrap w:val="0"/>
                  <w:vAlign w:val="center"/>
                </w:tcPr>
                <w:p>
                  <w:pPr>
                    <w:jc w:val="center"/>
                    <w:rPr>
                      <w:szCs w:val="21"/>
                    </w:rPr>
                  </w:pPr>
                  <w:r>
                    <w:rPr>
                      <w:rFonts w:hint="eastAsia"/>
                      <w:szCs w:val="21"/>
                    </w:rPr>
                    <w:t>55</w:t>
                  </w:r>
                </w:p>
              </w:tc>
              <w:tc>
                <w:tcPr>
                  <w:tcW w:w="502" w:type="dxa"/>
                  <w:noWrap w:val="0"/>
                  <w:vAlign w:val="center"/>
                </w:tcPr>
                <w:p>
                  <w:pPr>
                    <w:jc w:val="center"/>
                    <w:rPr>
                      <w:szCs w:val="21"/>
                    </w:rPr>
                  </w:pPr>
                  <w:r>
                    <w:rPr>
                      <w:rFonts w:hint="eastAsia"/>
                      <w:szCs w:val="21"/>
                    </w:rPr>
                    <w:t>53</w:t>
                  </w:r>
                </w:p>
              </w:tc>
              <w:tc>
                <w:tcPr>
                  <w:tcW w:w="556" w:type="dxa"/>
                  <w:noWrap w:val="0"/>
                  <w:vAlign w:val="center"/>
                </w:tcPr>
                <w:p>
                  <w:pPr>
                    <w:jc w:val="center"/>
                    <w:rPr>
                      <w:szCs w:val="21"/>
                    </w:rPr>
                  </w:pPr>
                  <w:r>
                    <w:rPr>
                      <w:rFonts w:hint="eastAsia"/>
                      <w:szCs w:val="21"/>
                    </w:rPr>
                    <w:t>51</w:t>
                  </w:r>
                </w:p>
              </w:tc>
              <w:tc>
                <w:tcPr>
                  <w:tcW w:w="624" w:type="dxa"/>
                  <w:noWrap w:val="0"/>
                  <w:vAlign w:val="center"/>
                </w:tcPr>
                <w:p>
                  <w:pPr>
                    <w:jc w:val="center"/>
                    <w:rPr>
                      <w:szCs w:val="21"/>
                    </w:rPr>
                  </w:pPr>
                  <w:r>
                    <w:rPr>
                      <w:rFonts w:hint="eastAsia"/>
                      <w:szCs w:val="21"/>
                    </w:rPr>
                    <w:t>45</w:t>
                  </w:r>
                </w:p>
              </w:tc>
              <w:tc>
                <w:tcPr>
                  <w:tcW w:w="624" w:type="dxa"/>
                  <w:noWrap w:val="0"/>
                  <w:vAlign w:val="center"/>
                </w:tcPr>
                <w:p>
                  <w:pPr>
                    <w:jc w:val="center"/>
                    <w:rPr>
                      <w:szCs w:val="21"/>
                    </w:rPr>
                  </w:pPr>
                  <w:r>
                    <w:rPr>
                      <w:rFonts w:hint="eastAsia"/>
                      <w:szCs w:val="21"/>
                    </w:rPr>
                    <w:t>41</w:t>
                  </w:r>
                </w:p>
              </w:tc>
              <w:tc>
                <w:tcPr>
                  <w:tcW w:w="624" w:type="dxa"/>
                  <w:noWrap w:val="0"/>
                  <w:vAlign w:val="center"/>
                </w:tcPr>
                <w:p>
                  <w:pPr>
                    <w:jc w:val="center"/>
                    <w:rPr>
                      <w:szCs w:val="21"/>
                    </w:rPr>
                  </w:pPr>
                  <w:r>
                    <w:rPr>
                      <w:rFonts w:hint="eastAsia"/>
                      <w:szCs w:val="21"/>
                    </w:rPr>
                    <w:t>39</w:t>
                  </w:r>
                </w:p>
              </w:tc>
              <w:tc>
                <w:tcPr>
                  <w:tcW w:w="624" w:type="dxa"/>
                  <w:noWrap w:val="0"/>
                  <w:vAlign w:val="center"/>
                </w:tcPr>
                <w:p>
                  <w:pPr>
                    <w:jc w:val="center"/>
                    <w:rPr>
                      <w:szCs w:val="21"/>
                    </w:rPr>
                  </w:pPr>
                  <w:r>
                    <w:rPr>
                      <w:rFonts w:hint="eastAsia"/>
                      <w:szCs w:val="21"/>
                    </w:rPr>
                    <w:t>37</w:t>
                  </w:r>
                </w:p>
              </w:tc>
              <w:tc>
                <w:tcPr>
                  <w:tcW w:w="669" w:type="dxa"/>
                  <w:noWrap w:val="0"/>
                  <w:vAlign w:val="center"/>
                </w:tcPr>
                <w:p>
                  <w:pPr>
                    <w:jc w:val="center"/>
                    <w:rPr>
                      <w:szCs w:val="21"/>
                    </w:rPr>
                  </w:pPr>
                  <w:r>
                    <w:rPr>
                      <w:rFonts w:hint="eastAsia"/>
                      <w:szCs w:val="21"/>
                    </w:rPr>
                    <w:t>35</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rFonts w:hint="eastAsia"/>
                      <w:kern w:val="0"/>
                      <w:szCs w:val="21"/>
                    </w:rPr>
                    <w:t>4</w:t>
                  </w:r>
                </w:p>
              </w:tc>
              <w:tc>
                <w:tcPr>
                  <w:tcW w:w="1536" w:type="dxa"/>
                  <w:noWrap w:val="0"/>
                  <w:vAlign w:val="center"/>
                </w:tcPr>
                <w:p>
                  <w:pPr>
                    <w:adjustRightInd w:val="0"/>
                    <w:jc w:val="center"/>
                    <w:rPr>
                      <w:szCs w:val="21"/>
                    </w:rPr>
                  </w:pPr>
                  <w:r>
                    <w:rPr>
                      <w:rFonts w:hAnsi="宋体"/>
                      <w:szCs w:val="21"/>
                    </w:rPr>
                    <w:t>大型载重车</w:t>
                  </w:r>
                </w:p>
              </w:tc>
              <w:tc>
                <w:tcPr>
                  <w:tcW w:w="813" w:type="dxa"/>
                  <w:noWrap w:val="0"/>
                  <w:vAlign w:val="center"/>
                </w:tcPr>
                <w:p>
                  <w:pPr>
                    <w:jc w:val="center"/>
                    <w:rPr>
                      <w:szCs w:val="21"/>
                    </w:rPr>
                  </w:pPr>
                  <w:r>
                    <w:rPr>
                      <w:rFonts w:hint="eastAsia"/>
                      <w:szCs w:val="21"/>
                    </w:rPr>
                    <w:t>85</w:t>
                  </w:r>
                </w:p>
              </w:tc>
              <w:tc>
                <w:tcPr>
                  <w:tcW w:w="521" w:type="dxa"/>
                  <w:noWrap w:val="0"/>
                  <w:vAlign w:val="center"/>
                </w:tcPr>
                <w:p>
                  <w:pPr>
                    <w:jc w:val="center"/>
                    <w:rPr>
                      <w:szCs w:val="21"/>
                    </w:rPr>
                  </w:pPr>
                  <w:r>
                    <w:rPr>
                      <w:rFonts w:hint="eastAsia"/>
                      <w:szCs w:val="21"/>
                    </w:rPr>
                    <w:t>65</w:t>
                  </w:r>
                </w:p>
              </w:tc>
              <w:tc>
                <w:tcPr>
                  <w:tcW w:w="502" w:type="dxa"/>
                  <w:noWrap w:val="0"/>
                  <w:vAlign w:val="center"/>
                </w:tcPr>
                <w:p>
                  <w:pPr>
                    <w:jc w:val="center"/>
                    <w:rPr>
                      <w:szCs w:val="21"/>
                    </w:rPr>
                  </w:pPr>
                  <w:r>
                    <w:rPr>
                      <w:rFonts w:hint="eastAsia"/>
                      <w:szCs w:val="21"/>
                    </w:rPr>
                    <w:t>59</w:t>
                  </w:r>
                </w:p>
              </w:tc>
              <w:tc>
                <w:tcPr>
                  <w:tcW w:w="538" w:type="dxa"/>
                  <w:noWrap w:val="0"/>
                  <w:vAlign w:val="center"/>
                </w:tcPr>
                <w:p>
                  <w:pPr>
                    <w:jc w:val="center"/>
                    <w:rPr>
                      <w:szCs w:val="21"/>
                    </w:rPr>
                  </w:pPr>
                  <w:r>
                    <w:rPr>
                      <w:rFonts w:hint="eastAsia"/>
                      <w:szCs w:val="21"/>
                    </w:rPr>
                    <w:t>55</w:t>
                  </w:r>
                </w:p>
              </w:tc>
              <w:tc>
                <w:tcPr>
                  <w:tcW w:w="502" w:type="dxa"/>
                  <w:noWrap w:val="0"/>
                  <w:vAlign w:val="center"/>
                </w:tcPr>
                <w:p>
                  <w:pPr>
                    <w:jc w:val="center"/>
                    <w:rPr>
                      <w:szCs w:val="21"/>
                    </w:rPr>
                  </w:pPr>
                  <w:r>
                    <w:rPr>
                      <w:rFonts w:hint="eastAsia"/>
                      <w:szCs w:val="21"/>
                    </w:rPr>
                    <w:t>53</w:t>
                  </w:r>
                </w:p>
              </w:tc>
              <w:tc>
                <w:tcPr>
                  <w:tcW w:w="556" w:type="dxa"/>
                  <w:noWrap w:val="0"/>
                  <w:vAlign w:val="center"/>
                </w:tcPr>
                <w:p>
                  <w:pPr>
                    <w:jc w:val="center"/>
                    <w:rPr>
                      <w:szCs w:val="21"/>
                    </w:rPr>
                  </w:pPr>
                  <w:r>
                    <w:rPr>
                      <w:rFonts w:hint="eastAsia"/>
                      <w:szCs w:val="21"/>
                    </w:rPr>
                    <w:t>51</w:t>
                  </w:r>
                </w:p>
              </w:tc>
              <w:tc>
                <w:tcPr>
                  <w:tcW w:w="624" w:type="dxa"/>
                  <w:noWrap w:val="0"/>
                  <w:vAlign w:val="center"/>
                </w:tcPr>
                <w:p>
                  <w:pPr>
                    <w:jc w:val="center"/>
                    <w:rPr>
                      <w:szCs w:val="21"/>
                    </w:rPr>
                  </w:pPr>
                  <w:r>
                    <w:rPr>
                      <w:rFonts w:hint="eastAsia"/>
                      <w:szCs w:val="21"/>
                    </w:rPr>
                    <w:t>45</w:t>
                  </w:r>
                </w:p>
              </w:tc>
              <w:tc>
                <w:tcPr>
                  <w:tcW w:w="624" w:type="dxa"/>
                  <w:noWrap w:val="0"/>
                  <w:vAlign w:val="center"/>
                </w:tcPr>
                <w:p>
                  <w:pPr>
                    <w:jc w:val="center"/>
                    <w:rPr>
                      <w:szCs w:val="21"/>
                    </w:rPr>
                  </w:pPr>
                  <w:r>
                    <w:rPr>
                      <w:rFonts w:hint="eastAsia"/>
                      <w:szCs w:val="21"/>
                    </w:rPr>
                    <w:t>41</w:t>
                  </w:r>
                </w:p>
              </w:tc>
              <w:tc>
                <w:tcPr>
                  <w:tcW w:w="624" w:type="dxa"/>
                  <w:noWrap w:val="0"/>
                  <w:vAlign w:val="center"/>
                </w:tcPr>
                <w:p>
                  <w:pPr>
                    <w:jc w:val="center"/>
                    <w:rPr>
                      <w:szCs w:val="21"/>
                    </w:rPr>
                  </w:pPr>
                  <w:r>
                    <w:rPr>
                      <w:rFonts w:hint="eastAsia"/>
                      <w:szCs w:val="21"/>
                    </w:rPr>
                    <w:t>39</w:t>
                  </w:r>
                </w:p>
              </w:tc>
              <w:tc>
                <w:tcPr>
                  <w:tcW w:w="624" w:type="dxa"/>
                  <w:noWrap w:val="0"/>
                  <w:vAlign w:val="center"/>
                </w:tcPr>
                <w:p>
                  <w:pPr>
                    <w:jc w:val="center"/>
                    <w:rPr>
                      <w:szCs w:val="21"/>
                    </w:rPr>
                  </w:pPr>
                  <w:r>
                    <w:rPr>
                      <w:rFonts w:hint="eastAsia"/>
                      <w:szCs w:val="21"/>
                    </w:rPr>
                    <w:t>37</w:t>
                  </w:r>
                </w:p>
              </w:tc>
              <w:tc>
                <w:tcPr>
                  <w:tcW w:w="669" w:type="dxa"/>
                  <w:noWrap w:val="0"/>
                  <w:vAlign w:val="center"/>
                </w:tcPr>
                <w:p>
                  <w:pPr>
                    <w:jc w:val="center"/>
                    <w:rPr>
                      <w:szCs w:val="21"/>
                    </w:rPr>
                  </w:pPr>
                  <w:r>
                    <w:rPr>
                      <w:rFonts w:hint="eastAsia"/>
                      <w:szCs w:val="21"/>
                    </w:rPr>
                    <w:t>35</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1900" w:type="dxa"/>
                  <w:gridSpan w:val="2"/>
                  <w:noWrap w:val="0"/>
                  <w:vAlign w:val="center"/>
                </w:tcPr>
                <w:p>
                  <w:pPr>
                    <w:adjustRightInd w:val="0"/>
                    <w:jc w:val="center"/>
                    <w:rPr>
                      <w:szCs w:val="21"/>
                    </w:rPr>
                  </w:pPr>
                  <w:r>
                    <w:rPr>
                      <w:rFonts w:hAnsi="宋体"/>
                      <w:szCs w:val="21"/>
                    </w:rPr>
                    <w:t>多声源叠加值</w:t>
                  </w:r>
                </w:p>
              </w:tc>
              <w:tc>
                <w:tcPr>
                  <w:tcW w:w="813" w:type="dxa"/>
                  <w:noWrap w:val="0"/>
                  <w:vAlign w:val="center"/>
                </w:tcPr>
                <w:p>
                  <w:pPr>
                    <w:jc w:val="center"/>
                    <w:rPr>
                      <w:szCs w:val="21"/>
                    </w:rPr>
                  </w:pPr>
                  <w:r>
                    <w:rPr>
                      <w:rFonts w:hint="eastAsia"/>
                      <w:szCs w:val="21"/>
                    </w:rPr>
                    <w:t>93.6</w:t>
                  </w:r>
                </w:p>
              </w:tc>
              <w:tc>
                <w:tcPr>
                  <w:tcW w:w="521" w:type="dxa"/>
                  <w:noWrap w:val="0"/>
                  <w:vAlign w:val="center"/>
                </w:tcPr>
                <w:p>
                  <w:pPr>
                    <w:jc w:val="center"/>
                    <w:rPr>
                      <w:szCs w:val="21"/>
                    </w:rPr>
                  </w:pPr>
                  <w:r>
                    <w:rPr>
                      <w:rFonts w:hint="eastAsia"/>
                      <w:szCs w:val="21"/>
                    </w:rPr>
                    <w:t>73.6</w:t>
                  </w:r>
                </w:p>
              </w:tc>
              <w:tc>
                <w:tcPr>
                  <w:tcW w:w="502" w:type="dxa"/>
                  <w:noWrap w:val="0"/>
                  <w:vAlign w:val="center"/>
                </w:tcPr>
                <w:p>
                  <w:pPr>
                    <w:jc w:val="center"/>
                    <w:rPr>
                      <w:szCs w:val="21"/>
                    </w:rPr>
                  </w:pPr>
                  <w:r>
                    <w:rPr>
                      <w:rFonts w:hint="eastAsia"/>
                      <w:szCs w:val="21"/>
                    </w:rPr>
                    <w:t>67.6</w:t>
                  </w:r>
                </w:p>
              </w:tc>
              <w:tc>
                <w:tcPr>
                  <w:tcW w:w="538" w:type="dxa"/>
                  <w:noWrap w:val="0"/>
                  <w:vAlign w:val="center"/>
                </w:tcPr>
                <w:p>
                  <w:pPr>
                    <w:jc w:val="center"/>
                    <w:rPr>
                      <w:szCs w:val="21"/>
                    </w:rPr>
                  </w:pPr>
                  <w:r>
                    <w:rPr>
                      <w:rFonts w:hint="eastAsia"/>
                      <w:szCs w:val="21"/>
                    </w:rPr>
                    <w:t>63.6</w:t>
                  </w:r>
                </w:p>
              </w:tc>
              <w:tc>
                <w:tcPr>
                  <w:tcW w:w="502" w:type="dxa"/>
                  <w:noWrap w:val="0"/>
                  <w:vAlign w:val="center"/>
                </w:tcPr>
                <w:p>
                  <w:pPr>
                    <w:jc w:val="center"/>
                    <w:rPr>
                      <w:szCs w:val="21"/>
                    </w:rPr>
                  </w:pPr>
                  <w:r>
                    <w:rPr>
                      <w:rFonts w:hint="eastAsia"/>
                      <w:szCs w:val="21"/>
                    </w:rPr>
                    <w:t>61.6</w:t>
                  </w:r>
                </w:p>
              </w:tc>
              <w:tc>
                <w:tcPr>
                  <w:tcW w:w="556" w:type="dxa"/>
                  <w:noWrap w:val="0"/>
                  <w:vAlign w:val="center"/>
                </w:tcPr>
                <w:p>
                  <w:pPr>
                    <w:jc w:val="center"/>
                    <w:rPr>
                      <w:szCs w:val="21"/>
                    </w:rPr>
                  </w:pPr>
                  <w:r>
                    <w:rPr>
                      <w:rFonts w:hint="eastAsia"/>
                      <w:szCs w:val="21"/>
                    </w:rPr>
                    <w:t>59.6</w:t>
                  </w:r>
                </w:p>
              </w:tc>
              <w:tc>
                <w:tcPr>
                  <w:tcW w:w="624" w:type="dxa"/>
                  <w:noWrap w:val="0"/>
                  <w:vAlign w:val="center"/>
                </w:tcPr>
                <w:p>
                  <w:pPr>
                    <w:jc w:val="center"/>
                    <w:rPr>
                      <w:szCs w:val="21"/>
                    </w:rPr>
                  </w:pPr>
                  <w:r>
                    <w:rPr>
                      <w:rFonts w:hint="eastAsia"/>
                      <w:szCs w:val="21"/>
                    </w:rPr>
                    <w:t>53.6</w:t>
                  </w:r>
                </w:p>
              </w:tc>
              <w:tc>
                <w:tcPr>
                  <w:tcW w:w="624" w:type="dxa"/>
                  <w:noWrap w:val="0"/>
                  <w:vAlign w:val="center"/>
                </w:tcPr>
                <w:p>
                  <w:pPr>
                    <w:jc w:val="center"/>
                    <w:rPr>
                      <w:szCs w:val="21"/>
                    </w:rPr>
                  </w:pPr>
                  <w:r>
                    <w:rPr>
                      <w:rFonts w:hint="eastAsia"/>
                      <w:szCs w:val="21"/>
                    </w:rPr>
                    <w:t>49.6</w:t>
                  </w:r>
                </w:p>
              </w:tc>
              <w:tc>
                <w:tcPr>
                  <w:tcW w:w="624" w:type="dxa"/>
                  <w:noWrap w:val="0"/>
                  <w:vAlign w:val="center"/>
                </w:tcPr>
                <w:p>
                  <w:pPr>
                    <w:jc w:val="center"/>
                    <w:rPr>
                      <w:szCs w:val="21"/>
                    </w:rPr>
                  </w:pPr>
                  <w:r>
                    <w:rPr>
                      <w:rFonts w:hint="eastAsia"/>
                      <w:szCs w:val="21"/>
                    </w:rPr>
                    <w:t>47.6</w:t>
                  </w:r>
                </w:p>
              </w:tc>
              <w:tc>
                <w:tcPr>
                  <w:tcW w:w="624" w:type="dxa"/>
                  <w:noWrap w:val="0"/>
                  <w:vAlign w:val="center"/>
                </w:tcPr>
                <w:p>
                  <w:pPr>
                    <w:jc w:val="center"/>
                    <w:rPr>
                      <w:szCs w:val="21"/>
                    </w:rPr>
                  </w:pPr>
                  <w:r>
                    <w:rPr>
                      <w:rFonts w:hint="eastAsia"/>
                      <w:szCs w:val="21"/>
                    </w:rPr>
                    <w:t>45.6</w:t>
                  </w:r>
                </w:p>
              </w:tc>
              <w:tc>
                <w:tcPr>
                  <w:tcW w:w="669" w:type="dxa"/>
                  <w:tcBorders>
                    <w:bottom w:val="single" w:color="auto" w:sz="4" w:space="0"/>
                  </w:tcBorders>
                  <w:noWrap w:val="0"/>
                  <w:vAlign w:val="center"/>
                </w:tcPr>
                <w:p>
                  <w:pPr>
                    <w:jc w:val="center"/>
                    <w:rPr>
                      <w:szCs w:val="21"/>
                    </w:rPr>
                  </w:pPr>
                  <w:r>
                    <w:rPr>
                      <w:rFonts w:hint="eastAsia"/>
                      <w:szCs w:val="21"/>
                    </w:rPr>
                    <w:t>43.6</w:t>
                  </w:r>
                </w:p>
              </w:tc>
              <w:tc>
                <w:tcPr>
                  <w:tcW w:w="493" w:type="dxa"/>
                  <w:vMerge w:val="continue"/>
                  <w:tcBorders>
                    <w:bottom w:val="single" w:color="auto" w:sz="4" w:space="0"/>
                  </w:tcBorders>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szCs w:val="21"/>
                    </w:rPr>
                  </w:pPr>
                  <w:r>
                    <w:rPr>
                      <w:rFonts w:hint="eastAsia"/>
                      <w:szCs w:val="21"/>
                    </w:rPr>
                    <w:t>1</w:t>
                  </w:r>
                </w:p>
              </w:tc>
              <w:tc>
                <w:tcPr>
                  <w:tcW w:w="1536" w:type="dxa"/>
                  <w:noWrap w:val="0"/>
                  <w:vAlign w:val="center"/>
                </w:tcPr>
                <w:p>
                  <w:pPr>
                    <w:adjustRightInd w:val="0"/>
                    <w:jc w:val="center"/>
                    <w:rPr>
                      <w:szCs w:val="21"/>
                    </w:rPr>
                  </w:pPr>
                  <w:r>
                    <w:rPr>
                      <w:rFonts w:hAnsi="宋体"/>
                      <w:szCs w:val="21"/>
                    </w:rPr>
                    <w:t>振捣器</w:t>
                  </w:r>
                </w:p>
              </w:tc>
              <w:tc>
                <w:tcPr>
                  <w:tcW w:w="813" w:type="dxa"/>
                  <w:noWrap w:val="0"/>
                  <w:vAlign w:val="center"/>
                </w:tcPr>
                <w:p>
                  <w:pPr>
                    <w:jc w:val="center"/>
                    <w:rPr>
                      <w:szCs w:val="21"/>
                    </w:rPr>
                  </w:pPr>
                  <w:r>
                    <w:rPr>
                      <w:szCs w:val="21"/>
                    </w:rPr>
                    <w:t>99</w:t>
                  </w:r>
                </w:p>
              </w:tc>
              <w:tc>
                <w:tcPr>
                  <w:tcW w:w="521" w:type="dxa"/>
                  <w:noWrap w:val="0"/>
                  <w:vAlign w:val="center"/>
                </w:tcPr>
                <w:p>
                  <w:pPr>
                    <w:jc w:val="center"/>
                    <w:rPr>
                      <w:szCs w:val="21"/>
                    </w:rPr>
                  </w:pPr>
                  <w:r>
                    <w:rPr>
                      <w:szCs w:val="21"/>
                    </w:rPr>
                    <w:t>79</w:t>
                  </w:r>
                </w:p>
              </w:tc>
              <w:tc>
                <w:tcPr>
                  <w:tcW w:w="502" w:type="dxa"/>
                  <w:noWrap w:val="0"/>
                  <w:vAlign w:val="center"/>
                </w:tcPr>
                <w:p>
                  <w:pPr>
                    <w:jc w:val="center"/>
                    <w:rPr>
                      <w:szCs w:val="21"/>
                    </w:rPr>
                  </w:pPr>
                  <w:r>
                    <w:rPr>
                      <w:szCs w:val="21"/>
                    </w:rPr>
                    <w:t>73</w:t>
                  </w:r>
                </w:p>
              </w:tc>
              <w:tc>
                <w:tcPr>
                  <w:tcW w:w="538" w:type="dxa"/>
                  <w:noWrap w:val="0"/>
                  <w:vAlign w:val="center"/>
                </w:tcPr>
                <w:p>
                  <w:pPr>
                    <w:jc w:val="center"/>
                    <w:rPr>
                      <w:szCs w:val="21"/>
                    </w:rPr>
                  </w:pPr>
                  <w:r>
                    <w:rPr>
                      <w:szCs w:val="21"/>
                    </w:rPr>
                    <w:t>69</w:t>
                  </w:r>
                </w:p>
              </w:tc>
              <w:tc>
                <w:tcPr>
                  <w:tcW w:w="502" w:type="dxa"/>
                  <w:noWrap w:val="0"/>
                  <w:vAlign w:val="center"/>
                </w:tcPr>
                <w:p>
                  <w:pPr>
                    <w:jc w:val="center"/>
                    <w:rPr>
                      <w:szCs w:val="21"/>
                    </w:rPr>
                  </w:pPr>
                  <w:r>
                    <w:rPr>
                      <w:szCs w:val="21"/>
                    </w:rPr>
                    <w:t>67</w:t>
                  </w:r>
                </w:p>
              </w:tc>
              <w:tc>
                <w:tcPr>
                  <w:tcW w:w="556" w:type="dxa"/>
                  <w:noWrap w:val="0"/>
                  <w:vAlign w:val="center"/>
                </w:tcPr>
                <w:p>
                  <w:pPr>
                    <w:jc w:val="center"/>
                    <w:rPr>
                      <w:szCs w:val="21"/>
                    </w:rPr>
                  </w:pPr>
                  <w:r>
                    <w:rPr>
                      <w:szCs w:val="21"/>
                    </w:rPr>
                    <w:t>65</w:t>
                  </w:r>
                </w:p>
              </w:tc>
              <w:tc>
                <w:tcPr>
                  <w:tcW w:w="624" w:type="dxa"/>
                  <w:noWrap w:val="0"/>
                  <w:vAlign w:val="center"/>
                </w:tcPr>
                <w:p>
                  <w:pPr>
                    <w:jc w:val="center"/>
                    <w:rPr>
                      <w:szCs w:val="21"/>
                    </w:rPr>
                  </w:pPr>
                  <w:r>
                    <w:rPr>
                      <w:szCs w:val="21"/>
                    </w:rPr>
                    <w:t>59</w:t>
                  </w:r>
                </w:p>
              </w:tc>
              <w:tc>
                <w:tcPr>
                  <w:tcW w:w="624" w:type="dxa"/>
                  <w:noWrap w:val="0"/>
                  <w:vAlign w:val="center"/>
                </w:tcPr>
                <w:p>
                  <w:pPr>
                    <w:jc w:val="center"/>
                    <w:rPr>
                      <w:szCs w:val="21"/>
                    </w:rPr>
                  </w:pPr>
                  <w:r>
                    <w:rPr>
                      <w:szCs w:val="21"/>
                    </w:rPr>
                    <w:t>55</w:t>
                  </w:r>
                </w:p>
              </w:tc>
              <w:tc>
                <w:tcPr>
                  <w:tcW w:w="624" w:type="dxa"/>
                  <w:noWrap w:val="0"/>
                  <w:vAlign w:val="center"/>
                </w:tcPr>
                <w:p>
                  <w:pPr>
                    <w:jc w:val="center"/>
                    <w:rPr>
                      <w:szCs w:val="21"/>
                    </w:rPr>
                  </w:pPr>
                  <w:r>
                    <w:rPr>
                      <w:szCs w:val="21"/>
                    </w:rPr>
                    <w:t>53</w:t>
                  </w:r>
                </w:p>
              </w:tc>
              <w:tc>
                <w:tcPr>
                  <w:tcW w:w="624" w:type="dxa"/>
                  <w:noWrap w:val="0"/>
                  <w:vAlign w:val="center"/>
                </w:tcPr>
                <w:p>
                  <w:pPr>
                    <w:jc w:val="center"/>
                    <w:rPr>
                      <w:szCs w:val="21"/>
                    </w:rPr>
                  </w:pPr>
                  <w:r>
                    <w:rPr>
                      <w:szCs w:val="21"/>
                    </w:rPr>
                    <w:t>51</w:t>
                  </w:r>
                </w:p>
              </w:tc>
              <w:tc>
                <w:tcPr>
                  <w:tcW w:w="669" w:type="dxa"/>
                  <w:noWrap w:val="0"/>
                  <w:vAlign w:val="center"/>
                </w:tcPr>
                <w:p>
                  <w:pPr>
                    <w:jc w:val="center"/>
                    <w:rPr>
                      <w:szCs w:val="21"/>
                    </w:rPr>
                  </w:pPr>
                  <w:r>
                    <w:rPr>
                      <w:szCs w:val="21"/>
                    </w:rPr>
                    <w:t>49</w:t>
                  </w:r>
                </w:p>
              </w:tc>
              <w:tc>
                <w:tcPr>
                  <w:tcW w:w="493" w:type="dxa"/>
                  <w:vMerge w:val="restart"/>
                  <w:tcBorders>
                    <w:top w:val="single" w:color="auto" w:sz="4" w:space="0"/>
                  </w:tcBorders>
                  <w:noWrap w:val="0"/>
                  <w:vAlign w:val="center"/>
                </w:tcPr>
                <w:p>
                  <w:pPr>
                    <w:jc w:val="center"/>
                    <w:rPr>
                      <w:szCs w:val="21"/>
                    </w:rPr>
                  </w:pPr>
                  <w:r>
                    <w:rPr>
                      <w:rFonts w:hint="eastAsia" w:hAnsi="宋体"/>
                      <w:szCs w:val="21"/>
                    </w:rPr>
                    <w:t>地板与结</w:t>
                  </w:r>
                  <w:r>
                    <w:rPr>
                      <w:rFonts w:hAnsi="宋体"/>
                      <w:szCs w:val="21"/>
                    </w:rPr>
                    <w:t>构阶段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rFonts w:hint="eastAsia"/>
                      <w:kern w:val="0"/>
                      <w:szCs w:val="21"/>
                    </w:rPr>
                    <w:t>2</w:t>
                  </w:r>
                </w:p>
              </w:tc>
              <w:tc>
                <w:tcPr>
                  <w:tcW w:w="1536" w:type="dxa"/>
                  <w:noWrap w:val="0"/>
                  <w:vAlign w:val="center"/>
                </w:tcPr>
                <w:p>
                  <w:pPr>
                    <w:adjustRightInd w:val="0"/>
                    <w:jc w:val="center"/>
                    <w:rPr>
                      <w:rFonts w:hAnsi="宋体"/>
                      <w:szCs w:val="21"/>
                    </w:rPr>
                  </w:pPr>
                  <w:r>
                    <w:rPr>
                      <w:rFonts w:hint="eastAsia" w:hAnsi="宋体"/>
                      <w:szCs w:val="21"/>
                    </w:rPr>
                    <w:t>混凝土搅拌机</w:t>
                  </w:r>
                </w:p>
              </w:tc>
              <w:tc>
                <w:tcPr>
                  <w:tcW w:w="813" w:type="dxa"/>
                  <w:noWrap w:val="0"/>
                  <w:vAlign w:val="center"/>
                </w:tcPr>
                <w:p>
                  <w:pPr>
                    <w:jc w:val="center"/>
                    <w:rPr>
                      <w:szCs w:val="21"/>
                    </w:rPr>
                  </w:pPr>
                  <w:r>
                    <w:rPr>
                      <w:rFonts w:hint="eastAsia"/>
                      <w:szCs w:val="21"/>
                    </w:rPr>
                    <w:t>100</w:t>
                  </w:r>
                </w:p>
              </w:tc>
              <w:tc>
                <w:tcPr>
                  <w:tcW w:w="521" w:type="dxa"/>
                  <w:noWrap w:val="0"/>
                  <w:vAlign w:val="center"/>
                </w:tcPr>
                <w:p>
                  <w:pPr>
                    <w:jc w:val="center"/>
                    <w:rPr>
                      <w:szCs w:val="21"/>
                    </w:rPr>
                  </w:pPr>
                  <w:r>
                    <w:rPr>
                      <w:rFonts w:hint="eastAsia"/>
                      <w:szCs w:val="21"/>
                    </w:rPr>
                    <w:t>80</w:t>
                  </w:r>
                </w:p>
              </w:tc>
              <w:tc>
                <w:tcPr>
                  <w:tcW w:w="502" w:type="dxa"/>
                  <w:noWrap w:val="0"/>
                  <w:vAlign w:val="center"/>
                </w:tcPr>
                <w:p>
                  <w:pPr>
                    <w:jc w:val="center"/>
                    <w:rPr>
                      <w:szCs w:val="21"/>
                    </w:rPr>
                  </w:pPr>
                  <w:r>
                    <w:rPr>
                      <w:rFonts w:hint="eastAsia"/>
                      <w:szCs w:val="21"/>
                    </w:rPr>
                    <w:t>74</w:t>
                  </w:r>
                </w:p>
              </w:tc>
              <w:tc>
                <w:tcPr>
                  <w:tcW w:w="538" w:type="dxa"/>
                  <w:noWrap w:val="0"/>
                  <w:vAlign w:val="center"/>
                </w:tcPr>
                <w:p>
                  <w:pPr>
                    <w:jc w:val="center"/>
                    <w:rPr>
                      <w:szCs w:val="21"/>
                    </w:rPr>
                  </w:pPr>
                  <w:r>
                    <w:rPr>
                      <w:rFonts w:hint="eastAsia"/>
                      <w:szCs w:val="21"/>
                    </w:rPr>
                    <w:t>70</w:t>
                  </w:r>
                </w:p>
              </w:tc>
              <w:tc>
                <w:tcPr>
                  <w:tcW w:w="502" w:type="dxa"/>
                  <w:noWrap w:val="0"/>
                  <w:vAlign w:val="center"/>
                </w:tcPr>
                <w:p>
                  <w:pPr>
                    <w:jc w:val="center"/>
                    <w:rPr>
                      <w:szCs w:val="21"/>
                    </w:rPr>
                  </w:pPr>
                  <w:r>
                    <w:rPr>
                      <w:rFonts w:hint="eastAsia"/>
                      <w:szCs w:val="21"/>
                    </w:rPr>
                    <w:t>68</w:t>
                  </w:r>
                </w:p>
              </w:tc>
              <w:tc>
                <w:tcPr>
                  <w:tcW w:w="556" w:type="dxa"/>
                  <w:noWrap w:val="0"/>
                  <w:vAlign w:val="center"/>
                </w:tcPr>
                <w:p>
                  <w:pPr>
                    <w:jc w:val="center"/>
                    <w:rPr>
                      <w:szCs w:val="21"/>
                    </w:rPr>
                  </w:pPr>
                  <w:r>
                    <w:rPr>
                      <w:rFonts w:hint="eastAsia"/>
                      <w:szCs w:val="21"/>
                    </w:rPr>
                    <w:t>66</w:t>
                  </w:r>
                </w:p>
              </w:tc>
              <w:tc>
                <w:tcPr>
                  <w:tcW w:w="624" w:type="dxa"/>
                  <w:noWrap w:val="0"/>
                  <w:vAlign w:val="center"/>
                </w:tcPr>
                <w:p>
                  <w:pPr>
                    <w:jc w:val="center"/>
                    <w:rPr>
                      <w:szCs w:val="21"/>
                    </w:rPr>
                  </w:pPr>
                  <w:r>
                    <w:rPr>
                      <w:rFonts w:hint="eastAsia"/>
                      <w:szCs w:val="21"/>
                    </w:rPr>
                    <w:t>60</w:t>
                  </w:r>
                </w:p>
              </w:tc>
              <w:tc>
                <w:tcPr>
                  <w:tcW w:w="624" w:type="dxa"/>
                  <w:noWrap w:val="0"/>
                  <w:vAlign w:val="center"/>
                </w:tcPr>
                <w:p>
                  <w:pPr>
                    <w:jc w:val="center"/>
                    <w:rPr>
                      <w:szCs w:val="21"/>
                    </w:rPr>
                  </w:pPr>
                  <w:r>
                    <w:rPr>
                      <w:rFonts w:hint="eastAsia"/>
                      <w:szCs w:val="21"/>
                    </w:rPr>
                    <w:t>56</w:t>
                  </w:r>
                </w:p>
              </w:tc>
              <w:tc>
                <w:tcPr>
                  <w:tcW w:w="624" w:type="dxa"/>
                  <w:noWrap w:val="0"/>
                  <w:vAlign w:val="center"/>
                </w:tcPr>
                <w:p>
                  <w:pPr>
                    <w:jc w:val="center"/>
                    <w:rPr>
                      <w:szCs w:val="21"/>
                    </w:rPr>
                  </w:pPr>
                  <w:r>
                    <w:rPr>
                      <w:rFonts w:hint="eastAsia"/>
                      <w:szCs w:val="21"/>
                    </w:rPr>
                    <w:t>54</w:t>
                  </w:r>
                </w:p>
              </w:tc>
              <w:tc>
                <w:tcPr>
                  <w:tcW w:w="624" w:type="dxa"/>
                  <w:noWrap w:val="0"/>
                  <w:vAlign w:val="center"/>
                </w:tcPr>
                <w:p>
                  <w:pPr>
                    <w:jc w:val="center"/>
                    <w:rPr>
                      <w:szCs w:val="21"/>
                    </w:rPr>
                  </w:pPr>
                  <w:r>
                    <w:rPr>
                      <w:rFonts w:hint="eastAsia"/>
                      <w:szCs w:val="21"/>
                    </w:rPr>
                    <w:t>52</w:t>
                  </w:r>
                </w:p>
              </w:tc>
              <w:tc>
                <w:tcPr>
                  <w:tcW w:w="669" w:type="dxa"/>
                  <w:noWrap w:val="0"/>
                  <w:vAlign w:val="center"/>
                </w:tcPr>
                <w:p>
                  <w:pPr>
                    <w:jc w:val="center"/>
                    <w:rPr>
                      <w:szCs w:val="21"/>
                    </w:rPr>
                  </w:pPr>
                  <w:r>
                    <w:rPr>
                      <w:rFonts w:hint="eastAsia"/>
                      <w:szCs w:val="21"/>
                    </w:rPr>
                    <w:t>50</w:t>
                  </w:r>
                </w:p>
              </w:tc>
              <w:tc>
                <w:tcPr>
                  <w:tcW w:w="493" w:type="dxa"/>
                  <w:vMerge w:val="continue"/>
                  <w:tcBorders>
                    <w:top w:val="single" w:color="auto" w:sz="4" w:space="0"/>
                  </w:tcBorders>
                  <w:noWrap w:val="0"/>
                  <w:vAlign w:val="center"/>
                </w:tcPr>
                <w:p>
                  <w:pPr>
                    <w:jc w:val="center"/>
                    <w:rPr>
                      <w:rFonts w:hint="eastAsia" w:hAns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rFonts w:hint="eastAsia"/>
                      <w:kern w:val="0"/>
                      <w:szCs w:val="21"/>
                    </w:rPr>
                    <w:t>3</w:t>
                  </w:r>
                </w:p>
              </w:tc>
              <w:tc>
                <w:tcPr>
                  <w:tcW w:w="1536" w:type="dxa"/>
                  <w:noWrap w:val="0"/>
                  <w:vAlign w:val="center"/>
                </w:tcPr>
                <w:p>
                  <w:pPr>
                    <w:adjustRightInd w:val="0"/>
                    <w:jc w:val="center"/>
                    <w:rPr>
                      <w:szCs w:val="21"/>
                    </w:rPr>
                  </w:pPr>
                  <w:r>
                    <w:rPr>
                      <w:rFonts w:hAnsi="宋体"/>
                      <w:szCs w:val="21"/>
                    </w:rPr>
                    <w:t>电锯</w:t>
                  </w:r>
                </w:p>
              </w:tc>
              <w:tc>
                <w:tcPr>
                  <w:tcW w:w="813" w:type="dxa"/>
                  <w:noWrap w:val="0"/>
                  <w:vAlign w:val="center"/>
                </w:tcPr>
                <w:p>
                  <w:pPr>
                    <w:jc w:val="center"/>
                    <w:rPr>
                      <w:szCs w:val="21"/>
                    </w:rPr>
                  </w:pPr>
                  <w:r>
                    <w:rPr>
                      <w:szCs w:val="21"/>
                    </w:rPr>
                    <w:t>94</w:t>
                  </w:r>
                </w:p>
              </w:tc>
              <w:tc>
                <w:tcPr>
                  <w:tcW w:w="521" w:type="dxa"/>
                  <w:noWrap w:val="0"/>
                  <w:vAlign w:val="center"/>
                </w:tcPr>
                <w:p>
                  <w:pPr>
                    <w:jc w:val="center"/>
                    <w:rPr>
                      <w:szCs w:val="21"/>
                    </w:rPr>
                  </w:pPr>
                  <w:r>
                    <w:rPr>
                      <w:szCs w:val="21"/>
                    </w:rPr>
                    <w:t>74</w:t>
                  </w:r>
                </w:p>
              </w:tc>
              <w:tc>
                <w:tcPr>
                  <w:tcW w:w="502" w:type="dxa"/>
                  <w:noWrap w:val="0"/>
                  <w:vAlign w:val="center"/>
                </w:tcPr>
                <w:p>
                  <w:pPr>
                    <w:jc w:val="center"/>
                    <w:rPr>
                      <w:szCs w:val="21"/>
                    </w:rPr>
                  </w:pPr>
                  <w:r>
                    <w:rPr>
                      <w:szCs w:val="21"/>
                    </w:rPr>
                    <w:t>68</w:t>
                  </w:r>
                </w:p>
              </w:tc>
              <w:tc>
                <w:tcPr>
                  <w:tcW w:w="538" w:type="dxa"/>
                  <w:noWrap w:val="0"/>
                  <w:vAlign w:val="center"/>
                </w:tcPr>
                <w:p>
                  <w:pPr>
                    <w:jc w:val="center"/>
                    <w:rPr>
                      <w:szCs w:val="21"/>
                    </w:rPr>
                  </w:pPr>
                  <w:r>
                    <w:rPr>
                      <w:szCs w:val="21"/>
                    </w:rPr>
                    <w:t>64</w:t>
                  </w:r>
                </w:p>
              </w:tc>
              <w:tc>
                <w:tcPr>
                  <w:tcW w:w="502" w:type="dxa"/>
                  <w:noWrap w:val="0"/>
                  <w:vAlign w:val="center"/>
                </w:tcPr>
                <w:p>
                  <w:pPr>
                    <w:jc w:val="center"/>
                    <w:rPr>
                      <w:szCs w:val="21"/>
                    </w:rPr>
                  </w:pPr>
                  <w:r>
                    <w:rPr>
                      <w:szCs w:val="21"/>
                    </w:rPr>
                    <w:t>62</w:t>
                  </w:r>
                </w:p>
              </w:tc>
              <w:tc>
                <w:tcPr>
                  <w:tcW w:w="556" w:type="dxa"/>
                  <w:noWrap w:val="0"/>
                  <w:vAlign w:val="center"/>
                </w:tcPr>
                <w:p>
                  <w:pPr>
                    <w:jc w:val="center"/>
                    <w:rPr>
                      <w:szCs w:val="21"/>
                    </w:rPr>
                  </w:pPr>
                  <w:r>
                    <w:rPr>
                      <w:szCs w:val="21"/>
                    </w:rPr>
                    <w:t>60</w:t>
                  </w:r>
                </w:p>
              </w:tc>
              <w:tc>
                <w:tcPr>
                  <w:tcW w:w="624" w:type="dxa"/>
                  <w:noWrap w:val="0"/>
                  <w:vAlign w:val="center"/>
                </w:tcPr>
                <w:p>
                  <w:pPr>
                    <w:jc w:val="center"/>
                    <w:rPr>
                      <w:szCs w:val="21"/>
                    </w:rPr>
                  </w:pPr>
                  <w:r>
                    <w:rPr>
                      <w:szCs w:val="21"/>
                    </w:rPr>
                    <w:t>54</w:t>
                  </w:r>
                </w:p>
              </w:tc>
              <w:tc>
                <w:tcPr>
                  <w:tcW w:w="624" w:type="dxa"/>
                  <w:noWrap w:val="0"/>
                  <w:vAlign w:val="center"/>
                </w:tcPr>
                <w:p>
                  <w:pPr>
                    <w:jc w:val="center"/>
                    <w:rPr>
                      <w:szCs w:val="21"/>
                    </w:rPr>
                  </w:pPr>
                  <w:r>
                    <w:rPr>
                      <w:szCs w:val="21"/>
                    </w:rPr>
                    <w:t>50</w:t>
                  </w:r>
                </w:p>
              </w:tc>
              <w:tc>
                <w:tcPr>
                  <w:tcW w:w="624" w:type="dxa"/>
                  <w:noWrap w:val="0"/>
                  <w:vAlign w:val="center"/>
                </w:tcPr>
                <w:p>
                  <w:pPr>
                    <w:jc w:val="center"/>
                    <w:rPr>
                      <w:szCs w:val="21"/>
                    </w:rPr>
                  </w:pPr>
                  <w:r>
                    <w:rPr>
                      <w:szCs w:val="21"/>
                    </w:rPr>
                    <w:t>48</w:t>
                  </w:r>
                </w:p>
              </w:tc>
              <w:tc>
                <w:tcPr>
                  <w:tcW w:w="624" w:type="dxa"/>
                  <w:noWrap w:val="0"/>
                  <w:vAlign w:val="center"/>
                </w:tcPr>
                <w:p>
                  <w:pPr>
                    <w:jc w:val="center"/>
                    <w:rPr>
                      <w:szCs w:val="21"/>
                    </w:rPr>
                  </w:pPr>
                  <w:r>
                    <w:rPr>
                      <w:szCs w:val="21"/>
                    </w:rPr>
                    <w:t>46</w:t>
                  </w:r>
                </w:p>
              </w:tc>
              <w:tc>
                <w:tcPr>
                  <w:tcW w:w="669" w:type="dxa"/>
                  <w:noWrap w:val="0"/>
                  <w:vAlign w:val="center"/>
                </w:tcPr>
                <w:p>
                  <w:pPr>
                    <w:jc w:val="center"/>
                    <w:rPr>
                      <w:szCs w:val="21"/>
                    </w:rPr>
                  </w:pPr>
                  <w:r>
                    <w:rPr>
                      <w:szCs w:val="21"/>
                    </w:rPr>
                    <w:t>44</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szCs w:val="21"/>
                    </w:rPr>
                  </w:pPr>
                  <w:r>
                    <w:rPr>
                      <w:rFonts w:hint="eastAsia"/>
                      <w:szCs w:val="21"/>
                    </w:rPr>
                    <w:t>4</w:t>
                  </w:r>
                </w:p>
              </w:tc>
              <w:tc>
                <w:tcPr>
                  <w:tcW w:w="1536" w:type="dxa"/>
                  <w:noWrap w:val="0"/>
                  <w:vAlign w:val="center"/>
                </w:tcPr>
                <w:p>
                  <w:pPr>
                    <w:adjustRightInd w:val="0"/>
                    <w:jc w:val="center"/>
                    <w:rPr>
                      <w:szCs w:val="21"/>
                    </w:rPr>
                  </w:pPr>
                  <w:r>
                    <w:rPr>
                      <w:rFonts w:hAnsi="宋体"/>
                      <w:szCs w:val="21"/>
                    </w:rPr>
                    <w:t>电焊机</w:t>
                  </w:r>
                </w:p>
              </w:tc>
              <w:tc>
                <w:tcPr>
                  <w:tcW w:w="813" w:type="dxa"/>
                  <w:noWrap w:val="0"/>
                  <w:vAlign w:val="center"/>
                </w:tcPr>
                <w:p>
                  <w:pPr>
                    <w:jc w:val="center"/>
                    <w:rPr>
                      <w:szCs w:val="21"/>
                    </w:rPr>
                  </w:pPr>
                  <w:r>
                    <w:rPr>
                      <w:szCs w:val="21"/>
                    </w:rPr>
                    <w:t>89</w:t>
                  </w:r>
                </w:p>
              </w:tc>
              <w:tc>
                <w:tcPr>
                  <w:tcW w:w="521" w:type="dxa"/>
                  <w:noWrap w:val="0"/>
                  <w:vAlign w:val="center"/>
                </w:tcPr>
                <w:p>
                  <w:pPr>
                    <w:jc w:val="center"/>
                    <w:rPr>
                      <w:szCs w:val="21"/>
                    </w:rPr>
                  </w:pPr>
                  <w:r>
                    <w:rPr>
                      <w:szCs w:val="21"/>
                    </w:rPr>
                    <w:t>69</w:t>
                  </w:r>
                </w:p>
              </w:tc>
              <w:tc>
                <w:tcPr>
                  <w:tcW w:w="502" w:type="dxa"/>
                  <w:noWrap w:val="0"/>
                  <w:vAlign w:val="center"/>
                </w:tcPr>
                <w:p>
                  <w:pPr>
                    <w:jc w:val="center"/>
                    <w:rPr>
                      <w:szCs w:val="21"/>
                    </w:rPr>
                  </w:pPr>
                  <w:r>
                    <w:rPr>
                      <w:szCs w:val="21"/>
                    </w:rPr>
                    <w:t>63</w:t>
                  </w:r>
                </w:p>
              </w:tc>
              <w:tc>
                <w:tcPr>
                  <w:tcW w:w="538" w:type="dxa"/>
                  <w:noWrap w:val="0"/>
                  <w:vAlign w:val="center"/>
                </w:tcPr>
                <w:p>
                  <w:pPr>
                    <w:jc w:val="center"/>
                    <w:rPr>
                      <w:szCs w:val="21"/>
                    </w:rPr>
                  </w:pPr>
                  <w:r>
                    <w:rPr>
                      <w:szCs w:val="21"/>
                    </w:rPr>
                    <w:t>59</w:t>
                  </w:r>
                </w:p>
              </w:tc>
              <w:tc>
                <w:tcPr>
                  <w:tcW w:w="502" w:type="dxa"/>
                  <w:noWrap w:val="0"/>
                  <w:vAlign w:val="center"/>
                </w:tcPr>
                <w:p>
                  <w:pPr>
                    <w:jc w:val="center"/>
                    <w:rPr>
                      <w:szCs w:val="21"/>
                    </w:rPr>
                  </w:pPr>
                  <w:r>
                    <w:rPr>
                      <w:szCs w:val="21"/>
                    </w:rPr>
                    <w:t>57</w:t>
                  </w:r>
                </w:p>
              </w:tc>
              <w:tc>
                <w:tcPr>
                  <w:tcW w:w="556" w:type="dxa"/>
                  <w:noWrap w:val="0"/>
                  <w:vAlign w:val="center"/>
                </w:tcPr>
                <w:p>
                  <w:pPr>
                    <w:jc w:val="center"/>
                    <w:rPr>
                      <w:szCs w:val="21"/>
                    </w:rPr>
                  </w:pPr>
                  <w:r>
                    <w:rPr>
                      <w:szCs w:val="21"/>
                    </w:rPr>
                    <w:t>55</w:t>
                  </w:r>
                </w:p>
              </w:tc>
              <w:tc>
                <w:tcPr>
                  <w:tcW w:w="624" w:type="dxa"/>
                  <w:noWrap w:val="0"/>
                  <w:vAlign w:val="center"/>
                </w:tcPr>
                <w:p>
                  <w:pPr>
                    <w:jc w:val="center"/>
                    <w:rPr>
                      <w:szCs w:val="21"/>
                    </w:rPr>
                  </w:pPr>
                  <w:r>
                    <w:rPr>
                      <w:szCs w:val="21"/>
                    </w:rPr>
                    <w:t>49</w:t>
                  </w:r>
                </w:p>
              </w:tc>
              <w:tc>
                <w:tcPr>
                  <w:tcW w:w="624" w:type="dxa"/>
                  <w:noWrap w:val="0"/>
                  <w:vAlign w:val="center"/>
                </w:tcPr>
                <w:p>
                  <w:pPr>
                    <w:jc w:val="center"/>
                    <w:rPr>
                      <w:szCs w:val="21"/>
                    </w:rPr>
                  </w:pPr>
                  <w:r>
                    <w:rPr>
                      <w:szCs w:val="21"/>
                    </w:rPr>
                    <w:t>45</w:t>
                  </w:r>
                </w:p>
              </w:tc>
              <w:tc>
                <w:tcPr>
                  <w:tcW w:w="624" w:type="dxa"/>
                  <w:noWrap w:val="0"/>
                  <w:vAlign w:val="center"/>
                </w:tcPr>
                <w:p>
                  <w:pPr>
                    <w:jc w:val="center"/>
                    <w:rPr>
                      <w:szCs w:val="21"/>
                    </w:rPr>
                  </w:pPr>
                  <w:r>
                    <w:rPr>
                      <w:szCs w:val="21"/>
                    </w:rPr>
                    <w:t>43</w:t>
                  </w:r>
                </w:p>
              </w:tc>
              <w:tc>
                <w:tcPr>
                  <w:tcW w:w="624" w:type="dxa"/>
                  <w:noWrap w:val="0"/>
                  <w:vAlign w:val="center"/>
                </w:tcPr>
                <w:p>
                  <w:pPr>
                    <w:jc w:val="center"/>
                    <w:rPr>
                      <w:szCs w:val="21"/>
                    </w:rPr>
                  </w:pPr>
                  <w:r>
                    <w:rPr>
                      <w:szCs w:val="21"/>
                    </w:rPr>
                    <w:t>41</w:t>
                  </w:r>
                </w:p>
              </w:tc>
              <w:tc>
                <w:tcPr>
                  <w:tcW w:w="669" w:type="dxa"/>
                  <w:noWrap w:val="0"/>
                  <w:vAlign w:val="center"/>
                </w:tcPr>
                <w:p>
                  <w:pPr>
                    <w:jc w:val="center"/>
                    <w:rPr>
                      <w:szCs w:val="21"/>
                    </w:rPr>
                  </w:pPr>
                  <w:r>
                    <w:rPr>
                      <w:szCs w:val="21"/>
                    </w:rPr>
                    <w:t>39</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rFonts w:hint="eastAsia"/>
                      <w:kern w:val="0"/>
                      <w:szCs w:val="21"/>
                    </w:rPr>
                    <w:t>5</w:t>
                  </w:r>
                </w:p>
              </w:tc>
              <w:tc>
                <w:tcPr>
                  <w:tcW w:w="1536" w:type="dxa"/>
                  <w:noWrap w:val="0"/>
                  <w:vAlign w:val="center"/>
                </w:tcPr>
                <w:p>
                  <w:pPr>
                    <w:adjustRightInd w:val="0"/>
                    <w:jc w:val="center"/>
                    <w:rPr>
                      <w:szCs w:val="21"/>
                    </w:rPr>
                  </w:pPr>
                  <w:r>
                    <w:rPr>
                      <w:rFonts w:hAnsi="宋体"/>
                      <w:szCs w:val="21"/>
                    </w:rPr>
                    <w:t>空压机</w:t>
                  </w:r>
                </w:p>
              </w:tc>
              <w:tc>
                <w:tcPr>
                  <w:tcW w:w="813" w:type="dxa"/>
                  <w:noWrap w:val="0"/>
                  <w:vAlign w:val="center"/>
                </w:tcPr>
                <w:p>
                  <w:pPr>
                    <w:jc w:val="center"/>
                    <w:rPr>
                      <w:szCs w:val="21"/>
                    </w:rPr>
                  </w:pPr>
                  <w:r>
                    <w:rPr>
                      <w:szCs w:val="21"/>
                    </w:rPr>
                    <w:t>79</w:t>
                  </w:r>
                </w:p>
              </w:tc>
              <w:tc>
                <w:tcPr>
                  <w:tcW w:w="521" w:type="dxa"/>
                  <w:noWrap w:val="0"/>
                  <w:vAlign w:val="center"/>
                </w:tcPr>
                <w:p>
                  <w:pPr>
                    <w:jc w:val="center"/>
                    <w:rPr>
                      <w:szCs w:val="21"/>
                    </w:rPr>
                  </w:pPr>
                  <w:r>
                    <w:rPr>
                      <w:szCs w:val="21"/>
                    </w:rPr>
                    <w:t>59</w:t>
                  </w:r>
                </w:p>
              </w:tc>
              <w:tc>
                <w:tcPr>
                  <w:tcW w:w="502" w:type="dxa"/>
                  <w:noWrap w:val="0"/>
                  <w:vAlign w:val="center"/>
                </w:tcPr>
                <w:p>
                  <w:pPr>
                    <w:jc w:val="center"/>
                    <w:rPr>
                      <w:szCs w:val="21"/>
                    </w:rPr>
                  </w:pPr>
                  <w:r>
                    <w:rPr>
                      <w:szCs w:val="21"/>
                    </w:rPr>
                    <w:t>53</w:t>
                  </w:r>
                </w:p>
              </w:tc>
              <w:tc>
                <w:tcPr>
                  <w:tcW w:w="538" w:type="dxa"/>
                  <w:noWrap w:val="0"/>
                  <w:vAlign w:val="center"/>
                </w:tcPr>
                <w:p>
                  <w:pPr>
                    <w:jc w:val="center"/>
                    <w:rPr>
                      <w:szCs w:val="21"/>
                    </w:rPr>
                  </w:pPr>
                  <w:r>
                    <w:rPr>
                      <w:szCs w:val="21"/>
                    </w:rPr>
                    <w:t>49</w:t>
                  </w:r>
                </w:p>
              </w:tc>
              <w:tc>
                <w:tcPr>
                  <w:tcW w:w="502" w:type="dxa"/>
                  <w:noWrap w:val="0"/>
                  <w:vAlign w:val="center"/>
                </w:tcPr>
                <w:p>
                  <w:pPr>
                    <w:jc w:val="center"/>
                    <w:rPr>
                      <w:szCs w:val="21"/>
                    </w:rPr>
                  </w:pPr>
                  <w:r>
                    <w:rPr>
                      <w:szCs w:val="21"/>
                    </w:rPr>
                    <w:t>47</w:t>
                  </w:r>
                </w:p>
              </w:tc>
              <w:tc>
                <w:tcPr>
                  <w:tcW w:w="556" w:type="dxa"/>
                  <w:noWrap w:val="0"/>
                  <w:vAlign w:val="center"/>
                </w:tcPr>
                <w:p>
                  <w:pPr>
                    <w:jc w:val="center"/>
                    <w:rPr>
                      <w:szCs w:val="21"/>
                    </w:rPr>
                  </w:pPr>
                  <w:r>
                    <w:rPr>
                      <w:szCs w:val="21"/>
                    </w:rPr>
                    <w:t>45</w:t>
                  </w:r>
                </w:p>
              </w:tc>
              <w:tc>
                <w:tcPr>
                  <w:tcW w:w="624" w:type="dxa"/>
                  <w:noWrap w:val="0"/>
                  <w:vAlign w:val="center"/>
                </w:tcPr>
                <w:p>
                  <w:pPr>
                    <w:jc w:val="center"/>
                    <w:rPr>
                      <w:szCs w:val="21"/>
                    </w:rPr>
                  </w:pPr>
                  <w:r>
                    <w:rPr>
                      <w:szCs w:val="21"/>
                    </w:rPr>
                    <w:t>39</w:t>
                  </w:r>
                </w:p>
              </w:tc>
              <w:tc>
                <w:tcPr>
                  <w:tcW w:w="624" w:type="dxa"/>
                  <w:noWrap w:val="0"/>
                  <w:vAlign w:val="center"/>
                </w:tcPr>
                <w:p>
                  <w:pPr>
                    <w:jc w:val="center"/>
                    <w:rPr>
                      <w:szCs w:val="21"/>
                    </w:rPr>
                  </w:pPr>
                  <w:r>
                    <w:rPr>
                      <w:szCs w:val="21"/>
                    </w:rPr>
                    <w:t>35</w:t>
                  </w:r>
                </w:p>
              </w:tc>
              <w:tc>
                <w:tcPr>
                  <w:tcW w:w="624" w:type="dxa"/>
                  <w:noWrap w:val="0"/>
                  <w:vAlign w:val="center"/>
                </w:tcPr>
                <w:p>
                  <w:pPr>
                    <w:jc w:val="center"/>
                    <w:rPr>
                      <w:szCs w:val="21"/>
                    </w:rPr>
                  </w:pPr>
                  <w:r>
                    <w:rPr>
                      <w:szCs w:val="21"/>
                    </w:rPr>
                    <w:t>33</w:t>
                  </w:r>
                </w:p>
              </w:tc>
              <w:tc>
                <w:tcPr>
                  <w:tcW w:w="624" w:type="dxa"/>
                  <w:noWrap w:val="0"/>
                  <w:vAlign w:val="center"/>
                </w:tcPr>
                <w:p>
                  <w:pPr>
                    <w:jc w:val="center"/>
                    <w:rPr>
                      <w:szCs w:val="21"/>
                    </w:rPr>
                  </w:pPr>
                  <w:r>
                    <w:rPr>
                      <w:szCs w:val="21"/>
                    </w:rPr>
                    <w:t>31</w:t>
                  </w:r>
                </w:p>
              </w:tc>
              <w:tc>
                <w:tcPr>
                  <w:tcW w:w="669" w:type="dxa"/>
                  <w:noWrap w:val="0"/>
                  <w:vAlign w:val="center"/>
                </w:tcPr>
                <w:p>
                  <w:pPr>
                    <w:jc w:val="center"/>
                    <w:rPr>
                      <w:szCs w:val="21"/>
                    </w:rPr>
                  </w:pPr>
                  <w:r>
                    <w:rPr>
                      <w:szCs w:val="21"/>
                    </w:rPr>
                    <w:t>29</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rFonts w:hint="eastAsia"/>
                      <w:kern w:val="0"/>
                      <w:szCs w:val="21"/>
                    </w:rPr>
                    <w:t>6</w:t>
                  </w:r>
                </w:p>
              </w:tc>
              <w:tc>
                <w:tcPr>
                  <w:tcW w:w="1536" w:type="dxa"/>
                  <w:noWrap w:val="0"/>
                  <w:vAlign w:val="center"/>
                </w:tcPr>
                <w:p>
                  <w:pPr>
                    <w:adjustRightInd w:val="0"/>
                    <w:jc w:val="center"/>
                    <w:rPr>
                      <w:szCs w:val="21"/>
                    </w:rPr>
                  </w:pPr>
                  <w:r>
                    <w:rPr>
                      <w:rFonts w:hAnsi="宋体"/>
                      <w:szCs w:val="21"/>
                    </w:rPr>
                    <w:t>中型载重车</w:t>
                  </w:r>
                </w:p>
              </w:tc>
              <w:tc>
                <w:tcPr>
                  <w:tcW w:w="813" w:type="dxa"/>
                  <w:noWrap w:val="0"/>
                  <w:vAlign w:val="center"/>
                </w:tcPr>
                <w:p>
                  <w:pPr>
                    <w:jc w:val="center"/>
                    <w:rPr>
                      <w:szCs w:val="21"/>
                    </w:rPr>
                  </w:pPr>
                  <w:r>
                    <w:rPr>
                      <w:szCs w:val="21"/>
                    </w:rPr>
                    <w:t>74</w:t>
                  </w:r>
                </w:p>
              </w:tc>
              <w:tc>
                <w:tcPr>
                  <w:tcW w:w="521" w:type="dxa"/>
                  <w:noWrap w:val="0"/>
                  <w:vAlign w:val="center"/>
                </w:tcPr>
                <w:p>
                  <w:pPr>
                    <w:jc w:val="center"/>
                    <w:rPr>
                      <w:szCs w:val="21"/>
                    </w:rPr>
                  </w:pPr>
                  <w:r>
                    <w:rPr>
                      <w:szCs w:val="21"/>
                    </w:rPr>
                    <w:t>54</w:t>
                  </w:r>
                </w:p>
              </w:tc>
              <w:tc>
                <w:tcPr>
                  <w:tcW w:w="502" w:type="dxa"/>
                  <w:noWrap w:val="0"/>
                  <w:vAlign w:val="center"/>
                </w:tcPr>
                <w:p>
                  <w:pPr>
                    <w:jc w:val="center"/>
                    <w:rPr>
                      <w:szCs w:val="21"/>
                    </w:rPr>
                  </w:pPr>
                  <w:r>
                    <w:rPr>
                      <w:szCs w:val="21"/>
                    </w:rPr>
                    <w:t>48</w:t>
                  </w:r>
                </w:p>
              </w:tc>
              <w:tc>
                <w:tcPr>
                  <w:tcW w:w="538" w:type="dxa"/>
                  <w:noWrap w:val="0"/>
                  <w:vAlign w:val="center"/>
                </w:tcPr>
                <w:p>
                  <w:pPr>
                    <w:jc w:val="center"/>
                    <w:rPr>
                      <w:szCs w:val="21"/>
                    </w:rPr>
                  </w:pPr>
                  <w:r>
                    <w:rPr>
                      <w:szCs w:val="21"/>
                    </w:rPr>
                    <w:t>44</w:t>
                  </w:r>
                </w:p>
              </w:tc>
              <w:tc>
                <w:tcPr>
                  <w:tcW w:w="502" w:type="dxa"/>
                  <w:noWrap w:val="0"/>
                  <w:vAlign w:val="center"/>
                </w:tcPr>
                <w:p>
                  <w:pPr>
                    <w:jc w:val="center"/>
                    <w:rPr>
                      <w:szCs w:val="21"/>
                    </w:rPr>
                  </w:pPr>
                  <w:r>
                    <w:rPr>
                      <w:szCs w:val="21"/>
                    </w:rPr>
                    <w:t>42</w:t>
                  </w:r>
                </w:p>
              </w:tc>
              <w:tc>
                <w:tcPr>
                  <w:tcW w:w="556" w:type="dxa"/>
                  <w:noWrap w:val="0"/>
                  <w:vAlign w:val="center"/>
                </w:tcPr>
                <w:p>
                  <w:pPr>
                    <w:jc w:val="center"/>
                    <w:rPr>
                      <w:szCs w:val="21"/>
                    </w:rPr>
                  </w:pPr>
                  <w:r>
                    <w:rPr>
                      <w:szCs w:val="21"/>
                    </w:rPr>
                    <w:t>40</w:t>
                  </w:r>
                </w:p>
              </w:tc>
              <w:tc>
                <w:tcPr>
                  <w:tcW w:w="624" w:type="dxa"/>
                  <w:noWrap w:val="0"/>
                  <w:vAlign w:val="center"/>
                </w:tcPr>
                <w:p>
                  <w:pPr>
                    <w:jc w:val="center"/>
                    <w:rPr>
                      <w:szCs w:val="21"/>
                    </w:rPr>
                  </w:pPr>
                  <w:r>
                    <w:rPr>
                      <w:szCs w:val="21"/>
                    </w:rPr>
                    <w:t>34</w:t>
                  </w:r>
                </w:p>
              </w:tc>
              <w:tc>
                <w:tcPr>
                  <w:tcW w:w="624" w:type="dxa"/>
                  <w:noWrap w:val="0"/>
                  <w:vAlign w:val="center"/>
                </w:tcPr>
                <w:p>
                  <w:pPr>
                    <w:jc w:val="center"/>
                    <w:rPr>
                      <w:szCs w:val="21"/>
                    </w:rPr>
                  </w:pPr>
                  <w:r>
                    <w:rPr>
                      <w:szCs w:val="21"/>
                    </w:rPr>
                    <w:t>30</w:t>
                  </w:r>
                </w:p>
              </w:tc>
              <w:tc>
                <w:tcPr>
                  <w:tcW w:w="624" w:type="dxa"/>
                  <w:noWrap w:val="0"/>
                  <w:vAlign w:val="center"/>
                </w:tcPr>
                <w:p>
                  <w:pPr>
                    <w:jc w:val="center"/>
                    <w:rPr>
                      <w:szCs w:val="21"/>
                    </w:rPr>
                  </w:pPr>
                  <w:r>
                    <w:rPr>
                      <w:szCs w:val="21"/>
                    </w:rPr>
                    <w:t>28</w:t>
                  </w:r>
                </w:p>
              </w:tc>
              <w:tc>
                <w:tcPr>
                  <w:tcW w:w="624" w:type="dxa"/>
                  <w:noWrap w:val="0"/>
                  <w:vAlign w:val="center"/>
                </w:tcPr>
                <w:p>
                  <w:pPr>
                    <w:jc w:val="center"/>
                    <w:rPr>
                      <w:szCs w:val="21"/>
                    </w:rPr>
                  </w:pPr>
                  <w:r>
                    <w:rPr>
                      <w:szCs w:val="21"/>
                    </w:rPr>
                    <w:t>26</w:t>
                  </w:r>
                </w:p>
              </w:tc>
              <w:tc>
                <w:tcPr>
                  <w:tcW w:w="669" w:type="dxa"/>
                  <w:noWrap w:val="0"/>
                  <w:vAlign w:val="center"/>
                </w:tcPr>
                <w:p>
                  <w:pPr>
                    <w:jc w:val="center"/>
                    <w:rPr>
                      <w:szCs w:val="21"/>
                    </w:rPr>
                  </w:pPr>
                  <w:r>
                    <w:rPr>
                      <w:szCs w:val="21"/>
                    </w:rPr>
                    <w:t>24</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1900" w:type="dxa"/>
                  <w:gridSpan w:val="2"/>
                  <w:noWrap w:val="0"/>
                  <w:vAlign w:val="center"/>
                </w:tcPr>
                <w:p>
                  <w:pPr>
                    <w:adjustRightInd w:val="0"/>
                    <w:jc w:val="center"/>
                    <w:rPr>
                      <w:szCs w:val="21"/>
                    </w:rPr>
                  </w:pPr>
                  <w:r>
                    <w:rPr>
                      <w:rFonts w:hAnsi="宋体"/>
                      <w:szCs w:val="21"/>
                    </w:rPr>
                    <w:t>多声源叠加值</w:t>
                  </w:r>
                </w:p>
              </w:tc>
              <w:tc>
                <w:tcPr>
                  <w:tcW w:w="813" w:type="dxa"/>
                  <w:noWrap w:val="0"/>
                  <w:vAlign w:val="center"/>
                </w:tcPr>
                <w:p>
                  <w:pPr>
                    <w:jc w:val="center"/>
                    <w:rPr>
                      <w:szCs w:val="21"/>
                    </w:rPr>
                  </w:pPr>
                  <w:r>
                    <w:rPr>
                      <w:szCs w:val="21"/>
                    </w:rPr>
                    <w:t>101.1</w:t>
                  </w:r>
                </w:p>
              </w:tc>
              <w:tc>
                <w:tcPr>
                  <w:tcW w:w="521" w:type="dxa"/>
                  <w:noWrap w:val="0"/>
                  <w:vAlign w:val="center"/>
                </w:tcPr>
                <w:p>
                  <w:pPr>
                    <w:jc w:val="center"/>
                    <w:rPr>
                      <w:szCs w:val="21"/>
                    </w:rPr>
                  </w:pPr>
                  <w:r>
                    <w:rPr>
                      <w:szCs w:val="21"/>
                    </w:rPr>
                    <w:t>81.1</w:t>
                  </w:r>
                </w:p>
              </w:tc>
              <w:tc>
                <w:tcPr>
                  <w:tcW w:w="502" w:type="dxa"/>
                  <w:noWrap w:val="0"/>
                  <w:vAlign w:val="center"/>
                </w:tcPr>
                <w:p>
                  <w:pPr>
                    <w:jc w:val="center"/>
                    <w:rPr>
                      <w:szCs w:val="21"/>
                    </w:rPr>
                  </w:pPr>
                  <w:r>
                    <w:rPr>
                      <w:szCs w:val="21"/>
                    </w:rPr>
                    <w:t>75.1</w:t>
                  </w:r>
                </w:p>
              </w:tc>
              <w:tc>
                <w:tcPr>
                  <w:tcW w:w="538" w:type="dxa"/>
                  <w:noWrap w:val="0"/>
                  <w:vAlign w:val="center"/>
                </w:tcPr>
                <w:p>
                  <w:pPr>
                    <w:jc w:val="center"/>
                    <w:rPr>
                      <w:szCs w:val="21"/>
                    </w:rPr>
                  </w:pPr>
                  <w:r>
                    <w:rPr>
                      <w:szCs w:val="21"/>
                    </w:rPr>
                    <w:t>71.1</w:t>
                  </w:r>
                </w:p>
              </w:tc>
              <w:tc>
                <w:tcPr>
                  <w:tcW w:w="502" w:type="dxa"/>
                  <w:noWrap w:val="0"/>
                  <w:vAlign w:val="center"/>
                </w:tcPr>
                <w:p>
                  <w:pPr>
                    <w:jc w:val="center"/>
                    <w:rPr>
                      <w:szCs w:val="21"/>
                    </w:rPr>
                  </w:pPr>
                  <w:r>
                    <w:rPr>
                      <w:szCs w:val="21"/>
                    </w:rPr>
                    <w:t>69.1</w:t>
                  </w:r>
                </w:p>
              </w:tc>
              <w:tc>
                <w:tcPr>
                  <w:tcW w:w="556" w:type="dxa"/>
                  <w:noWrap w:val="0"/>
                  <w:vAlign w:val="center"/>
                </w:tcPr>
                <w:p>
                  <w:pPr>
                    <w:jc w:val="center"/>
                    <w:rPr>
                      <w:szCs w:val="21"/>
                    </w:rPr>
                  </w:pPr>
                  <w:r>
                    <w:rPr>
                      <w:szCs w:val="21"/>
                    </w:rPr>
                    <w:t>67.1</w:t>
                  </w:r>
                </w:p>
              </w:tc>
              <w:tc>
                <w:tcPr>
                  <w:tcW w:w="624" w:type="dxa"/>
                  <w:noWrap w:val="0"/>
                  <w:vAlign w:val="center"/>
                </w:tcPr>
                <w:p>
                  <w:pPr>
                    <w:jc w:val="center"/>
                    <w:rPr>
                      <w:szCs w:val="21"/>
                    </w:rPr>
                  </w:pPr>
                  <w:r>
                    <w:rPr>
                      <w:szCs w:val="21"/>
                    </w:rPr>
                    <w:t>61.1</w:t>
                  </w:r>
                </w:p>
              </w:tc>
              <w:tc>
                <w:tcPr>
                  <w:tcW w:w="624" w:type="dxa"/>
                  <w:noWrap w:val="0"/>
                  <w:vAlign w:val="center"/>
                </w:tcPr>
                <w:p>
                  <w:pPr>
                    <w:jc w:val="center"/>
                    <w:rPr>
                      <w:szCs w:val="21"/>
                    </w:rPr>
                  </w:pPr>
                  <w:r>
                    <w:rPr>
                      <w:szCs w:val="21"/>
                    </w:rPr>
                    <w:t>57.1</w:t>
                  </w:r>
                </w:p>
              </w:tc>
              <w:tc>
                <w:tcPr>
                  <w:tcW w:w="624" w:type="dxa"/>
                  <w:noWrap w:val="0"/>
                  <w:vAlign w:val="center"/>
                </w:tcPr>
                <w:p>
                  <w:pPr>
                    <w:jc w:val="center"/>
                    <w:rPr>
                      <w:szCs w:val="21"/>
                    </w:rPr>
                  </w:pPr>
                  <w:r>
                    <w:rPr>
                      <w:szCs w:val="21"/>
                    </w:rPr>
                    <w:t>55.1</w:t>
                  </w:r>
                </w:p>
              </w:tc>
              <w:tc>
                <w:tcPr>
                  <w:tcW w:w="624" w:type="dxa"/>
                  <w:noWrap w:val="0"/>
                  <w:vAlign w:val="center"/>
                </w:tcPr>
                <w:p>
                  <w:pPr>
                    <w:jc w:val="center"/>
                    <w:rPr>
                      <w:szCs w:val="21"/>
                    </w:rPr>
                  </w:pPr>
                  <w:r>
                    <w:rPr>
                      <w:szCs w:val="21"/>
                    </w:rPr>
                    <w:t>53.1</w:t>
                  </w:r>
                </w:p>
              </w:tc>
              <w:tc>
                <w:tcPr>
                  <w:tcW w:w="669" w:type="dxa"/>
                  <w:noWrap w:val="0"/>
                  <w:vAlign w:val="center"/>
                </w:tcPr>
                <w:p>
                  <w:pPr>
                    <w:jc w:val="center"/>
                    <w:rPr>
                      <w:szCs w:val="21"/>
                    </w:rPr>
                  </w:pPr>
                  <w:r>
                    <w:rPr>
                      <w:szCs w:val="21"/>
                    </w:rPr>
                    <w:t>51.1</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szCs w:val="21"/>
                    </w:rPr>
                  </w:pPr>
                  <w:r>
                    <w:rPr>
                      <w:szCs w:val="21"/>
                    </w:rPr>
                    <w:t>1</w:t>
                  </w:r>
                </w:p>
              </w:tc>
              <w:tc>
                <w:tcPr>
                  <w:tcW w:w="1536" w:type="dxa"/>
                  <w:noWrap w:val="0"/>
                  <w:vAlign w:val="center"/>
                </w:tcPr>
                <w:p>
                  <w:pPr>
                    <w:adjustRightInd w:val="0"/>
                    <w:jc w:val="center"/>
                    <w:rPr>
                      <w:szCs w:val="21"/>
                    </w:rPr>
                  </w:pPr>
                  <w:r>
                    <w:rPr>
                      <w:rFonts w:hAnsi="宋体"/>
                      <w:szCs w:val="21"/>
                    </w:rPr>
                    <w:t>电钻</w:t>
                  </w:r>
                </w:p>
              </w:tc>
              <w:tc>
                <w:tcPr>
                  <w:tcW w:w="813" w:type="dxa"/>
                  <w:noWrap w:val="0"/>
                  <w:vAlign w:val="center"/>
                </w:tcPr>
                <w:p>
                  <w:pPr>
                    <w:jc w:val="center"/>
                    <w:rPr>
                      <w:szCs w:val="21"/>
                    </w:rPr>
                  </w:pPr>
                  <w:r>
                    <w:rPr>
                      <w:szCs w:val="21"/>
                    </w:rPr>
                    <w:t>104</w:t>
                  </w:r>
                </w:p>
              </w:tc>
              <w:tc>
                <w:tcPr>
                  <w:tcW w:w="521" w:type="dxa"/>
                  <w:noWrap w:val="0"/>
                  <w:vAlign w:val="center"/>
                </w:tcPr>
                <w:p>
                  <w:pPr>
                    <w:jc w:val="center"/>
                    <w:rPr>
                      <w:szCs w:val="21"/>
                    </w:rPr>
                  </w:pPr>
                  <w:r>
                    <w:rPr>
                      <w:szCs w:val="21"/>
                    </w:rPr>
                    <w:t>84</w:t>
                  </w:r>
                </w:p>
              </w:tc>
              <w:tc>
                <w:tcPr>
                  <w:tcW w:w="502" w:type="dxa"/>
                  <w:noWrap w:val="0"/>
                  <w:vAlign w:val="center"/>
                </w:tcPr>
                <w:p>
                  <w:pPr>
                    <w:jc w:val="center"/>
                    <w:rPr>
                      <w:szCs w:val="21"/>
                    </w:rPr>
                  </w:pPr>
                  <w:r>
                    <w:rPr>
                      <w:szCs w:val="21"/>
                    </w:rPr>
                    <w:t>78</w:t>
                  </w:r>
                </w:p>
              </w:tc>
              <w:tc>
                <w:tcPr>
                  <w:tcW w:w="538" w:type="dxa"/>
                  <w:noWrap w:val="0"/>
                  <w:vAlign w:val="center"/>
                </w:tcPr>
                <w:p>
                  <w:pPr>
                    <w:jc w:val="center"/>
                    <w:rPr>
                      <w:szCs w:val="21"/>
                    </w:rPr>
                  </w:pPr>
                  <w:r>
                    <w:rPr>
                      <w:szCs w:val="21"/>
                    </w:rPr>
                    <w:t>74</w:t>
                  </w:r>
                </w:p>
              </w:tc>
              <w:tc>
                <w:tcPr>
                  <w:tcW w:w="502" w:type="dxa"/>
                  <w:noWrap w:val="0"/>
                  <w:vAlign w:val="center"/>
                </w:tcPr>
                <w:p>
                  <w:pPr>
                    <w:jc w:val="center"/>
                    <w:rPr>
                      <w:szCs w:val="21"/>
                    </w:rPr>
                  </w:pPr>
                  <w:r>
                    <w:rPr>
                      <w:szCs w:val="21"/>
                    </w:rPr>
                    <w:t>72</w:t>
                  </w:r>
                </w:p>
              </w:tc>
              <w:tc>
                <w:tcPr>
                  <w:tcW w:w="556" w:type="dxa"/>
                  <w:noWrap w:val="0"/>
                  <w:vAlign w:val="center"/>
                </w:tcPr>
                <w:p>
                  <w:pPr>
                    <w:jc w:val="center"/>
                    <w:rPr>
                      <w:szCs w:val="21"/>
                    </w:rPr>
                  </w:pPr>
                  <w:r>
                    <w:rPr>
                      <w:szCs w:val="21"/>
                    </w:rPr>
                    <w:t>70</w:t>
                  </w:r>
                </w:p>
              </w:tc>
              <w:tc>
                <w:tcPr>
                  <w:tcW w:w="624" w:type="dxa"/>
                  <w:noWrap w:val="0"/>
                  <w:vAlign w:val="center"/>
                </w:tcPr>
                <w:p>
                  <w:pPr>
                    <w:jc w:val="center"/>
                    <w:rPr>
                      <w:szCs w:val="21"/>
                    </w:rPr>
                  </w:pPr>
                  <w:r>
                    <w:rPr>
                      <w:szCs w:val="21"/>
                    </w:rPr>
                    <w:t>64</w:t>
                  </w:r>
                </w:p>
              </w:tc>
              <w:tc>
                <w:tcPr>
                  <w:tcW w:w="624" w:type="dxa"/>
                  <w:noWrap w:val="0"/>
                  <w:vAlign w:val="center"/>
                </w:tcPr>
                <w:p>
                  <w:pPr>
                    <w:jc w:val="center"/>
                    <w:rPr>
                      <w:szCs w:val="21"/>
                    </w:rPr>
                  </w:pPr>
                  <w:r>
                    <w:rPr>
                      <w:szCs w:val="21"/>
                    </w:rPr>
                    <w:t>60</w:t>
                  </w:r>
                </w:p>
              </w:tc>
              <w:tc>
                <w:tcPr>
                  <w:tcW w:w="624" w:type="dxa"/>
                  <w:noWrap w:val="0"/>
                  <w:vAlign w:val="center"/>
                </w:tcPr>
                <w:p>
                  <w:pPr>
                    <w:jc w:val="center"/>
                    <w:rPr>
                      <w:szCs w:val="21"/>
                    </w:rPr>
                  </w:pPr>
                  <w:r>
                    <w:rPr>
                      <w:szCs w:val="21"/>
                    </w:rPr>
                    <w:t>58</w:t>
                  </w:r>
                </w:p>
              </w:tc>
              <w:tc>
                <w:tcPr>
                  <w:tcW w:w="624" w:type="dxa"/>
                  <w:noWrap w:val="0"/>
                  <w:vAlign w:val="center"/>
                </w:tcPr>
                <w:p>
                  <w:pPr>
                    <w:jc w:val="center"/>
                    <w:rPr>
                      <w:szCs w:val="21"/>
                    </w:rPr>
                  </w:pPr>
                  <w:r>
                    <w:rPr>
                      <w:szCs w:val="21"/>
                    </w:rPr>
                    <w:t>56</w:t>
                  </w:r>
                </w:p>
              </w:tc>
              <w:tc>
                <w:tcPr>
                  <w:tcW w:w="669" w:type="dxa"/>
                  <w:noWrap w:val="0"/>
                  <w:vAlign w:val="center"/>
                </w:tcPr>
                <w:p>
                  <w:pPr>
                    <w:jc w:val="center"/>
                    <w:rPr>
                      <w:szCs w:val="21"/>
                    </w:rPr>
                  </w:pPr>
                  <w:r>
                    <w:rPr>
                      <w:szCs w:val="21"/>
                    </w:rPr>
                    <w:t>54</w:t>
                  </w:r>
                </w:p>
              </w:tc>
              <w:tc>
                <w:tcPr>
                  <w:tcW w:w="493" w:type="dxa"/>
                  <w:vMerge w:val="restart"/>
                  <w:noWrap w:val="0"/>
                  <w:vAlign w:val="center"/>
                </w:tcPr>
                <w:p>
                  <w:pPr>
                    <w:jc w:val="center"/>
                    <w:rPr>
                      <w:szCs w:val="21"/>
                    </w:rPr>
                  </w:pPr>
                  <w:r>
                    <w:rPr>
                      <w:rFonts w:hAnsi="宋体"/>
                      <w:szCs w:val="21"/>
                    </w:rPr>
                    <w:t>装修与安装阶段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kern w:val="0"/>
                      <w:szCs w:val="21"/>
                    </w:rPr>
                    <w:t>2</w:t>
                  </w:r>
                </w:p>
              </w:tc>
              <w:tc>
                <w:tcPr>
                  <w:tcW w:w="1536" w:type="dxa"/>
                  <w:noWrap w:val="0"/>
                  <w:vAlign w:val="center"/>
                </w:tcPr>
                <w:p>
                  <w:pPr>
                    <w:adjustRightInd w:val="0"/>
                    <w:jc w:val="center"/>
                    <w:rPr>
                      <w:szCs w:val="21"/>
                    </w:rPr>
                  </w:pPr>
                  <w:r>
                    <w:rPr>
                      <w:rFonts w:hint="eastAsia" w:hAnsi="宋体"/>
                      <w:szCs w:val="21"/>
                    </w:rPr>
                    <w:t>切割机</w:t>
                  </w:r>
                </w:p>
              </w:tc>
              <w:tc>
                <w:tcPr>
                  <w:tcW w:w="813" w:type="dxa"/>
                  <w:noWrap w:val="0"/>
                  <w:vAlign w:val="center"/>
                </w:tcPr>
                <w:p>
                  <w:pPr>
                    <w:jc w:val="center"/>
                    <w:rPr>
                      <w:szCs w:val="21"/>
                    </w:rPr>
                  </w:pPr>
                  <w:r>
                    <w:rPr>
                      <w:szCs w:val="21"/>
                    </w:rPr>
                    <w:t>99</w:t>
                  </w:r>
                </w:p>
              </w:tc>
              <w:tc>
                <w:tcPr>
                  <w:tcW w:w="521" w:type="dxa"/>
                  <w:noWrap w:val="0"/>
                  <w:vAlign w:val="center"/>
                </w:tcPr>
                <w:p>
                  <w:pPr>
                    <w:jc w:val="center"/>
                    <w:rPr>
                      <w:szCs w:val="21"/>
                    </w:rPr>
                  </w:pPr>
                  <w:r>
                    <w:rPr>
                      <w:szCs w:val="21"/>
                    </w:rPr>
                    <w:t>79</w:t>
                  </w:r>
                </w:p>
              </w:tc>
              <w:tc>
                <w:tcPr>
                  <w:tcW w:w="502" w:type="dxa"/>
                  <w:noWrap w:val="0"/>
                  <w:vAlign w:val="center"/>
                </w:tcPr>
                <w:p>
                  <w:pPr>
                    <w:jc w:val="center"/>
                    <w:rPr>
                      <w:szCs w:val="21"/>
                    </w:rPr>
                  </w:pPr>
                  <w:r>
                    <w:rPr>
                      <w:szCs w:val="21"/>
                    </w:rPr>
                    <w:t>73</w:t>
                  </w:r>
                </w:p>
              </w:tc>
              <w:tc>
                <w:tcPr>
                  <w:tcW w:w="538" w:type="dxa"/>
                  <w:noWrap w:val="0"/>
                  <w:vAlign w:val="center"/>
                </w:tcPr>
                <w:p>
                  <w:pPr>
                    <w:jc w:val="center"/>
                    <w:rPr>
                      <w:szCs w:val="21"/>
                    </w:rPr>
                  </w:pPr>
                  <w:r>
                    <w:rPr>
                      <w:szCs w:val="21"/>
                    </w:rPr>
                    <w:t>69</w:t>
                  </w:r>
                </w:p>
              </w:tc>
              <w:tc>
                <w:tcPr>
                  <w:tcW w:w="502" w:type="dxa"/>
                  <w:noWrap w:val="0"/>
                  <w:vAlign w:val="center"/>
                </w:tcPr>
                <w:p>
                  <w:pPr>
                    <w:jc w:val="center"/>
                    <w:rPr>
                      <w:szCs w:val="21"/>
                    </w:rPr>
                  </w:pPr>
                  <w:r>
                    <w:rPr>
                      <w:szCs w:val="21"/>
                    </w:rPr>
                    <w:t>67</w:t>
                  </w:r>
                </w:p>
              </w:tc>
              <w:tc>
                <w:tcPr>
                  <w:tcW w:w="556" w:type="dxa"/>
                  <w:noWrap w:val="0"/>
                  <w:vAlign w:val="center"/>
                </w:tcPr>
                <w:p>
                  <w:pPr>
                    <w:jc w:val="center"/>
                    <w:rPr>
                      <w:szCs w:val="21"/>
                    </w:rPr>
                  </w:pPr>
                  <w:r>
                    <w:rPr>
                      <w:szCs w:val="21"/>
                    </w:rPr>
                    <w:t>65</w:t>
                  </w:r>
                </w:p>
              </w:tc>
              <w:tc>
                <w:tcPr>
                  <w:tcW w:w="624" w:type="dxa"/>
                  <w:noWrap w:val="0"/>
                  <w:vAlign w:val="center"/>
                </w:tcPr>
                <w:p>
                  <w:pPr>
                    <w:jc w:val="center"/>
                    <w:rPr>
                      <w:szCs w:val="21"/>
                    </w:rPr>
                  </w:pPr>
                  <w:r>
                    <w:rPr>
                      <w:szCs w:val="21"/>
                    </w:rPr>
                    <w:t>59</w:t>
                  </w:r>
                </w:p>
              </w:tc>
              <w:tc>
                <w:tcPr>
                  <w:tcW w:w="624" w:type="dxa"/>
                  <w:noWrap w:val="0"/>
                  <w:vAlign w:val="center"/>
                </w:tcPr>
                <w:p>
                  <w:pPr>
                    <w:jc w:val="center"/>
                    <w:rPr>
                      <w:szCs w:val="21"/>
                    </w:rPr>
                  </w:pPr>
                  <w:r>
                    <w:rPr>
                      <w:szCs w:val="21"/>
                    </w:rPr>
                    <w:t>55</w:t>
                  </w:r>
                </w:p>
              </w:tc>
              <w:tc>
                <w:tcPr>
                  <w:tcW w:w="624" w:type="dxa"/>
                  <w:noWrap w:val="0"/>
                  <w:vAlign w:val="center"/>
                </w:tcPr>
                <w:p>
                  <w:pPr>
                    <w:jc w:val="center"/>
                    <w:rPr>
                      <w:szCs w:val="21"/>
                    </w:rPr>
                  </w:pPr>
                  <w:r>
                    <w:rPr>
                      <w:szCs w:val="21"/>
                    </w:rPr>
                    <w:t>53</w:t>
                  </w:r>
                </w:p>
              </w:tc>
              <w:tc>
                <w:tcPr>
                  <w:tcW w:w="624" w:type="dxa"/>
                  <w:noWrap w:val="0"/>
                  <w:vAlign w:val="center"/>
                </w:tcPr>
                <w:p>
                  <w:pPr>
                    <w:jc w:val="center"/>
                    <w:rPr>
                      <w:szCs w:val="21"/>
                    </w:rPr>
                  </w:pPr>
                  <w:r>
                    <w:rPr>
                      <w:szCs w:val="21"/>
                    </w:rPr>
                    <w:t>51</w:t>
                  </w:r>
                </w:p>
              </w:tc>
              <w:tc>
                <w:tcPr>
                  <w:tcW w:w="669" w:type="dxa"/>
                  <w:noWrap w:val="0"/>
                  <w:vAlign w:val="center"/>
                </w:tcPr>
                <w:p>
                  <w:pPr>
                    <w:jc w:val="center"/>
                    <w:rPr>
                      <w:szCs w:val="21"/>
                    </w:rPr>
                  </w:pPr>
                  <w:r>
                    <w:rPr>
                      <w:szCs w:val="21"/>
                    </w:rPr>
                    <w:t>49</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kern w:val="0"/>
                      <w:szCs w:val="21"/>
                    </w:rPr>
                    <w:t>3</w:t>
                  </w:r>
                </w:p>
              </w:tc>
              <w:tc>
                <w:tcPr>
                  <w:tcW w:w="1536" w:type="dxa"/>
                  <w:noWrap w:val="0"/>
                  <w:vAlign w:val="center"/>
                </w:tcPr>
                <w:p>
                  <w:pPr>
                    <w:adjustRightInd w:val="0"/>
                    <w:jc w:val="center"/>
                    <w:rPr>
                      <w:szCs w:val="21"/>
                    </w:rPr>
                  </w:pPr>
                  <w:r>
                    <w:rPr>
                      <w:rFonts w:hint="eastAsia" w:hAnsi="宋体"/>
                      <w:szCs w:val="21"/>
                    </w:rPr>
                    <w:t>电焊机</w:t>
                  </w:r>
                </w:p>
              </w:tc>
              <w:tc>
                <w:tcPr>
                  <w:tcW w:w="813" w:type="dxa"/>
                  <w:noWrap w:val="0"/>
                  <w:vAlign w:val="center"/>
                </w:tcPr>
                <w:p>
                  <w:pPr>
                    <w:jc w:val="center"/>
                    <w:rPr>
                      <w:szCs w:val="21"/>
                    </w:rPr>
                  </w:pPr>
                  <w:r>
                    <w:rPr>
                      <w:szCs w:val="21"/>
                    </w:rPr>
                    <w:t>84</w:t>
                  </w:r>
                </w:p>
              </w:tc>
              <w:tc>
                <w:tcPr>
                  <w:tcW w:w="521" w:type="dxa"/>
                  <w:noWrap w:val="0"/>
                  <w:vAlign w:val="center"/>
                </w:tcPr>
                <w:p>
                  <w:pPr>
                    <w:jc w:val="center"/>
                    <w:rPr>
                      <w:szCs w:val="21"/>
                    </w:rPr>
                  </w:pPr>
                  <w:r>
                    <w:rPr>
                      <w:szCs w:val="21"/>
                    </w:rPr>
                    <w:t>64</w:t>
                  </w:r>
                </w:p>
              </w:tc>
              <w:tc>
                <w:tcPr>
                  <w:tcW w:w="502" w:type="dxa"/>
                  <w:noWrap w:val="0"/>
                  <w:vAlign w:val="center"/>
                </w:tcPr>
                <w:p>
                  <w:pPr>
                    <w:jc w:val="center"/>
                    <w:rPr>
                      <w:szCs w:val="21"/>
                    </w:rPr>
                  </w:pPr>
                  <w:r>
                    <w:rPr>
                      <w:szCs w:val="21"/>
                    </w:rPr>
                    <w:t>58</w:t>
                  </w:r>
                </w:p>
              </w:tc>
              <w:tc>
                <w:tcPr>
                  <w:tcW w:w="538" w:type="dxa"/>
                  <w:noWrap w:val="0"/>
                  <w:vAlign w:val="center"/>
                </w:tcPr>
                <w:p>
                  <w:pPr>
                    <w:jc w:val="center"/>
                    <w:rPr>
                      <w:szCs w:val="21"/>
                    </w:rPr>
                  </w:pPr>
                  <w:r>
                    <w:rPr>
                      <w:szCs w:val="21"/>
                    </w:rPr>
                    <w:t>54</w:t>
                  </w:r>
                </w:p>
              </w:tc>
              <w:tc>
                <w:tcPr>
                  <w:tcW w:w="502" w:type="dxa"/>
                  <w:noWrap w:val="0"/>
                  <w:vAlign w:val="center"/>
                </w:tcPr>
                <w:p>
                  <w:pPr>
                    <w:jc w:val="center"/>
                    <w:rPr>
                      <w:szCs w:val="21"/>
                    </w:rPr>
                  </w:pPr>
                  <w:r>
                    <w:rPr>
                      <w:szCs w:val="21"/>
                    </w:rPr>
                    <w:t>52</w:t>
                  </w:r>
                </w:p>
              </w:tc>
              <w:tc>
                <w:tcPr>
                  <w:tcW w:w="556" w:type="dxa"/>
                  <w:noWrap w:val="0"/>
                  <w:vAlign w:val="center"/>
                </w:tcPr>
                <w:p>
                  <w:pPr>
                    <w:jc w:val="center"/>
                    <w:rPr>
                      <w:szCs w:val="21"/>
                    </w:rPr>
                  </w:pPr>
                  <w:r>
                    <w:rPr>
                      <w:szCs w:val="21"/>
                    </w:rPr>
                    <w:t>50</w:t>
                  </w:r>
                </w:p>
              </w:tc>
              <w:tc>
                <w:tcPr>
                  <w:tcW w:w="624" w:type="dxa"/>
                  <w:noWrap w:val="0"/>
                  <w:vAlign w:val="center"/>
                </w:tcPr>
                <w:p>
                  <w:pPr>
                    <w:jc w:val="center"/>
                    <w:rPr>
                      <w:szCs w:val="21"/>
                    </w:rPr>
                  </w:pPr>
                  <w:r>
                    <w:rPr>
                      <w:szCs w:val="21"/>
                    </w:rPr>
                    <w:t>44</w:t>
                  </w:r>
                </w:p>
              </w:tc>
              <w:tc>
                <w:tcPr>
                  <w:tcW w:w="624" w:type="dxa"/>
                  <w:noWrap w:val="0"/>
                  <w:vAlign w:val="center"/>
                </w:tcPr>
                <w:p>
                  <w:pPr>
                    <w:jc w:val="center"/>
                    <w:rPr>
                      <w:szCs w:val="21"/>
                    </w:rPr>
                  </w:pPr>
                  <w:r>
                    <w:rPr>
                      <w:szCs w:val="21"/>
                    </w:rPr>
                    <w:t>40</w:t>
                  </w:r>
                </w:p>
              </w:tc>
              <w:tc>
                <w:tcPr>
                  <w:tcW w:w="624" w:type="dxa"/>
                  <w:noWrap w:val="0"/>
                  <w:vAlign w:val="center"/>
                </w:tcPr>
                <w:p>
                  <w:pPr>
                    <w:jc w:val="center"/>
                    <w:rPr>
                      <w:szCs w:val="21"/>
                    </w:rPr>
                  </w:pPr>
                  <w:r>
                    <w:rPr>
                      <w:szCs w:val="21"/>
                    </w:rPr>
                    <w:t>38</w:t>
                  </w:r>
                </w:p>
              </w:tc>
              <w:tc>
                <w:tcPr>
                  <w:tcW w:w="624" w:type="dxa"/>
                  <w:noWrap w:val="0"/>
                  <w:vAlign w:val="center"/>
                </w:tcPr>
                <w:p>
                  <w:pPr>
                    <w:jc w:val="center"/>
                    <w:rPr>
                      <w:szCs w:val="21"/>
                    </w:rPr>
                  </w:pPr>
                  <w:r>
                    <w:rPr>
                      <w:szCs w:val="21"/>
                    </w:rPr>
                    <w:t>36</w:t>
                  </w:r>
                </w:p>
              </w:tc>
              <w:tc>
                <w:tcPr>
                  <w:tcW w:w="669" w:type="dxa"/>
                  <w:noWrap w:val="0"/>
                  <w:vAlign w:val="center"/>
                </w:tcPr>
                <w:p>
                  <w:pPr>
                    <w:jc w:val="center"/>
                    <w:rPr>
                      <w:szCs w:val="21"/>
                    </w:rPr>
                  </w:pPr>
                  <w:r>
                    <w:rPr>
                      <w:szCs w:val="21"/>
                    </w:rPr>
                    <w:t>34</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kern w:val="0"/>
                      <w:szCs w:val="21"/>
                    </w:rPr>
                    <w:t>4</w:t>
                  </w:r>
                </w:p>
              </w:tc>
              <w:tc>
                <w:tcPr>
                  <w:tcW w:w="1536" w:type="dxa"/>
                  <w:noWrap w:val="0"/>
                  <w:vAlign w:val="center"/>
                </w:tcPr>
                <w:p>
                  <w:pPr>
                    <w:adjustRightInd w:val="0"/>
                    <w:jc w:val="center"/>
                    <w:rPr>
                      <w:szCs w:val="21"/>
                    </w:rPr>
                  </w:pPr>
                  <w:r>
                    <w:rPr>
                      <w:rFonts w:hAnsi="宋体"/>
                      <w:szCs w:val="21"/>
                    </w:rPr>
                    <w:t>多功能木工刨</w:t>
                  </w:r>
                </w:p>
              </w:tc>
              <w:tc>
                <w:tcPr>
                  <w:tcW w:w="813" w:type="dxa"/>
                  <w:noWrap w:val="0"/>
                  <w:vAlign w:val="center"/>
                </w:tcPr>
                <w:p>
                  <w:pPr>
                    <w:jc w:val="center"/>
                    <w:rPr>
                      <w:szCs w:val="21"/>
                    </w:rPr>
                  </w:pPr>
                  <w:r>
                    <w:rPr>
                      <w:szCs w:val="21"/>
                    </w:rPr>
                    <w:t>89</w:t>
                  </w:r>
                </w:p>
              </w:tc>
              <w:tc>
                <w:tcPr>
                  <w:tcW w:w="521" w:type="dxa"/>
                  <w:noWrap w:val="0"/>
                  <w:vAlign w:val="center"/>
                </w:tcPr>
                <w:p>
                  <w:pPr>
                    <w:jc w:val="center"/>
                    <w:rPr>
                      <w:szCs w:val="21"/>
                    </w:rPr>
                  </w:pPr>
                  <w:r>
                    <w:rPr>
                      <w:szCs w:val="21"/>
                    </w:rPr>
                    <w:t>69</w:t>
                  </w:r>
                </w:p>
              </w:tc>
              <w:tc>
                <w:tcPr>
                  <w:tcW w:w="502" w:type="dxa"/>
                  <w:noWrap w:val="0"/>
                  <w:vAlign w:val="center"/>
                </w:tcPr>
                <w:p>
                  <w:pPr>
                    <w:jc w:val="center"/>
                    <w:rPr>
                      <w:szCs w:val="21"/>
                    </w:rPr>
                  </w:pPr>
                  <w:r>
                    <w:rPr>
                      <w:szCs w:val="21"/>
                    </w:rPr>
                    <w:t>63</w:t>
                  </w:r>
                </w:p>
              </w:tc>
              <w:tc>
                <w:tcPr>
                  <w:tcW w:w="538" w:type="dxa"/>
                  <w:noWrap w:val="0"/>
                  <w:vAlign w:val="center"/>
                </w:tcPr>
                <w:p>
                  <w:pPr>
                    <w:jc w:val="center"/>
                    <w:rPr>
                      <w:szCs w:val="21"/>
                    </w:rPr>
                  </w:pPr>
                  <w:r>
                    <w:rPr>
                      <w:szCs w:val="21"/>
                    </w:rPr>
                    <w:t>59</w:t>
                  </w:r>
                </w:p>
              </w:tc>
              <w:tc>
                <w:tcPr>
                  <w:tcW w:w="502" w:type="dxa"/>
                  <w:noWrap w:val="0"/>
                  <w:vAlign w:val="center"/>
                </w:tcPr>
                <w:p>
                  <w:pPr>
                    <w:jc w:val="center"/>
                    <w:rPr>
                      <w:szCs w:val="21"/>
                    </w:rPr>
                  </w:pPr>
                  <w:r>
                    <w:rPr>
                      <w:szCs w:val="21"/>
                    </w:rPr>
                    <w:t>57</w:t>
                  </w:r>
                </w:p>
              </w:tc>
              <w:tc>
                <w:tcPr>
                  <w:tcW w:w="556" w:type="dxa"/>
                  <w:noWrap w:val="0"/>
                  <w:vAlign w:val="center"/>
                </w:tcPr>
                <w:p>
                  <w:pPr>
                    <w:jc w:val="center"/>
                    <w:rPr>
                      <w:szCs w:val="21"/>
                    </w:rPr>
                  </w:pPr>
                  <w:r>
                    <w:rPr>
                      <w:szCs w:val="21"/>
                    </w:rPr>
                    <w:t>55</w:t>
                  </w:r>
                </w:p>
              </w:tc>
              <w:tc>
                <w:tcPr>
                  <w:tcW w:w="624" w:type="dxa"/>
                  <w:noWrap w:val="0"/>
                  <w:vAlign w:val="center"/>
                </w:tcPr>
                <w:p>
                  <w:pPr>
                    <w:jc w:val="center"/>
                    <w:rPr>
                      <w:szCs w:val="21"/>
                    </w:rPr>
                  </w:pPr>
                  <w:r>
                    <w:rPr>
                      <w:szCs w:val="21"/>
                    </w:rPr>
                    <w:t>49</w:t>
                  </w:r>
                </w:p>
              </w:tc>
              <w:tc>
                <w:tcPr>
                  <w:tcW w:w="624" w:type="dxa"/>
                  <w:noWrap w:val="0"/>
                  <w:vAlign w:val="center"/>
                </w:tcPr>
                <w:p>
                  <w:pPr>
                    <w:jc w:val="center"/>
                    <w:rPr>
                      <w:szCs w:val="21"/>
                    </w:rPr>
                  </w:pPr>
                  <w:r>
                    <w:rPr>
                      <w:szCs w:val="21"/>
                    </w:rPr>
                    <w:t>45</w:t>
                  </w:r>
                </w:p>
              </w:tc>
              <w:tc>
                <w:tcPr>
                  <w:tcW w:w="624" w:type="dxa"/>
                  <w:noWrap w:val="0"/>
                  <w:vAlign w:val="center"/>
                </w:tcPr>
                <w:p>
                  <w:pPr>
                    <w:jc w:val="center"/>
                    <w:rPr>
                      <w:szCs w:val="21"/>
                    </w:rPr>
                  </w:pPr>
                  <w:r>
                    <w:rPr>
                      <w:szCs w:val="21"/>
                    </w:rPr>
                    <w:t>43</w:t>
                  </w:r>
                </w:p>
              </w:tc>
              <w:tc>
                <w:tcPr>
                  <w:tcW w:w="624" w:type="dxa"/>
                  <w:noWrap w:val="0"/>
                  <w:vAlign w:val="center"/>
                </w:tcPr>
                <w:p>
                  <w:pPr>
                    <w:jc w:val="center"/>
                    <w:rPr>
                      <w:szCs w:val="21"/>
                    </w:rPr>
                  </w:pPr>
                  <w:r>
                    <w:rPr>
                      <w:szCs w:val="21"/>
                    </w:rPr>
                    <w:t>41</w:t>
                  </w:r>
                </w:p>
              </w:tc>
              <w:tc>
                <w:tcPr>
                  <w:tcW w:w="669" w:type="dxa"/>
                  <w:noWrap w:val="0"/>
                  <w:vAlign w:val="center"/>
                </w:tcPr>
                <w:p>
                  <w:pPr>
                    <w:jc w:val="center"/>
                    <w:rPr>
                      <w:szCs w:val="21"/>
                    </w:rPr>
                  </w:pPr>
                  <w:r>
                    <w:rPr>
                      <w:szCs w:val="21"/>
                    </w:rPr>
                    <w:t>39</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364" w:type="dxa"/>
                  <w:noWrap w:val="0"/>
                  <w:vAlign w:val="center"/>
                </w:tcPr>
                <w:p>
                  <w:pPr>
                    <w:jc w:val="center"/>
                    <w:rPr>
                      <w:kern w:val="0"/>
                      <w:szCs w:val="21"/>
                    </w:rPr>
                  </w:pPr>
                  <w:r>
                    <w:rPr>
                      <w:kern w:val="0"/>
                      <w:szCs w:val="21"/>
                    </w:rPr>
                    <w:t>5</w:t>
                  </w:r>
                </w:p>
              </w:tc>
              <w:tc>
                <w:tcPr>
                  <w:tcW w:w="1536" w:type="dxa"/>
                  <w:noWrap w:val="0"/>
                  <w:vAlign w:val="top"/>
                </w:tcPr>
                <w:p>
                  <w:pPr>
                    <w:adjustRightInd w:val="0"/>
                    <w:jc w:val="center"/>
                    <w:rPr>
                      <w:szCs w:val="21"/>
                    </w:rPr>
                  </w:pPr>
                  <w:r>
                    <w:rPr>
                      <w:rFonts w:hAnsi="宋体"/>
                      <w:szCs w:val="21"/>
                    </w:rPr>
                    <w:t>轻型载重车</w:t>
                  </w:r>
                </w:p>
              </w:tc>
              <w:tc>
                <w:tcPr>
                  <w:tcW w:w="813" w:type="dxa"/>
                  <w:noWrap w:val="0"/>
                  <w:vAlign w:val="center"/>
                </w:tcPr>
                <w:p>
                  <w:pPr>
                    <w:jc w:val="center"/>
                    <w:rPr>
                      <w:szCs w:val="21"/>
                    </w:rPr>
                  </w:pPr>
                  <w:r>
                    <w:rPr>
                      <w:szCs w:val="21"/>
                    </w:rPr>
                    <w:t>69</w:t>
                  </w:r>
                </w:p>
              </w:tc>
              <w:tc>
                <w:tcPr>
                  <w:tcW w:w="521" w:type="dxa"/>
                  <w:noWrap w:val="0"/>
                  <w:vAlign w:val="center"/>
                </w:tcPr>
                <w:p>
                  <w:pPr>
                    <w:jc w:val="center"/>
                    <w:rPr>
                      <w:szCs w:val="21"/>
                    </w:rPr>
                  </w:pPr>
                  <w:r>
                    <w:rPr>
                      <w:szCs w:val="21"/>
                    </w:rPr>
                    <w:t>49</w:t>
                  </w:r>
                </w:p>
              </w:tc>
              <w:tc>
                <w:tcPr>
                  <w:tcW w:w="502" w:type="dxa"/>
                  <w:noWrap w:val="0"/>
                  <w:vAlign w:val="center"/>
                </w:tcPr>
                <w:p>
                  <w:pPr>
                    <w:jc w:val="center"/>
                    <w:rPr>
                      <w:szCs w:val="21"/>
                    </w:rPr>
                  </w:pPr>
                  <w:r>
                    <w:rPr>
                      <w:szCs w:val="21"/>
                    </w:rPr>
                    <w:t>43</w:t>
                  </w:r>
                </w:p>
              </w:tc>
              <w:tc>
                <w:tcPr>
                  <w:tcW w:w="538" w:type="dxa"/>
                  <w:noWrap w:val="0"/>
                  <w:vAlign w:val="center"/>
                </w:tcPr>
                <w:p>
                  <w:pPr>
                    <w:jc w:val="center"/>
                    <w:rPr>
                      <w:szCs w:val="21"/>
                    </w:rPr>
                  </w:pPr>
                  <w:r>
                    <w:rPr>
                      <w:szCs w:val="21"/>
                    </w:rPr>
                    <w:t>39</w:t>
                  </w:r>
                </w:p>
              </w:tc>
              <w:tc>
                <w:tcPr>
                  <w:tcW w:w="502" w:type="dxa"/>
                  <w:noWrap w:val="0"/>
                  <w:vAlign w:val="center"/>
                </w:tcPr>
                <w:p>
                  <w:pPr>
                    <w:jc w:val="center"/>
                    <w:rPr>
                      <w:szCs w:val="21"/>
                    </w:rPr>
                  </w:pPr>
                  <w:r>
                    <w:rPr>
                      <w:szCs w:val="21"/>
                    </w:rPr>
                    <w:t>37</w:t>
                  </w:r>
                </w:p>
              </w:tc>
              <w:tc>
                <w:tcPr>
                  <w:tcW w:w="556" w:type="dxa"/>
                  <w:noWrap w:val="0"/>
                  <w:vAlign w:val="center"/>
                </w:tcPr>
                <w:p>
                  <w:pPr>
                    <w:jc w:val="center"/>
                    <w:rPr>
                      <w:szCs w:val="21"/>
                    </w:rPr>
                  </w:pPr>
                  <w:r>
                    <w:rPr>
                      <w:szCs w:val="21"/>
                    </w:rPr>
                    <w:t>35</w:t>
                  </w:r>
                </w:p>
              </w:tc>
              <w:tc>
                <w:tcPr>
                  <w:tcW w:w="624" w:type="dxa"/>
                  <w:noWrap w:val="0"/>
                  <w:vAlign w:val="center"/>
                </w:tcPr>
                <w:p>
                  <w:pPr>
                    <w:jc w:val="center"/>
                    <w:rPr>
                      <w:szCs w:val="21"/>
                    </w:rPr>
                  </w:pPr>
                  <w:r>
                    <w:rPr>
                      <w:szCs w:val="21"/>
                    </w:rPr>
                    <w:t>29</w:t>
                  </w:r>
                </w:p>
              </w:tc>
              <w:tc>
                <w:tcPr>
                  <w:tcW w:w="624" w:type="dxa"/>
                  <w:noWrap w:val="0"/>
                  <w:vAlign w:val="center"/>
                </w:tcPr>
                <w:p>
                  <w:pPr>
                    <w:jc w:val="center"/>
                    <w:rPr>
                      <w:szCs w:val="21"/>
                    </w:rPr>
                  </w:pPr>
                  <w:r>
                    <w:rPr>
                      <w:szCs w:val="21"/>
                    </w:rPr>
                    <w:t>25</w:t>
                  </w:r>
                </w:p>
              </w:tc>
              <w:tc>
                <w:tcPr>
                  <w:tcW w:w="624" w:type="dxa"/>
                  <w:noWrap w:val="0"/>
                  <w:vAlign w:val="center"/>
                </w:tcPr>
                <w:p>
                  <w:pPr>
                    <w:jc w:val="center"/>
                    <w:rPr>
                      <w:szCs w:val="21"/>
                    </w:rPr>
                  </w:pPr>
                  <w:r>
                    <w:rPr>
                      <w:szCs w:val="21"/>
                    </w:rPr>
                    <w:t>23</w:t>
                  </w:r>
                </w:p>
              </w:tc>
              <w:tc>
                <w:tcPr>
                  <w:tcW w:w="624" w:type="dxa"/>
                  <w:noWrap w:val="0"/>
                  <w:vAlign w:val="center"/>
                </w:tcPr>
                <w:p>
                  <w:pPr>
                    <w:jc w:val="center"/>
                    <w:rPr>
                      <w:szCs w:val="21"/>
                    </w:rPr>
                  </w:pPr>
                  <w:r>
                    <w:rPr>
                      <w:szCs w:val="21"/>
                    </w:rPr>
                    <w:t>21</w:t>
                  </w:r>
                </w:p>
              </w:tc>
              <w:tc>
                <w:tcPr>
                  <w:tcW w:w="669" w:type="dxa"/>
                  <w:noWrap w:val="0"/>
                  <w:vAlign w:val="center"/>
                </w:tcPr>
                <w:p>
                  <w:pPr>
                    <w:jc w:val="center"/>
                    <w:rPr>
                      <w:szCs w:val="21"/>
                    </w:rPr>
                  </w:pPr>
                  <w:r>
                    <w:rPr>
                      <w:szCs w:val="21"/>
                    </w:rPr>
                    <w:t>19</w:t>
                  </w:r>
                </w:p>
              </w:tc>
              <w:tc>
                <w:tcPr>
                  <w:tcW w:w="493" w:type="dxa"/>
                  <w:vMerge w:val="continue"/>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wBefore w:w="0" w:type="dxa"/>
                <w:wAfter w:w="0" w:type="dxa"/>
                <w:trHeight w:val="340" w:hRule="atLeast"/>
              </w:trPr>
              <w:tc>
                <w:tcPr>
                  <w:tcW w:w="1900" w:type="dxa"/>
                  <w:gridSpan w:val="2"/>
                  <w:noWrap w:val="0"/>
                  <w:vAlign w:val="center"/>
                </w:tcPr>
                <w:p>
                  <w:pPr>
                    <w:adjustRightInd w:val="0"/>
                    <w:jc w:val="center"/>
                    <w:rPr>
                      <w:szCs w:val="21"/>
                    </w:rPr>
                  </w:pPr>
                  <w:r>
                    <w:rPr>
                      <w:rFonts w:hAnsi="宋体"/>
                      <w:szCs w:val="21"/>
                    </w:rPr>
                    <w:t>多声源叠加值</w:t>
                  </w:r>
                </w:p>
              </w:tc>
              <w:tc>
                <w:tcPr>
                  <w:tcW w:w="813" w:type="dxa"/>
                  <w:noWrap w:val="0"/>
                  <w:vAlign w:val="center"/>
                </w:tcPr>
                <w:p>
                  <w:pPr>
                    <w:jc w:val="center"/>
                    <w:rPr>
                      <w:szCs w:val="21"/>
                    </w:rPr>
                  </w:pPr>
                  <w:r>
                    <w:rPr>
                      <w:szCs w:val="21"/>
                    </w:rPr>
                    <w:t>105.4</w:t>
                  </w:r>
                </w:p>
              </w:tc>
              <w:tc>
                <w:tcPr>
                  <w:tcW w:w="521" w:type="dxa"/>
                  <w:noWrap w:val="0"/>
                  <w:vAlign w:val="center"/>
                </w:tcPr>
                <w:p>
                  <w:pPr>
                    <w:jc w:val="center"/>
                    <w:rPr>
                      <w:szCs w:val="21"/>
                    </w:rPr>
                  </w:pPr>
                  <w:r>
                    <w:rPr>
                      <w:szCs w:val="21"/>
                    </w:rPr>
                    <w:t>85.4</w:t>
                  </w:r>
                </w:p>
              </w:tc>
              <w:tc>
                <w:tcPr>
                  <w:tcW w:w="502" w:type="dxa"/>
                  <w:noWrap w:val="0"/>
                  <w:vAlign w:val="center"/>
                </w:tcPr>
                <w:p>
                  <w:pPr>
                    <w:jc w:val="center"/>
                    <w:rPr>
                      <w:szCs w:val="21"/>
                    </w:rPr>
                  </w:pPr>
                  <w:r>
                    <w:rPr>
                      <w:szCs w:val="21"/>
                    </w:rPr>
                    <w:t>79.4</w:t>
                  </w:r>
                </w:p>
              </w:tc>
              <w:tc>
                <w:tcPr>
                  <w:tcW w:w="538" w:type="dxa"/>
                  <w:noWrap w:val="0"/>
                  <w:vAlign w:val="center"/>
                </w:tcPr>
                <w:p>
                  <w:pPr>
                    <w:jc w:val="center"/>
                    <w:rPr>
                      <w:szCs w:val="21"/>
                    </w:rPr>
                  </w:pPr>
                  <w:r>
                    <w:rPr>
                      <w:szCs w:val="21"/>
                    </w:rPr>
                    <w:t>75.4</w:t>
                  </w:r>
                </w:p>
              </w:tc>
              <w:tc>
                <w:tcPr>
                  <w:tcW w:w="502" w:type="dxa"/>
                  <w:noWrap w:val="0"/>
                  <w:vAlign w:val="center"/>
                </w:tcPr>
                <w:p>
                  <w:pPr>
                    <w:jc w:val="center"/>
                    <w:rPr>
                      <w:szCs w:val="21"/>
                    </w:rPr>
                  </w:pPr>
                  <w:r>
                    <w:rPr>
                      <w:szCs w:val="21"/>
                    </w:rPr>
                    <w:t>73.4</w:t>
                  </w:r>
                </w:p>
              </w:tc>
              <w:tc>
                <w:tcPr>
                  <w:tcW w:w="556" w:type="dxa"/>
                  <w:noWrap w:val="0"/>
                  <w:vAlign w:val="center"/>
                </w:tcPr>
                <w:p>
                  <w:pPr>
                    <w:jc w:val="center"/>
                    <w:rPr>
                      <w:szCs w:val="21"/>
                    </w:rPr>
                  </w:pPr>
                  <w:r>
                    <w:rPr>
                      <w:szCs w:val="21"/>
                    </w:rPr>
                    <w:t>71.4</w:t>
                  </w:r>
                </w:p>
              </w:tc>
              <w:tc>
                <w:tcPr>
                  <w:tcW w:w="624" w:type="dxa"/>
                  <w:noWrap w:val="0"/>
                  <w:vAlign w:val="center"/>
                </w:tcPr>
                <w:p>
                  <w:pPr>
                    <w:jc w:val="center"/>
                    <w:rPr>
                      <w:szCs w:val="21"/>
                    </w:rPr>
                  </w:pPr>
                  <w:r>
                    <w:rPr>
                      <w:szCs w:val="21"/>
                    </w:rPr>
                    <w:t>65.4</w:t>
                  </w:r>
                </w:p>
              </w:tc>
              <w:tc>
                <w:tcPr>
                  <w:tcW w:w="624" w:type="dxa"/>
                  <w:noWrap w:val="0"/>
                  <w:vAlign w:val="center"/>
                </w:tcPr>
                <w:p>
                  <w:pPr>
                    <w:jc w:val="center"/>
                    <w:rPr>
                      <w:szCs w:val="21"/>
                    </w:rPr>
                  </w:pPr>
                  <w:r>
                    <w:rPr>
                      <w:szCs w:val="21"/>
                    </w:rPr>
                    <w:t>61.4</w:t>
                  </w:r>
                </w:p>
              </w:tc>
              <w:tc>
                <w:tcPr>
                  <w:tcW w:w="624" w:type="dxa"/>
                  <w:noWrap w:val="0"/>
                  <w:vAlign w:val="center"/>
                </w:tcPr>
                <w:p>
                  <w:pPr>
                    <w:jc w:val="center"/>
                    <w:rPr>
                      <w:szCs w:val="21"/>
                    </w:rPr>
                  </w:pPr>
                  <w:r>
                    <w:rPr>
                      <w:szCs w:val="21"/>
                    </w:rPr>
                    <w:t>59.4</w:t>
                  </w:r>
                </w:p>
              </w:tc>
              <w:tc>
                <w:tcPr>
                  <w:tcW w:w="624" w:type="dxa"/>
                  <w:noWrap w:val="0"/>
                  <w:vAlign w:val="center"/>
                </w:tcPr>
                <w:p>
                  <w:pPr>
                    <w:jc w:val="center"/>
                    <w:rPr>
                      <w:szCs w:val="21"/>
                    </w:rPr>
                  </w:pPr>
                  <w:r>
                    <w:rPr>
                      <w:szCs w:val="21"/>
                    </w:rPr>
                    <w:t>57.4</w:t>
                  </w:r>
                </w:p>
              </w:tc>
              <w:tc>
                <w:tcPr>
                  <w:tcW w:w="669" w:type="dxa"/>
                  <w:noWrap w:val="0"/>
                  <w:vAlign w:val="center"/>
                </w:tcPr>
                <w:p>
                  <w:pPr>
                    <w:jc w:val="center"/>
                    <w:rPr>
                      <w:szCs w:val="21"/>
                    </w:rPr>
                  </w:pPr>
                  <w:r>
                    <w:rPr>
                      <w:szCs w:val="21"/>
                    </w:rPr>
                    <w:t>55.4</w:t>
                  </w:r>
                </w:p>
              </w:tc>
              <w:tc>
                <w:tcPr>
                  <w:tcW w:w="493" w:type="dxa"/>
                  <w:vMerge w:val="continue"/>
                  <w:noWrap w:val="0"/>
                  <w:vAlign w:val="center"/>
                </w:tcPr>
                <w:p>
                  <w:pPr>
                    <w:jc w:val="center"/>
                    <w:rPr>
                      <w:szCs w:val="21"/>
                    </w:rPr>
                  </w:pPr>
                </w:p>
              </w:tc>
            </w:tr>
          </w:tbl>
          <w:p>
            <w:pPr>
              <w:pStyle w:val="73"/>
              <w:spacing w:before="156" w:beforeLines="50" w:line="360" w:lineRule="auto"/>
              <w:ind w:firstLine="480" w:firstLineChars="200"/>
              <w:rPr>
                <w:rFonts w:hint="eastAsia"/>
                <w:szCs w:val="24"/>
              </w:rPr>
            </w:pPr>
            <w:r>
              <w:rPr>
                <w:rFonts w:hint="eastAsia"/>
                <w:szCs w:val="24"/>
              </w:rPr>
              <w:t>由表7-2可知，</w:t>
            </w:r>
            <w:r>
              <w:rPr>
                <w:szCs w:val="24"/>
              </w:rPr>
              <w:t>在基础</w:t>
            </w:r>
            <w:r>
              <w:rPr>
                <w:rFonts w:hint="eastAsia"/>
                <w:szCs w:val="24"/>
              </w:rPr>
              <w:t>开挖</w:t>
            </w:r>
            <w:r>
              <w:rPr>
                <w:szCs w:val="24"/>
              </w:rPr>
              <w:t>阶段，昼间</w:t>
            </w:r>
            <w:r>
              <w:rPr>
                <w:rFonts w:hint="eastAsia"/>
                <w:szCs w:val="24"/>
              </w:rPr>
              <w:t>10</w:t>
            </w:r>
            <w:r>
              <w:rPr>
                <w:szCs w:val="24"/>
              </w:rPr>
              <w:t>m、夜间</w:t>
            </w:r>
            <w:r>
              <w:rPr>
                <w:rFonts w:hint="eastAsia"/>
                <w:szCs w:val="24"/>
              </w:rPr>
              <w:t>70</w:t>
            </w:r>
            <w:r>
              <w:rPr>
                <w:szCs w:val="24"/>
              </w:rPr>
              <w:t>m处的预测值能满足GB12523-2011《建筑施工场界环境噪声排放标准》；在</w:t>
            </w:r>
            <w:r>
              <w:rPr>
                <w:rFonts w:hAnsi="宋体"/>
              </w:rPr>
              <w:t>底板与结构阶段</w:t>
            </w:r>
            <w:r>
              <w:rPr>
                <w:szCs w:val="24"/>
              </w:rPr>
              <w:t>，昼间</w:t>
            </w:r>
            <w:r>
              <w:rPr>
                <w:rFonts w:hint="eastAsia"/>
                <w:szCs w:val="24"/>
              </w:rPr>
              <w:t>40</w:t>
            </w:r>
            <w:r>
              <w:rPr>
                <w:szCs w:val="24"/>
              </w:rPr>
              <w:t>m、夜间</w:t>
            </w:r>
            <w:r>
              <w:rPr>
                <w:rFonts w:hint="eastAsia"/>
                <w:szCs w:val="24"/>
              </w:rPr>
              <w:t>200</w:t>
            </w:r>
            <w:r>
              <w:rPr>
                <w:szCs w:val="24"/>
              </w:rPr>
              <w:t>m处的预测值能满足GB12523-2011《建筑施工场界环境噪声排放标准》；在</w:t>
            </w:r>
            <w:r>
              <w:rPr>
                <w:rFonts w:hAnsi="宋体"/>
              </w:rPr>
              <w:t>装修安装阶段</w:t>
            </w:r>
            <w:r>
              <w:rPr>
                <w:szCs w:val="24"/>
              </w:rPr>
              <w:t>，昼间</w:t>
            </w:r>
            <w:r>
              <w:rPr>
                <w:rFonts w:hint="eastAsia"/>
                <w:szCs w:val="24"/>
              </w:rPr>
              <w:t>70</w:t>
            </w:r>
            <w:r>
              <w:rPr>
                <w:szCs w:val="24"/>
              </w:rPr>
              <w:t>m、夜间</w:t>
            </w:r>
            <w:r>
              <w:rPr>
                <w:rFonts w:hint="eastAsia"/>
                <w:szCs w:val="24"/>
              </w:rPr>
              <w:t>300</w:t>
            </w:r>
            <w:r>
              <w:rPr>
                <w:szCs w:val="24"/>
              </w:rPr>
              <w:t>m以外的预测值才能满足GB12523-2011《建筑施工场界环境噪声排放标准》</w:t>
            </w:r>
            <w:r>
              <w:rPr>
                <w:rFonts w:hint="eastAsia"/>
                <w:szCs w:val="24"/>
              </w:rPr>
              <w:t>。</w:t>
            </w:r>
          </w:p>
          <w:p>
            <w:pPr>
              <w:tabs>
                <w:tab w:val="left" w:pos="2040"/>
              </w:tabs>
              <w:autoSpaceDE w:val="0"/>
              <w:autoSpaceDN w:val="0"/>
              <w:adjustRightInd w:val="0"/>
              <w:spacing w:line="360" w:lineRule="auto"/>
              <w:ind w:firstLine="480" w:firstLineChars="200"/>
              <w:rPr>
                <w:sz w:val="24"/>
              </w:rPr>
            </w:pPr>
            <w:r>
              <w:rPr>
                <w:sz w:val="24"/>
              </w:rPr>
              <w:t>鉴于施工机械在施工现场内一定区域内移动，预测值是以施工机械工作位置为项目厂界和施工机械同时运行计算，而实际运行中施工机械不会全部同时使用，实际运行过程中，由于声屏障、空气吸收等衰减，一般施工机械</w:t>
            </w:r>
            <w:r>
              <w:rPr>
                <w:rFonts w:hint="eastAsia"/>
                <w:sz w:val="24"/>
              </w:rPr>
              <w:t>70</w:t>
            </w:r>
            <w:r>
              <w:rPr>
                <w:sz w:val="24"/>
              </w:rPr>
              <w:t>m左右可以达到施工场界噪声要求，而达到声环境2类区的要求需要70～100m的距离衰减，</w:t>
            </w:r>
            <w:r>
              <w:rPr>
                <w:rFonts w:hint="eastAsia"/>
                <w:sz w:val="24"/>
              </w:rPr>
              <w:t>可见</w:t>
            </w:r>
            <w:r>
              <w:rPr>
                <w:sz w:val="24"/>
              </w:rPr>
              <w:t>实际影响值会小于预测值</w:t>
            </w:r>
            <w:r>
              <w:rPr>
                <w:rFonts w:hint="eastAsia"/>
                <w:sz w:val="24"/>
              </w:rPr>
              <w:t>。</w:t>
            </w:r>
            <w:r>
              <w:rPr>
                <w:sz w:val="24"/>
              </w:rPr>
              <w:t>因此，</w:t>
            </w:r>
            <w:r>
              <w:rPr>
                <w:rFonts w:hint="eastAsia"/>
                <w:sz w:val="24"/>
              </w:rPr>
              <w:t>施工噪声的影响范围主要集中在施工机械工作位置周围100米范围内</w:t>
            </w:r>
            <w:r>
              <w:rPr>
                <w:sz w:val="24"/>
              </w:rPr>
              <w:t>。为了最大限度的降低施工噪声对</w:t>
            </w:r>
            <w:r>
              <w:rPr>
                <w:rFonts w:hint="eastAsia"/>
                <w:sz w:val="24"/>
              </w:rPr>
              <w:t>周边敏感目标</w:t>
            </w:r>
            <w:r>
              <w:rPr>
                <w:sz w:val="24"/>
              </w:rPr>
              <w:t>的影响，在施工期，建设方应合理安排工期，尽可能采取降噪措施，项目减少施工噪声扰民的对策措施如下所述。</w:t>
            </w:r>
          </w:p>
          <w:p>
            <w:pPr>
              <w:spacing w:line="360" w:lineRule="auto"/>
              <w:ind w:firstLine="480" w:firstLineChars="200"/>
              <w:rPr>
                <w:sz w:val="24"/>
              </w:rPr>
            </w:pPr>
            <w:r>
              <w:rPr>
                <w:sz w:val="24"/>
              </w:rPr>
              <w:t>（2）减缓措施</w:t>
            </w:r>
          </w:p>
          <w:p>
            <w:pPr>
              <w:spacing w:line="360" w:lineRule="auto"/>
              <w:ind w:firstLine="480" w:firstLineChars="200"/>
              <w:rPr>
                <w:sz w:val="24"/>
              </w:rPr>
            </w:pPr>
            <w:r>
              <w:rPr>
                <w:sz w:val="24"/>
              </w:rPr>
              <w:t>①注意考虑施工机械设备（如搅拌、切割等加工装置）的摆放位置，使其尽量远离居民区，减少噪声扰民。必要时可采取临时的隔声围护结构。</w:t>
            </w:r>
          </w:p>
          <w:p>
            <w:pPr>
              <w:spacing w:line="360" w:lineRule="auto"/>
              <w:ind w:firstLine="480" w:firstLineChars="200"/>
              <w:rPr>
                <w:sz w:val="24"/>
              </w:rPr>
            </w:pPr>
            <w:r>
              <w:rPr>
                <w:sz w:val="24"/>
              </w:rPr>
              <w:t>②加强施工机械的维护保养，避免由于设备性能降低而使机械噪声增大现象的发生。</w:t>
            </w:r>
          </w:p>
          <w:p>
            <w:pPr>
              <w:spacing w:line="360" w:lineRule="auto"/>
              <w:ind w:firstLine="480" w:firstLineChars="200"/>
              <w:rPr>
                <w:sz w:val="24"/>
              </w:rPr>
            </w:pPr>
            <w:r>
              <w:rPr>
                <w:sz w:val="24"/>
              </w:rPr>
              <w:t>③施工单位在施工期间应采取噪声防治措施：建筑施工单位应当采取有效措施，降低施工噪声污染，所排放的建筑施工噪声，应当符合国家规定的建筑施工场界噪声限值。机动车辆，应当安装完整有效的消声设备和符合规定的喇叭，整车噪声应当符合机动车辆噪声排放标准。</w:t>
            </w:r>
          </w:p>
          <w:p>
            <w:pPr>
              <w:spacing w:line="360" w:lineRule="auto"/>
              <w:ind w:firstLine="480" w:firstLineChars="200"/>
              <w:rPr>
                <w:rFonts w:hint="eastAsia"/>
                <w:sz w:val="24"/>
              </w:rPr>
            </w:pPr>
            <w:r>
              <w:rPr>
                <w:sz w:val="24"/>
              </w:rPr>
              <w:t>④合理调整高噪声设备的使用时间，优化施工工艺，同时应合理布置施工作业面，选择最佳的运输车辆进厂道路，避免交通噪声对外环境的影响。</w:t>
            </w:r>
          </w:p>
          <w:p>
            <w:pPr>
              <w:pStyle w:val="73"/>
              <w:spacing w:before="0" w:line="360" w:lineRule="auto"/>
              <w:ind w:firstLine="480" w:firstLineChars="200"/>
              <w:rPr>
                <w:rFonts w:hAnsi="宋体"/>
              </w:rPr>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hAnsi="宋体"/>
              </w:rPr>
              <w:t>禁止在12时至14时、22时至次日6时进行建筑施工作业。</w:t>
            </w:r>
          </w:p>
          <w:p>
            <w:pPr>
              <w:spacing w:line="360" w:lineRule="auto"/>
              <w:ind w:firstLine="482" w:firstLineChars="200"/>
              <w:rPr>
                <w:rFonts w:hint="eastAsia" w:hAnsi="宋体"/>
                <w:b/>
                <w:sz w:val="24"/>
              </w:rPr>
            </w:pPr>
            <w:r>
              <w:rPr>
                <w:rFonts w:hint="eastAsia" w:hAnsi="宋体"/>
                <w:b/>
                <w:sz w:val="24"/>
              </w:rPr>
              <w:t>5、施工期生态影响及防治措施</w:t>
            </w:r>
          </w:p>
          <w:p>
            <w:pPr>
              <w:pStyle w:val="73"/>
              <w:spacing w:before="0" w:line="360" w:lineRule="auto"/>
              <w:ind w:firstLine="480" w:firstLineChars="200"/>
              <w:rPr>
                <w:rFonts w:hint="eastAsia" w:hAnsi="宋体"/>
              </w:rPr>
            </w:pPr>
            <w:r>
              <w:rPr>
                <w:rFonts w:hAnsi="宋体"/>
              </w:rPr>
              <w:t>工程</w:t>
            </w:r>
            <w:r>
              <w:rPr>
                <w:rFonts w:hAnsi="宋体"/>
                <w:szCs w:val="24"/>
              </w:rPr>
              <w:t>施工</w:t>
            </w:r>
            <w:r>
              <w:rPr>
                <w:rFonts w:hAnsi="宋体"/>
              </w:rPr>
              <w:t>期对生态的影响主要是土石方开挖、填筑、机械碾压等施工活动，破坏了工程区域原有地貌和植被，造成一定植被的损失；扰动了表土结构，土壤抗蚀能力降低，损坏了原有的水土保持设施，导致地表裸露，在地表径流的作用下，会造水土流失，加大水土流失量，破坏生态，恶化环境。施工期流失的土石随着地表径流将进入附近</w:t>
            </w:r>
            <w:r>
              <w:rPr>
                <w:rFonts w:hint="eastAsia" w:hAnsi="宋体"/>
              </w:rPr>
              <w:t>水体</w:t>
            </w:r>
            <w:r>
              <w:rPr>
                <w:rFonts w:hAnsi="宋体"/>
              </w:rPr>
              <w:t>，携带土壤中营养元素进入水体，从而使附近水体浑浊度增加，污染物含量增加。同时，携带的泥沙在流速降低后将产生沉降，造成附近</w:t>
            </w:r>
            <w:r>
              <w:rPr>
                <w:rFonts w:hint="eastAsia" w:hAnsi="宋体"/>
              </w:rPr>
              <w:t>河道</w:t>
            </w:r>
            <w:r>
              <w:rPr>
                <w:rFonts w:hAnsi="宋体"/>
              </w:rPr>
              <w:t>的淤积。</w:t>
            </w:r>
          </w:p>
          <w:p>
            <w:pPr>
              <w:pStyle w:val="73"/>
              <w:spacing w:before="0" w:line="360" w:lineRule="auto"/>
              <w:ind w:firstLine="480" w:firstLineChars="200"/>
              <w:rPr>
                <w:rFonts w:hAnsi="宋体"/>
              </w:rPr>
            </w:pPr>
            <w:r>
              <w:rPr>
                <w:rFonts w:hint="eastAsia" w:eastAsia="新宋体"/>
              </w:rPr>
              <w:t>由于项目西侧靠近头</w:t>
            </w:r>
            <w:r>
              <w:rPr>
                <w:rFonts w:eastAsia="新宋体"/>
              </w:rPr>
              <w:t>道</w:t>
            </w:r>
            <w:r>
              <w:rPr>
                <w:rFonts w:hint="eastAsia" w:eastAsia="新宋体"/>
              </w:rPr>
              <w:t>河，距离较近。为了防止施工期废水排入头道河，</w:t>
            </w:r>
            <w:r>
              <w:rPr>
                <w:rFonts w:hint="eastAsia"/>
              </w:rPr>
              <w:t>靠近</w:t>
            </w:r>
            <w:r>
              <w:rPr>
                <w:rFonts w:hint="eastAsia" w:eastAsia="新宋体"/>
              </w:rPr>
              <w:t>头</w:t>
            </w:r>
            <w:r>
              <w:rPr>
                <w:rFonts w:eastAsia="新宋体"/>
              </w:rPr>
              <w:t>道</w:t>
            </w:r>
            <w:r>
              <w:rPr>
                <w:rFonts w:hint="eastAsia" w:eastAsia="新宋体"/>
              </w:rPr>
              <w:t>河</w:t>
            </w:r>
            <w:r>
              <w:rPr>
                <w:rFonts w:hint="eastAsia"/>
              </w:rPr>
              <w:t>一侧的施工场地，采取先建设施工围挡的措施，避免施工废水流入</w:t>
            </w:r>
            <w:r>
              <w:rPr>
                <w:rFonts w:hint="eastAsia" w:eastAsia="新宋体"/>
              </w:rPr>
              <w:t>头道河</w:t>
            </w:r>
            <w:r>
              <w:rPr>
                <w:rFonts w:hint="eastAsia"/>
              </w:rPr>
              <w:t>并减缓施工挖方临时堆放引起的水土流失。</w:t>
            </w:r>
          </w:p>
          <w:p>
            <w:pPr>
              <w:pStyle w:val="73"/>
              <w:spacing w:before="0" w:line="360" w:lineRule="auto"/>
              <w:ind w:firstLine="480" w:firstLineChars="200"/>
              <w:rPr>
                <w:szCs w:val="24"/>
              </w:rPr>
            </w:pPr>
            <w:r>
              <w:rPr>
                <w:rFonts w:hAnsi="宋体"/>
                <w:szCs w:val="24"/>
              </w:rPr>
              <w:t>工程施工的土石方开挖将毁掉原来的生态系统，使区域绿地面积减少，生态环境减弱，同时施工期的尘土、噪声会对区域内的动物、植物产生不良的影响，产生的粉尘将影响附近植物的光合作用，间接影响了以植物为食的动物的正常繁殖，影响区域生态系统功能的正常发挥。</w:t>
            </w:r>
          </w:p>
          <w:p>
            <w:pPr>
              <w:pStyle w:val="73"/>
              <w:spacing w:before="0" w:line="360" w:lineRule="auto"/>
              <w:ind w:firstLine="480" w:firstLineChars="200"/>
            </w:pPr>
            <w:r>
              <w:rPr>
                <w:rFonts w:hAnsi="宋体"/>
              </w:rPr>
              <w:t>在项目建设过程尽量减少土方开挖和运输，既减少对环境的影响，同时又能对生态保护起到一定作用。在区块内部土地开挖工程施工时应注意对区域附近河流的保护，防止将废渣冲入河道，严禁泥浆水未经处理直接排放，控制区块的水土流失。由于本项目建设期为</w:t>
            </w:r>
            <w:r>
              <w:rPr>
                <w:rFonts w:hint="eastAsia" w:hAnsi="宋体"/>
              </w:rPr>
              <w:t>12个月</w:t>
            </w:r>
            <w:r>
              <w:rPr>
                <w:rFonts w:hAnsi="宋体"/>
              </w:rPr>
              <w:t>，上述影响仅为短期影响，但是在施工期过后，建设方仍需对</w:t>
            </w:r>
            <w:r>
              <w:rPr>
                <w:rFonts w:hint="eastAsia" w:hAnsi="宋体"/>
              </w:rPr>
              <w:t>厂址</w:t>
            </w:r>
            <w:r>
              <w:rPr>
                <w:rFonts w:hAnsi="宋体"/>
              </w:rPr>
              <w:t>内外进行绿化等生态补偿工作，以消减生态影响程度，减少环境损失，改善区域生态系统功能。</w:t>
            </w:r>
          </w:p>
          <w:p>
            <w:pPr>
              <w:spacing w:line="360" w:lineRule="auto"/>
              <w:ind w:firstLine="482" w:firstLineChars="200"/>
              <w:rPr>
                <w:rFonts w:hint="eastAsia" w:hAnsi="宋体"/>
                <w:b/>
                <w:sz w:val="24"/>
              </w:rPr>
            </w:pPr>
            <w:r>
              <w:rPr>
                <w:rFonts w:hint="eastAsia" w:hAnsi="宋体"/>
                <w:b/>
                <w:sz w:val="24"/>
              </w:rPr>
              <w:t>6、施工期水土流失简析</w:t>
            </w:r>
          </w:p>
          <w:p>
            <w:pPr>
              <w:pStyle w:val="73"/>
              <w:spacing w:before="0" w:line="360" w:lineRule="auto"/>
              <w:ind w:firstLine="480" w:firstLineChars="200"/>
            </w:pPr>
            <w:r>
              <w:t>项目建设施工过程中场地平整、建筑物基础的开挖、道路的修筑等施工活动，将破坏这部分地表</w:t>
            </w:r>
            <w:r>
              <w:rPr>
                <w:rFonts w:hint="eastAsia"/>
              </w:rPr>
              <w:t>，</w:t>
            </w:r>
            <w:r>
              <w:t>使表土裸露、松动，土壤抗蚀能力减弱，在雨季时土壤被侵蚀强度将加大，会造成一定程度的水土流失。</w:t>
            </w:r>
            <w:r>
              <w:rPr>
                <w:rFonts w:hint="eastAsia" w:eastAsia="新宋体"/>
              </w:rPr>
              <w:t>由于项目东南侧靠近头道河，距离较近。为了防止施工期废水排入头</w:t>
            </w:r>
            <w:r>
              <w:rPr>
                <w:rFonts w:eastAsia="新宋体"/>
              </w:rPr>
              <w:t>道河</w:t>
            </w:r>
            <w:r>
              <w:rPr>
                <w:rFonts w:hint="eastAsia" w:eastAsia="新宋体"/>
              </w:rPr>
              <w:t>，</w:t>
            </w:r>
            <w:r>
              <w:rPr>
                <w:rFonts w:hint="eastAsia"/>
              </w:rPr>
              <w:t>靠近</w:t>
            </w:r>
            <w:r>
              <w:rPr>
                <w:rFonts w:hint="eastAsia" w:eastAsia="新宋体"/>
              </w:rPr>
              <w:t>头道河</w:t>
            </w:r>
            <w:r>
              <w:rPr>
                <w:rFonts w:hint="eastAsia"/>
              </w:rPr>
              <w:t>一侧的施工场地，采取先建设施工围挡的措施，避免施工废水流入</w:t>
            </w:r>
            <w:r>
              <w:rPr>
                <w:rFonts w:hint="eastAsia" w:eastAsia="新宋体"/>
              </w:rPr>
              <w:t>头道河</w:t>
            </w:r>
            <w:r>
              <w:rPr>
                <w:rFonts w:hint="eastAsia"/>
              </w:rPr>
              <w:t>并减缓施工挖方临时堆放引起的水土流失。</w:t>
            </w:r>
            <w:r>
              <w:t>因项目扰动面积很小，引起的水土流失量不大。只要注意挡拦和防护措施，可大大减少水土流失量。</w:t>
            </w:r>
          </w:p>
          <w:p>
            <w:pPr>
              <w:spacing w:line="360" w:lineRule="auto"/>
              <w:ind w:firstLine="480" w:firstLineChars="200"/>
              <w:rPr>
                <w:rFonts w:hint="eastAsia" w:hAnsi="宋体"/>
                <w:snapToGrid w:val="0"/>
                <w:sz w:val="24"/>
              </w:rPr>
            </w:pPr>
            <w:r>
              <w:rPr>
                <w:rFonts w:hAnsi="宋体"/>
                <w:snapToGrid w:val="0"/>
                <w:sz w:val="24"/>
              </w:rPr>
              <w:t>水土流失防治须充分利用工程措施的控制性和速效性，同时发挥生物措施的后效性和长效性，生物措施与工程措施结合进行综合防治。采用</w:t>
            </w:r>
            <w:r>
              <w:rPr>
                <w:rFonts w:hint="eastAsia"/>
                <w:snapToGrid w:val="0"/>
                <w:sz w:val="24"/>
              </w:rPr>
              <w:t>“</w:t>
            </w:r>
            <w:r>
              <w:rPr>
                <w:rFonts w:hAnsi="宋体"/>
                <w:snapToGrid w:val="0"/>
                <w:sz w:val="24"/>
              </w:rPr>
              <w:t>点、线、面</w:t>
            </w:r>
            <w:r>
              <w:rPr>
                <w:rFonts w:hint="eastAsia"/>
                <w:snapToGrid w:val="0"/>
                <w:sz w:val="24"/>
              </w:rPr>
              <w:t>”</w:t>
            </w:r>
            <w:r>
              <w:rPr>
                <w:rFonts w:hAnsi="宋体"/>
                <w:snapToGrid w:val="0"/>
                <w:sz w:val="24"/>
              </w:rPr>
              <w:t>相结合，全面防治与重点防治相结合，并配合主体工程设计中已有的水土保持设施进行综合规划，建立布局合理、措施组合科学、功能齐全的水土流失防治措施体系，实现方案的总体防治目标。</w:t>
            </w:r>
          </w:p>
          <w:p>
            <w:pPr>
              <w:rPr>
                <w:b/>
                <w:sz w:val="28"/>
              </w:rPr>
            </w:pPr>
            <w:r>
              <w:rPr>
                <w:rFonts w:hAnsi="宋体"/>
                <w:b/>
                <w:sz w:val="28"/>
              </w:rPr>
              <w:t>二、营运期环境影响分析</w:t>
            </w:r>
          </w:p>
          <w:p>
            <w:pPr>
              <w:spacing w:line="360" w:lineRule="auto"/>
              <w:ind w:firstLine="482" w:firstLineChars="200"/>
              <w:rPr>
                <w:rFonts w:hAnsi="宋体"/>
                <w:b/>
                <w:snapToGrid w:val="0"/>
                <w:sz w:val="24"/>
              </w:rPr>
            </w:pPr>
            <w:r>
              <w:rPr>
                <w:rFonts w:hAnsi="宋体"/>
                <w:b/>
                <w:snapToGrid w:val="0"/>
                <w:sz w:val="24"/>
              </w:rPr>
              <w:t>1、大气环境影响分析</w:t>
            </w:r>
          </w:p>
          <w:p>
            <w:pPr>
              <w:spacing w:line="360" w:lineRule="auto"/>
              <w:ind w:firstLine="480" w:firstLineChars="200"/>
              <w:rPr>
                <w:sz w:val="24"/>
              </w:rPr>
            </w:pPr>
            <w:r>
              <w:rPr>
                <w:rFonts w:hint="eastAsia"/>
                <w:sz w:val="24"/>
              </w:rPr>
              <w:t>（1）</w:t>
            </w:r>
            <w:r>
              <w:rPr>
                <w:sz w:val="24"/>
              </w:rPr>
              <w:t>停车场扬尘</w:t>
            </w:r>
            <w:r>
              <w:rPr>
                <w:rFonts w:hint="eastAsia"/>
                <w:sz w:val="24"/>
              </w:rPr>
              <w:t>：</w:t>
            </w:r>
          </w:p>
          <w:p>
            <w:pPr>
              <w:spacing w:line="360" w:lineRule="auto"/>
              <w:ind w:firstLine="480" w:firstLineChars="200"/>
              <w:rPr>
                <w:sz w:val="24"/>
              </w:rPr>
            </w:pPr>
            <w:r>
              <w:rPr>
                <w:sz w:val="24"/>
              </w:rPr>
              <w:t>该项目停车场为地</w:t>
            </w:r>
            <w:r>
              <w:rPr>
                <w:rFonts w:hint="eastAsia"/>
                <w:sz w:val="24"/>
              </w:rPr>
              <w:t>面停车场</w:t>
            </w:r>
            <w:r>
              <w:rPr>
                <w:rFonts w:hAnsi="宋体"/>
                <w:sz w:val="24"/>
              </w:rPr>
              <w:t>，扬尘产生量小，属于无组织排放，</w:t>
            </w:r>
            <w:r>
              <w:rPr>
                <w:sz w:val="24"/>
              </w:rPr>
              <w:t>随着大气的自然扩散、稀释和小区绿色植物的吸收，</w:t>
            </w:r>
            <w:r>
              <w:rPr>
                <w:rFonts w:hAnsi="宋体"/>
                <w:sz w:val="24"/>
              </w:rPr>
              <w:t>对项目区域环境空气</w:t>
            </w:r>
            <w:r>
              <w:rPr>
                <w:rFonts w:hint="eastAsia" w:hAnsi="宋体"/>
                <w:sz w:val="24"/>
              </w:rPr>
              <w:t>基本</w:t>
            </w:r>
            <w:r>
              <w:rPr>
                <w:rFonts w:hAnsi="宋体"/>
                <w:sz w:val="24"/>
              </w:rPr>
              <w:t>不构成影响。</w:t>
            </w:r>
          </w:p>
          <w:p>
            <w:pPr>
              <w:tabs>
                <w:tab w:val="left" w:pos="3075"/>
              </w:tabs>
              <w:spacing w:line="360" w:lineRule="auto"/>
              <w:ind w:firstLine="480" w:firstLineChars="200"/>
              <w:rPr>
                <w:sz w:val="24"/>
              </w:rPr>
            </w:pPr>
            <w:r>
              <w:rPr>
                <w:rFonts w:hint="eastAsia" w:hAnsi="宋体"/>
                <w:sz w:val="24"/>
              </w:rPr>
              <w:t>（2）</w:t>
            </w:r>
            <w:r>
              <w:rPr>
                <w:rFonts w:hAnsi="宋体"/>
                <w:sz w:val="24"/>
              </w:rPr>
              <w:t>汽车尾气</w:t>
            </w:r>
            <w:r>
              <w:rPr>
                <w:rFonts w:hint="eastAsia" w:hAnsi="宋体"/>
                <w:sz w:val="24"/>
              </w:rPr>
              <w:t>：</w:t>
            </w:r>
          </w:p>
          <w:p>
            <w:pPr>
              <w:spacing w:line="360" w:lineRule="auto"/>
              <w:ind w:firstLine="480" w:firstLineChars="200"/>
              <w:rPr>
                <w:rFonts w:hint="eastAsia" w:hAnsi="宋体"/>
                <w:sz w:val="24"/>
              </w:rPr>
            </w:pPr>
            <w:r>
              <w:rPr>
                <w:sz w:val="24"/>
              </w:rPr>
              <w:t>本项目设置少量停车位</w:t>
            </w:r>
            <w:r>
              <w:rPr>
                <w:rFonts w:hint="eastAsia"/>
                <w:sz w:val="24"/>
              </w:rPr>
              <w:t>，</w:t>
            </w:r>
            <w:r>
              <w:rPr>
                <w:rFonts w:hAnsi="宋体"/>
                <w:sz w:val="24"/>
              </w:rPr>
              <w:t>汽车尾气为无组织排放，染物排放量较小，尾气中主要污染物为：烃类</w:t>
            </w:r>
            <w:r>
              <w:rPr>
                <w:rFonts w:hAnsi="宋体"/>
                <w:spacing w:val="-20"/>
                <w:sz w:val="24"/>
              </w:rPr>
              <w:t>物（</w:t>
            </w:r>
            <w:r>
              <w:rPr>
                <w:spacing w:val="-20"/>
                <w:sz w:val="24"/>
              </w:rPr>
              <w:t>HC</w:t>
            </w:r>
            <w:r>
              <w:rPr>
                <w:rFonts w:hAnsi="宋体"/>
                <w:spacing w:val="-20"/>
                <w:sz w:val="24"/>
              </w:rPr>
              <w:t>）、一</w:t>
            </w:r>
            <w:r>
              <w:rPr>
                <w:rFonts w:hAnsi="宋体"/>
                <w:sz w:val="24"/>
              </w:rPr>
              <w:t>氧化碳（</w:t>
            </w:r>
            <w:r>
              <w:rPr>
                <w:sz w:val="24"/>
              </w:rPr>
              <w:t>CO</w:t>
            </w:r>
            <w:r>
              <w:rPr>
                <w:rFonts w:hAnsi="宋体"/>
                <w:sz w:val="24"/>
              </w:rPr>
              <w:t>）等</w:t>
            </w:r>
            <w:r>
              <w:rPr>
                <w:rFonts w:hint="eastAsia" w:hAnsi="宋体"/>
                <w:sz w:val="24"/>
              </w:rPr>
              <w:t>，</w:t>
            </w:r>
            <w:r>
              <w:rPr>
                <w:sz w:val="24"/>
              </w:rPr>
              <w:t>项目区地面停车位较分散，汽车尾气露天排放，随着大气的自然扩散、稀释和小区绿色植物的吸收，不会改变小区的环境空气质量</w:t>
            </w:r>
            <w:r>
              <w:rPr>
                <w:rFonts w:hint="eastAsia"/>
                <w:sz w:val="24"/>
              </w:rPr>
              <w:t>。</w:t>
            </w:r>
          </w:p>
          <w:p>
            <w:pPr>
              <w:spacing w:line="360" w:lineRule="auto"/>
              <w:ind w:firstLine="480" w:firstLineChars="200"/>
              <w:rPr>
                <w:rFonts w:hint="eastAsia" w:hAnsi="宋体"/>
                <w:sz w:val="24"/>
              </w:rPr>
            </w:pPr>
            <w:r>
              <w:rPr>
                <w:rFonts w:hint="eastAsia" w:hAnsi="宋体"/>
                <w:sz w:val="24"/>
              </w:rPr>
              <w:t>（3）备用发电机废气：</w:t>
            </w:r>
          </w:p>
          <w:p>
            <w:pPr>
              <w:spacing w:line="360" w:lineRule="auto"/>
              <w:ind w:firstLine="480" w:firstLineChars="200"/>
              <w:rPr>
                <w:rFonts w:hAnsi="宋体"/>
                <w:sz w:val="24"/>
              </w:rPr>
            </w:pPr>
            <w:r>
              <w:rPr>
                <w:rFonts w:hAnsi="宋体"/>
                <w:sz w:val="24"/>
              </w:rPr>
              <w:t>项目</w:t>
            </w:r>
            <w:r>
              <w:rPr>
                <w:rFonts w:hint="eastAsia" w:hAnsi="宋体"/>
                <w:sz w:val="24"/>
              </w:rPr>
              <w:t>应急</w:t>
            </w:r>
            <w:r>
              <w:rPr>
                <w:rFonts w:hAnsi="宋体"/>
                <w:sz w:val="24"/>
              </w:rPr>
              <w:t>发电机采用单独房间。</w:t>
            </w:r>
            <w:r>
              <w:rPr>
                <w:rFonts w:hint="eastAsia" w:hAnsi="宋体"/>
                <w:sz w:val="24"/>
              </w:rPr>
              <w:t>应急</w:t>
            </w:r>
            <w:r>
              <w:rPr>
                <w:rFonts w:hAnsi="宋体"/>
                <w:sz w:val="24"/>
              </w:rPr>
              <w:t>发电机仅在停电时使用，废气属于燃油废气，采用轻质柴油作为燃料，柴油燃烧烟气含有CO</w:t>
            </w:r>
            <w:r>
              <w:rPr>
                <w:rFonts w:hAnsi="宋体"/>
                <w:sz w:val="24"/>
                <w:vertAlign w:val="subscript"/>
              </w:rPr>
              <w:t>2</w:t>
            </w:r>
            <w:r>
              <w:rPr>
                <w:rFonts w:hAnsi="宋体"/>
                <w:sz w:val="24"/>
              </w:rPr>
              <w:t>、CO、NOx、SO</w:t>
            </w:r>
            <w:r>
              <w:rPr>
                <w:rFonts w:hAnsi="宋体"/>
                <w:sz w:val="24"/>
                <w:vertAlign w:val="subscript"/>
              </w:rPr>
              <w:t>2</w:t>
            </w:r>
            <w:r>
              <w:rPr>
                <w:rFonts w:hAnsi="宋体"/>
                <w:sz w:val="24"/>
              </w:rPr>
              <w:t>、烟尘。发电机消声器和排气管经过外接到地面绿化带，外排废气对环境影响较小。</w:t>
            </w:r>
          </w:p>
          <w:p>
            <w:pPr>
              <w:spacing w:line="360" w:lineRule="auto"/>
              <w:ind w:firstLine="480" w:firstLineChars="200"/>
              <w:rPr>
                <w:rFonts w:hAnsi="宋体"/>
                <w:sz w:val="24"/>
              </w:rPr>
            </w:pPr>
            <w:r>
              <w:rPr>
                <w:rFonts w:hint="eastAsia" w:hAnsi="宋体"/>
                <w:sz w:val="24"/>
              </w:rPr>
              <w:t>（4）垃圾收集箱、化粪池恶臭：</w:t>
            </w:r>
          </w:p>
          <w:p>
            <w:pPr>
              <w:spacing w:line="360" w:lineRule="auto"/>
              <w:ind w:firstLine="482"/>
              <w:rPr>
                <w:rFonts w:hint="eastAsia"/>
                <w:sz w:val="24"/>
              </w:rPr>
            </w:pPr>
            <w:r>
              <w:rPr>
                <w:rFonts w:hint="eastAsia"/>
                <w:sz w:val="24"/>
              </w:rPr>
              <w:t>市场内设置垃圾收集点对市场产生的垃圾进行收集。如果收集的垃圾不能及时清运，垃圾会产生恶臭，对周围环境和人群产生影响，清运过程中，如果不能做到密封清运，垃圾散发出的恶臭也会对沿途空气环境产生不利影响。因此项目必须做到日产日清。保证交易中心边界环境质量达标。</w:t>
            </w:r>
          </w:p>
          <w:p>
            <w:pPr>
              <w:spacing w:line="360" w:lineRule="auto"/>
              <w:ind w:firstLine="482"/>
              <w:rPr>
                <w:rFonts w:hAnsi="宋体"/>
                <w:sz w:val="24"/>
              </w:rPr>
            </w:pPr>
            <w:r>
              <w:rPr>
                <w:rFonts w:hint="eastAsia" w:hAnsi="宋体"/>
                <w:sz w:val="24"/>
              </w:rPr>
              <w:t>项目设计中有绿化，因此环评建议：垃圾收集点周围设有绿化带，产生的恶臭</w:t>
            </w:r>
            <w:r>
              <w:rPr>
                <w:rFonts w:hAnsi="宋体"/>
                <w:sz w:val="24"/>
              </w:rPr>
              <w:t>经过空气扩散和绿化植物的部分吸附作用</w:t>
            </w:r>
            <w:r>
              <w:rPr>
                <w:rFonts w:hint="eastAsia" w:hAnsi="宋体"/>
                <w:sz w:val="24"/>
              </w:rPr>
              <w:t>，对环境影响较小。</w:t>
            </w:r>
          </w:p>
          <w:p>
            <w:pPr>
              <w:spacing w:line="360" w:lineRule="auto"/>
              <w:ind w:firstLine="480" w:firstLineChars="200"/>
              <w:rPr>
                <w:rFonts w:hAnsi="宋体"/>
                <w:sz w:val="24"/>
              </w:rPr>
            </w:pPr>
            <w:r>
              <w:rPr>
                <w:rFonts w:hint="eastAsia" w:hAnsi="宋体"/>
                <w:sz w:val="24"/>
              </w:rPr>
              <w:t>化粪池主要为无组织排放，一般排放量较小，对环境影响较小。</w:t>
            </w:r>
          </w:p>
          <w:p>
            <w:pPr>
              <w:spacing w:line="360" w:lineRule="auto"/>
              <w:ind w:firstLine="480" w:firstLineChars="200"/>
              <w:rPr>
                <w:rFonts w:hint="eastAsia" w:hAnsi="宋体"/>
                <w:sz w:val="24"/>
              </w:rPr>
            </w:pPr>
            <w:r>
              <w:rPr>
                <w:rFonts w:hAnsi="宋体"/>
                <w:sz w:val="24"/>
              </w:rPr>
              <w:t>综上所述，在采取相应的防治措施后，能够有效的减少对环境的影响。</w:t>
            </w:r>
          </w:p>
          <w:p>
            <w:pPr>
              <w:spacing w:line="360" w:lineRule="auto"/>
              <w:ind w:firstLine="482" w:firstLineChars="200"/>
              <w:rPr>
                <w:b/>
                <w:sz w:val="24"/>
              </w:rPr>
            </w:pPr>
            <w:r>
              <w:rPr>
                <w:b/>
                <w:sz w:val="24"/>
              </w:rPr>
              <w:t>2</w:t>
            </w:r>
            <w:r>
              <w:rPr>
                <w:rFonts w:hAnsi="宋体"/>
                <w:b/>
                <w:sz w:val="24"/>
              </w:rPr>
              <w:t>、地表水环境影响分析</w:t>
            </w:r>
          </w:p>
          <w:p>
            <w:pPr>
              <w:spacing w:line="360" w:lineRule="auto"/>
              <w:ind w:firstLine="480" w:firstLineChars="200"/>
              <w:rPr>
                <w:rFonts w:hAnsi="宋体"/>
                <w:sz w:val="24"/>
              </w:rPr>
            </w:pPr>
            <w:r>
              <w:rPr>
                <w:rFonts w:hint="eastAsia" w:hAnsi="宋体"/>
                <w:sz w:val="24"/>
              </w:rPr>
              <w:t>（1）项目排水方案</w:t>
            </w:r>
          </w:p>
          <w:p>
            <w:pPr>
              <w:spacing w:line="360" w:lineRule="auto"/>
              <w:ind w:firstLine="480" w:firstLineChars="200"/>
              <w:rPr>
                <w:rFonts w:hAnsi="宋体"/>
                <w:sz w:val="24"/>
              </w:rPr>
            </w:pPr>
            <w:r>
              <w:rPr>
                <w:rFonts w:hint="eastAsia" w:hAnsi="宋体"/>
                <w:sz w:val="24"/>
              </w:rPr>
              <w:t>项目</w:t>
            </w:r>
            <w:r>
              <w:rPr>
                <w:rFonts w:hAnsi="宋体"/>
                <w:sz w:val="24"/>
              </w:rPr>
              <w:t>区拟使用雨污分流的排水体系，</w:t>
            </w:r>
            <w:r>
              <w:rPr>
                <w:rFonts w:hint="eastAsia" w:hAnsi="宋体"/>
                <w:sz w:val="24"/>
              </w:rPr>
              <w:t>项目</w:t>
            </w:r>
            <w:r>
              <w:rPr>
                <w:rFonts w:hAnsi="宋体"/>
                <w:sz w:val="24"/>
              </w:rPr>
              <w:t>产生的废水部分</w:t>
            </w:r>
            <w:r>
              <w:rPr>
                <w:rFonts w:hint="eastAsia" w:hAnsi="宋体"/>
                <w:sz w:val="24"/>
              </w:rPr>
              <w:t>经过</w:t>
            </w:r>
            <w:r>
              <w:rPr>
                <w:rFonts w:hAnsi="宋体"/>
                <w:sz w:val="24"/>
              </w:rPr>
              <w:t>中水</w:t>
            </w:r>
            <w:r>
              <w:rPr>
                <w:rFonts w:hint="eastAsia" w:hAnsi="宋体"/>
                <w:sz w:val="24"/>
              </w:rPr>
              <w:t>处理站</w:t>
            </w:r>
            <w:r>
              <w:rPr>
                <w:rFonts w:hAnsi="宋体"/>
                <w:sz w:val="24"/>
              </w:rPr>
              <w:t>处理后回用于绿化、车库冲洗水</w:t>
            </w:r>
            <w:r>
              <w:rPr>
                <w:rFonts w:hint="eastAsia" w:hAnsi="宋体"/>
                <w:sz w:val="24"/>
              </w:rPr>
              <w:t>等</w:t>
            </w:r>
            <w:r>
              <w:rPr>
                <w:rFonts w:hAnsi="宋体"/>
                <w:sz w:val="24"/>
              </w:rPr>
              <w:t>，剩余部分</w:t>
            </w:r>
            <w:r>
              <w:rPr>
                <w:rFonts w:hint="eastAsia" w:hAnsi="宋体"/>
                <w:sz w:val="24"/>
              </w:rPr>
              <w:t>经格栅进行隔渣处理后进入隔油池处理，处理后的污水再与其他废水一起进入</w:t>
            </w:r>
            <w:r>
              <w:rPr>
                <w:rFonts w:hAnsi="宋体"/>
                <w:sz w:val="24"/>
              </w:rPr>
              <w:t>化粪池处理</w:t>
            </w:r>
            <w:r>
              <w:rPr>
                <w:rFonts w:hint="eastAsia" w:hAnsi="宋体"/>
                <w:sz w:val="24"/>
              </w:rPr>
              <w:t>，处理</w:t>
            </w:r>
            <w:r>
              <w:rPr>
                <w:rFonts w:hAnsi="宋体"/>
                <w:sz w:val="24"/>
              </w:rPr>
              <w:t>后</w:t>
            </w:r>
            <w:r>
              <w:rPr>
                <w:rFonts w:hint="eastAsia" w:hAnsi="宋体"/>
                <w:sz w:val="24"/>
              </w:rPr>
              <w:t>达到《污水综合排放标准》（GB8978-1996）表4三级标准和</w:t>
            </w:r>
            <w:r>
              <w:rPr>
                <w:rFonts w:hAnsi="宋体"/>
                <w:sz w:val="24"/>
              </w:rPr>
              <w:t>《</w:t>
            </w:r>
            <w:r>
              <w:rPr>
                <w:rFonts w:hint="eastAsia" w:hAnsi="宋体"/>
                <w:sz w:val="24"/>
              </w:rPr>
              <w:t>污水排入城镇下水道水质标准</w:t>
            </w:r>
            <w:r>
              <w:rPr>
                <w:rFonts w:hAnsi="宋体"/>
                <w:sz w:val="24"/>
              </w:rPr>
              <w:t>》</w:t>
            </w:r>
            <w:r>
              <w:rPr>
                <w:rFonts w:hint="eastAsia" w:hAnsi="宋体"/>
                <w:sz w:val="24"/>
              </w:rPr>
              <w:t>（</w:t>
            </w:r>
            <w:r>
              <w:rPr>
                <w:rFonts w:hint="eastAsia"/>
                <w:sz w:val="24"/>
              </w:rPr>
              <w:t>CJ343-2010）</w:t>
            </w:r>
            <w:r>
              <w:rPr>
                <w:rFonts w:hAnsi="宋体"/>
                <w:sz w:val="24"/>
              </w:rPr>
              <w:t>表</w:t>
            </w:r>
            <w:r>
              <w:rPr>
                <w:rFonts w:hint="eastAsia"/>
                <w:sz w:val="24"/>
              </w:rPr>
              <w:t>1中B</w:t>
            </w:r>
            <w:r>
              <w:rPr>
                <w:rFonts w:hint="eastAsia" w:hAnsi="宋体"/>
                <w:sz w:val="24"/>
              </w:rPr>
              <w:t>等</w:t>
            </w:r>
            <w:r>
              <w:rPr>
                <w:rFonts w:hAnsi="宋体"/>
                <w:sz w:val="24"/>
              </w:rPr>
              <w:t>级标准。进入</w:t>
            </w:r>
            <w:r>
              <w:rPr>
                <w:rFonts w:hint="eastAsia" w:hAnsi="宋体"/>
                <w:sz w:val="24"/>
              </w:rPr>
              <w:t>市政污水管网，最终进入维西县污水处理厂。</w:t>
            </w:r>
          </w:p>
          <w:p>
            <w:pPr>
              <w:spacing w:line="360" w:lineRule="auto"/>
              <w:ind w:firstLine="480"/>
              <w:rPr>
                <w:sz w:val="24"/>
              </w:rPr>
            </w:pPr>
            <w:r>
              <w:rPr>
                <w:rFonts w:hint="eastAsia"/>
                <w:sz w:val="24"/>
              </w:rPr>
              <w:t>（2）化粪池出水水质分析</w:t>
            </w:r>
          </w:p>
          <w:p>
            <w:pPr>
              <w:spacing w:line="360" w:lineRule="auto"/>
              <w:ind w:firstLine="480" w:firstLineChars="200"/>
              <w:rPr>
                <w:rFonts w:hint="eastAsia"/>
                <w:sz w:val="24"/>
              </w:rPr>
            </w:pPr>
            <w:r>
              <w:rPr>
                <w:rFonts w:hint="eastAsia"/>
                <w:sz w:val="24"/>
              </w:rPr>
              <w:t>本项目</w:t>
            </w:r>
            <w:r>
              <w:rPr>
                <w:rFonts w:hint="eastAsia" w:hAnsi="宋体"/>
                <w:sz w:val="24"/>
              </w:rPr>
              <w:t>渔类、禽类宰杀废水先经格栅进行隔渣处理后进入隔油池处里，处理后的污水再与其他废水一起进入</w:t>
            </w:r>
            <w:r>
              <w:rPr>
                <w:rFonts w:hAnsi="宋体"/>
                <w:sz w:val="24"/>
              </w:rPr>
              <w:t>化粪池处理</w:t>
            </w:r>
            <w:r>
              <w:rPr>
                <w:rFonts w:hint="eastAsia" w:hAnsi="宋体"/>
                <w:sz w:val="24"/>
              </w:rPr>
              <w:t>，</w:t>
            </w:r>
            <w:r>
              <w:rPr>
                <w:rFonts w:hint="eastAsia"/>
                <w:sz w:val="24"/>
              </w:rPr>
              <w:t>经化粪池处理，在排入市政污水管网，最终进入污水处理厂。</w:t>
            </w:r>
          </w:p>
          <w:p>
            <w:pPr>
              <w:spacing w:line="360" w:lineRule="auto"/>
              <w:ind w:firstLine="480" w:firstLineChars="200"/>
              <w:rPr>
                <w:rFonts w:hint="eastAsia"/>
                <w:sz w:val="24"/>
              </w:rPr>
            </w:pPr>
            <w:r>
              <w:rPr>
                <w:sz w:val="24"/>
              </w:rPr>
              <w:t>项目产生的污水</w:t>
            </w:r>
            <w:r>
              <w:rPr>
                <w:rFonts w:hint="eastAsia"/>
                <w:sz w:val="24"/>
              </w:rPr>
              <w:t>量</w:t>
            </w:r>
            <w:r>
              <w:rPr>
                <w:sz w:val="24"/>
              </w:rPr>
              <w:t>为162.67m</w:t>
            </w:r>
            <w:r>
              <w:rPr>
                <w:sz w:val="24"/>
                <w:vertAlign w:val="superscript"/>
              </w:rPr>
              <w:t>3</w:t>
            </w:r>
            <w:r>
              <w:rPr>
                <w:sz w:val="24"/>
              </w:rPr>
              <w:t>/d，59374.55m</w:t>
            </w:r>
            <w:r>
              <w:rPr>
                <w:sz w:val="24"/>
                <w:vertAlign w:val="superscript"/>
              </w:rPr>
              <w:t>3</w:t>
            </w:r>
            <w:r>
              <w:rPr>
                <w:sz w:val="24"/>
              </w:rPr>
              <w:t>/</w:t>
            </w:r>
            <w:r>
              <w:rPr>
                <w:rFonts w:hint="eastAsia"/>
                <w:sz w:val="24"/>
              </w:rPr>
              <w:t>a。类比相同类型项目，</w:t>
            </w:r>
            <w:r>
              <w:rPr>
                <w:sz w:val="24"/>
              </w:rPr>
              <w:t>污水中</w:t>
            </w:r>
            <w:r>
              <w:rPr>
                <w:rFonts w:hint="eastAsia"/>
                <w:sz w:val="24"/>
              </w:rPr>
              <w:t>污染物</w:t>
            </w:r>
            <w:r>
              <w:rPr>
                <w:sz w:val="24"/>
              </w:rPr>
              <w:t>浓度分别COD</w:t>
            </w:r>
            <w:r>
              <w:rPr>
                <w:rFonts w:hint="eastAsia"/>
                <w:sz w:val="24"/>
              </w:rPr>
              <w:t>500</w:t>
            </w:r>
            <w:r>
              <w:rPr>
                <w:sz w:val="24"/>
              </w:rPr>
              <w:t>mg/L、BOD</w:t>
            </w:r>
            <w:r>
              <w:rPr>
                <w:sz w:val="24"/>
                <w:vertAlign w:val="subscript"/>
              </w:rPr>
              <w:t>5</w:t>
            </w:r>
            <w:r>
              <w:rPr>
                <w:rFonts w:hint="eastAsia"/>
                <w:sz w:val="24"/>
              </w:rPr>
              <w:t>350</w:t>
            </w:r>
            <w:r>
              <w:rPr>
                <w:sz w:val="24"/>
              </w:rPr>
              <w:t>mg/L、SS</w:t>
            </w:r>
            <w:r>
              <w:rPr>
                <w:rFonts w:hint="eastAsia"/>
                <w:sz w:val="24"/>
              </w:rPr>
              <w:t>4</w:t>
            </w:r>
            <w:r>
              <w:rPr>
                <w:sz w:val="24"/>
              </w:rPr>
              <w:t>00mg/L、氨氮</w:t>
            </w:r>
            <w:r>
              <w:rPr>
                <w:rFonts w:hint="eastAsia"/>
                <w:sz w:val="24"/>
              </w:rPr>
              <w:t>46</w:t>
            </w:r>
            <w:r>
              <w:rPr>
                <w:sz w:val="24"/>
              </w:rPr>
              <w:t>mg/L、动植物油</w:t>
            </w:r>
            <w:r>
              <w:rPr>
                <w:rFonts w:hint="eastAsia"/>
                <w:sz w:val="24"/>
              </w:rPr>
              <w:t>30</w:t>
            </w:r>
            <w:r>
              <w:rPr>
                <w:sz w:val="24"/>
              </w:rPr>
              <w:t>mg/L 。</w:t>
            </w:r>
            <w:r>
              <w:rPr>
                <w:rFonts w:hint="eastAsia"/>
                <w:sz w:val="24"/>
              </w:rPr>
              <w:t>化粪池对</w:t>
            </w:r>
            <w:r>
              <w:rPr>
                <w:sz w:val="24"/>
              </w:rPr>
              <w:t>COD、BOD</w:t>
            </w:r>
            <w:r>
              <w:rPr>
                <w:sz w:val="24"/>
                <w:vertAlign w:val="subscript"/>
              </w:rPr>
              <w:t>5</w:t>
            </w:r>
            <w:r>
              <w:rPr>
                <w:sz w:val="24"/>
              </w:rPr>
              <w:t>、SS、氨氮</w:t>
            </w:r>
            <w:r>
              <w:rPr>
                <w:rFonts w:hint="eastAsia"/>
                <w:sz w:val="24"/>
              </w:rPr>
              <w:t>、动植物油的去除率可分别达到15%、16%、30%、6%、3%。</w:t>
            </w:r>
          </w:p>
          <w:p>
            <w:pPr>
              <w:spacing w:line="360" w:lineRule="auto"/>
              <w:ind w:firstLine="480" w:firstLineChars="200"/>
              <w:rPr>
                <w:rFonts w:hint="eastAsia"/>
                <w:bCs/>
                <w:kern w:val="0"/>
                <w:sz w:val="24"/>
              </w:rPr>
            </w:pPr>
            <w:r>
              <w:rPr>
                <w:rFonts w:hint="eastAsia"/>
                <w:bCs/>
                <w:kern w:val="0"/>
                <w:sz w:val="24"/>
              </w:rPr>
              <w:t>本项目所在地属于维西</w:t>
            </w:r>
            <w:r>
              <w:rPr>
                <w:bCs/>
                <w:kern w:val="0"/>
                <w:sz w:val="24"/>
              </w:rPr>
              <w:t>县</w:t>
            </w:r>
            <w:r>
              <w:rPr>
                <w:rFonts w:hint="eastAsia"/>
                <w:bCs/>
                <w:kern w:val="0"/>
                <w:sz w:val="24"/>
              </w:rPr>
              <w:t>市政污水管网覆盖区域，项目在污水处理厂的纳污范围内，项目废水可由污水管网排入维西县污水处理厂内处理。</w:t>
            </w:r>
          </w:p>
          <w:p>
            <w:pPr>
              <w:spacing w:line="360" w:lineRule="auto"/>
              <w:ind w:firstLine="480" w:firstLineChars="200"/>
              <w:rPr>
                <w:rFonts w:hint="eastAsia"/>
                <w:sz w:val="24"/>
              </w:rPr>
            </w:pPr>
            <w:r>
              <w:rPr>
                <w:rFonts w:hint="eastAsia"/>
                <w:sz w:val="24"/>
              </w:rPr>
              <w:t>项目化粪池出水水质与</w:t>
            </w:r>
            <w:r>
              <w:rPr>
                <w:sz w:val="24"/>
              </w:rPr>
              <w:t>（GB8978-1996）</w:t>
            </w:r>
            <w:r>
              <w:rPr>
                <w:rFonts w:hint="eastAsia"/>
                <w:bCs/>
                <w:kern w:val="0"/>
                <w:sz w:val="24"/>
              </w:rPr>
              <w:t>《污水综合排放标准》三级标准及</w:t>
            </w:r>
            <w:r>
              <w:rPr>
                <w:rFonts w:hint="eastAsia"/>
                <w:sz w:val="24"/>
              </w:rPr>
              <w:t>《污水排入城市下水道水质标准》（</w:t>
            </w:r>
            <w:r>
              <w:rPr>
                <w:sz w:val="24"/>
              </w:rPr>
              <w:t>CJ343</w:t>
            </w:r>
            <w:r>
              <w:rPr>
                <w:rFonts w:hint="eastAsia"/>
                <w:sz w:val="24"/>
              </w:rPr>
              <w:t>-</w:t>
            </w:r>
            <w:r>
              <w:rPr>
                <w:sz w:val="24"/>
              </w:rPr>
              <w:t>2010</w:t>
            </w:r>
            <w:r>
              <w:rPr>
                <w:rFonts w:hint="eastAsia"/>
                <w:sz w:val="24"/>
              </w:rPr>
              <w:t>）</w:t>
            </w:r>
            <w:r>
              <w:rPr>
                <w:sz w:val="24"/>
              </w:rPr>
              <w:t>B</w:t>
            </w:r>
            <w:r>
              <w:rPr>
                <w:rFonts w:hint="eastAsia"/>
                <w:sz w:val="24"/>
              </w:rPr>
              <w:t>级标准的要求对比见表</w:t>
            </w:r>
            <w:r>
              <w:rPr>
                <w:sz w:val="24"/>
              </w:rPr>
              <w:t>7-</w:t>
            </w:r>
            <w:r>
              <w:rPr>
                <w:rFonts w:hint="eastAsia"/>
                <w:sz w:val="24"/>
              </w:rPr>
              <w:t>3。</w:t>
            </w:r>
          </w:p>
          <w:p>
            <w:pPr>
              <w:spacing w:line="360" w:lineRule="auto"/>
              <w:jc w:val="center"/>
              <w:rPr>
                <w:b/>
                <w:sz w:val="24"/>
              </w:rPr>
            </w:pPr>
          </w:p>
          <w:p>
            <w:pPr>
              <w:spacing w:line="360" w:lineRule="auto"/>
              <w:jc w:val="center"/>
              <w:rPr>
                <w:b/>
                <w:sz w:val="24"/>
              </w:rPr>
            </w:pPr>
            <w:r>
              <w:rPr>
                <w:rFonts w:hint="eastAsia"/>
                <w:b/>
                <w:sz w:val="24"/>
              </w:rPr>
              <w:t>表</w:t>
            </w:r>
            <w:r>
              <w:rPr>
                <w:b/>
                <w:sz w:val="24"/>
              </w:rPr>
              <w:t>7-</w:t>
            </w:r>
            <w:r>
              <w:rPr>
                <w:rFonts w:hint="eastAsia"/>
                <w:b/>
                <w:sz w:val="24"/>
              </w:rPr>
              <w:t>3</w:t>
            </w:r>
            <w:r>
              <w:rPr>
                <w:b/>
                <w:sz w:val="24"/>
              </w:rPr>
              <w:t xml:space="preserve"> </w:t>
            </w:r>
            <w:r>
              <w:rPr>
                <w:rFonts w:hint="eastAsia"/>
                <w:b/>
                <w:sz w:val="24"/>
              </w:rPr>
              <w:t>项目化粪池出水水质与排放标准对比表</w:t>
            </w:r>
            <w:r>
              <w:rPr>
                <w:b/>
                <w:sz w:val="24"/>
              </w:rPr>
              <w:t xml:space="preserve">   </w:t>
            </w:r>
            <w:r>
              <w:rPr>
                <w:rFonts w:hint="eastAsia"/>
                <w:b/>
                <w:sz w:val="24"/>
              </w:rPr>
              <w:t>单位：</w:t>
            </w:r>
            <w:r>
              <w:rPr>
                <w:b/>
                <w:sz w:val="24"/>
              </w:rPr>
              <w:t>mg/l</w:t>
            </w:r>
          </w:p>
          <w:tbl>
            <w:tblPr>
              <w:tblStyle w:val="3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82"/>
              <w:gridCol w:w="1289"/>
              <w:gridCol w:w="1312"/>
              <w:gridCol w:w="1198"/>
              <w:gridCol w:w="1312"/>
              <w:gridCol w:w="1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2382"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pPr>
                    <w:jc w:val="right"/>
                    <w:rPr>
                      <w:szCs w:val="21"/>
                    </w:rPr>
                  </w:pPr>
                  <w:r>
                    <w:rPr>
                      <w:rFonts w:hint="eastAsia"/>
                      <w:szCs w:val="21"/>
                    </w:rPr>
                    <w:t>指标</w:t>
                  </w:r>
                </w:p>
                <w:p>
                  <w:pPr>
                    <w:jc w:val="left"/>
                    <w:rPr>
                      <w:szCs w:val="21"/>
                    </w:rPr>
                  </w:pPr>
                  <w:r>
                    <w:rPr>
                      <w:rFonts w:hint="eastAsia"/>
                      <w:szCs w:val="21"/>
                    </w:rPr>
                    <w:t>类别</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COD</w:t>
                  </w:r>
                  <w:r>
                    <w:rPr>
                      <w:szCs w:val="21"/>
                      <w:vertAlign w:val="subscript"/>
                    </w:rPr>
                    <w:t>cr</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BOD</w:t>
                  </w:r>
                  <w:r>
                    <w:rPr>
                      <w:szCs w:val="21"/>
                      <w:vertAlign w:val="subscript"/>
                    </w:rPr>
                    <w:t>5</w:t>
                  </w:r>
                </w:p>
              </w:tc>
              <w:tc>
                <w:tcPr>
                  <w:tcW w:w="1198"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SS</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氨氮</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238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进水水质</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500</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350</w:t>
                  </w:r>
                </w:p>
              </w:tc>
              <w:tc>
                <w:tcPr>
                  <w:tcW w:w="1198"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400</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46</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238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化粪池出水水质</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szCs w:val="21"/>
                    </w:rPr>
                  </w:pPr>
                  <w:r>
                    <w:rPr>
                      <w:rFonts w:hint="eastAsia"/>
                      <w:szCs w:val="21"/>
                    </w:rPr>
                    <w:t>425</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szCs w:val="21"/>
                    </w:rPr>
                  </w:pPr>
                  <w:r>
                    <w:rPr>
                      <w:rFonts w:hint="eastAsia"/>
                      <w:szCs w:val="21"/>
                    </w:rPr>
                    <w:t>294</w:t>
                  </w:r>
                </w:p>
              </w:tc>
              <w:tc>
                <w:tcPr>
                  <w:tcW w:w="1198"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280</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szCs w:val="21"/>
                    </w:rPr>
                  </w:pPr>
                  <w:r>
                    <w:rPr>
                      <w:rFonts w:hint="eastAsia"/>
                      <w:szCs w:val="21"/>
                    </w:rPr>
                    <w:t>43.24</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szCs w:val="21"/>
                    </w:rPr>
                  </w:pPr>
                  <w:r>
                    <w:rPr>
                      <w:rFonts w:hint="eastAsia"/>
                      <w:szCs w:val="21"/>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238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污水排放限值</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500</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300</w:t>
                  </w:r>
                </w:p>
              </w:tc>
              <w:tc>
                <w:tcPr>
                  <w:tcW w:w="1198"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400</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45</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238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达标情况</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达标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达标</w:t>
                  </w:r>
                </w:p>
              </w:tc>
              <w:tc>
                <w:tcPr>
                  <w:tcW w:w="1198"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达标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达标</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rFonts w:hint="eastAsia"/>
                      <w:szCs w:val="21"/>
                    </w:rPr>
                    <w:t>达标</w:t>
                  </w:r>
                </w:p>
              </w:tc>
            </w:tr>
          </w:tbl>
          <w:p>
            <w:pPr>
              <w:spacing w:line="360" w:lineRule="auto"/>
              <w:ind w:firstLine="480" w:firstLineChars="200"/>
              <w:jc w:val="left"/>
              <w:rPr>
                <w:bCs/>
                <w:kern w:val="0"/>
                <w:sz w:val="24"/>
              </w:rPr>
            </w:pPr>
            <w:r>
              <w:rPr>
                <w:rFonts w:hint="eastAsia"/>
                <w:bCs/>
                <w:kern w:val="0"/>
                <w:sz w:val="24"/>
              </w:rPr>
              <w:t>从表7-3可以看出，项目化粪池出水水质可以达到《污水综合排放标准》</w:t>
            </w:r>
            <w:r>
              <w:rPr>
                <w:sz w:val="24"/>
              </w:rPr>
              <w:t>（GB8978-1996）</w:t>
            </w:r>
            <w:r>
              <w:rPr>
                <w:rFonts w:hint="eastAsia"/>
                <w:bCs/>
                <w:kern w:val="0"/>
                <w:sz w:val="24"/>
              </w:rPr>
              <w:t>三级标准及</w:t>
            </w:r>
            <w:r>
              <w:rPr>
                <w:rFonts w:hint="eastAsia"/>
                <w:sz w:val="24"/>
              </w:rPr>
              <w:t>《污水排入城市下水道水质标准》（</w:t>
            </w:r>
            <w:r>
              <w:rPr>
                <w:sz w:val="24"/>
              </w:rPr>
              <w:t>CJ343</w:t>
            </w:r>
            <w:r>
              <w:rPr>
                <w:rFonts w:hint="eastAsia"/>
                <w:sz w:val="24"/>
              </w:rPr>
              <w:t>-</w:t>
            </w:r>
            <w:r>
              <w:rPr>
                <w:sz w:val="24"/>
              </w:rPr>
              <w:t>2010</w:t>
            </w:r>
            <w:r>
              <w:rPr>
                <w:rFonts w:hint="eastAsia"/>
                <w:sz w:val="24"/>
              </w:rPr>
              <w:t>）</w:t>
            </w:r>
            <w:r>
              <w:rPr>
                <w:sz w:val="24"/>
              </w:rPr>
              <w:t>B</w:t>
            </w:r>
            <w:r>
              <w:rPr>
                <w:rFonts w:hint="eastAsia"/>
                <w:sz w:val="24"/>
              </w:rPr>
              <w:t>级标准</w:t>
            </w:r>
            <w:r>
              <w:rPr>
                <w:rFonts w:hint="eastAsia"/>
                <w:bCs/>
                <w:kern w:val="0"/>
                <w:sz w:val="24"/>
              </w:rPr>
              <w:t>限值。</w:t>
            </w:r>
          </w:p>
          <w:p>
            <w:pPr>
              <w:spacing w:line="360" w:lineRule="auto"/>
              <w:ind w:firstLine="480" w:firstLineChars="200"/>
              <w:jc w:val="left"/>
              <w:rPr>
                <w:bCs/>
                <w:kern w:val="0"/>
                <w:sz w:val="24"/>
              </w:rPr>
            </w:pPr>
            <w:r>
              <w:rPr>
                <w:rFonts w:hint="eastAsia"/>
                <w:bCs/>
                <w:kern w:val="0"/>
                <w:sz w:val="24"/>
              </w:rPr>
              <w:t>项目区的化粪池连接着市政污水管网，经化粪池处理的废水可直接排入市政污水管网，最终排入维西县污水处理厂处理，对地表水环境影响很小。</w:t>
            </w:r>
          </w:p>
          <w:p>
            <w:pPr>
              <w:spacing w:line="360" w:lineRule="auto"/>
              <w:ind w:firstLine="480" w:firstLineChars="200"/>
              <w:jc w:val="left"/>
              <w:rPr>
                <w:rFonts w:hint="eastAsia"/>
                <w:bCs/>
                <w:kern w:val="0"/>
                <w:sz w:val="24"/>
              </w:rPr>
            </w:pPr>
            <w:r>
              <w:rPr>
                <w:rFonts w:hint="eastAsia"/>
                <w:bCs/>
                <w:kern w:val="0"/>
                <w:sz w:val="24"/>
              </w:rPr>
              <w:t>（</w:t>
            </w:r>
            <w:r>
              <w:rPr>
                <w:bCs/>
                <w:kern w:val="0"/>
                <w:sz w:val="24"/>
              </w:rPr>
              <w:t>3</w:t>
            </w:r>
            <w:r>
              <w:rPr>
                <w:rFonts w:hint="eastAsia"/>
                <w:bCs/>
                <w:kern w:val="0"/>
                <w:sz w:val="24"/>
              </w:rPr>
              <w:t>）运营期对头</w:t>
            </w:r>
            <w:r>
              <w:rPr>
                <w:bCs/>
                <w:kern w:val="0"/>
                <w:sz w:val="24"/>
              </w:rPr>
              <w:t>道</w:t>
            </w:r>
            <w:r>
              <w:rPr>
                <w:rFonts w:hint="eastAsia"/>
                <w:bCs/>
                <w:kern w:val="0"/>
                <w:sz w:val="24"/>
              </w:rPr>
              <w:t>河的影响分析</w:t>
            </w:r>
          </w:p>
          <w:p>
            <w:pPr>
              <w:spacing w:line="360" w:lineRule="auto"/>
              <w:ind w:firstLine="480" w:firstLineChars="200"/>
              <w:rPr>
                <w:rFonts w:eastAsia="新宋体"/>
                <w:sz w:val="24"/>
              </w:rPr>
            </w:pPr>
            <w:r>
              <w:rPr>
                <w:rFonts w:hint="eastAsia" w:eastAsia="新宋体"/>
                <w:sz w:val="24"/>
              </w:rPr>
              <w:t>由于项目西侧靠近头</w:t>
            </w:r>
            <w:r>
              <w:rPr>
                <w:rFonts w:eastAsia="新宋体"/>
                <w:sz w:val="24"/>
              </w:rPr>
              <w:t>道河</w:t>
            </w:r>
            <w:r>
              <w:rPr>
                <w:rFonts w:hint="eastAsia" w:eastAsia="新宋体"/>
                <w:sz w:val="24"/>
              </w:rPr>
              <w:t>，距离较近。严禁营运期废水、固废排入头</w:t>
            </w:r>
            <w:r>
              <w:rPr>
                <w:rFonts w:eastAsia="新宋体"/>
                <w:sz w:val="24"/>
              </w:rPr>
              <w:t>道</w:t>
            </w:r>
            <w:r>
              <w:rPr>
                <w:rFonts w:hint="eastAsia" w:eastAsia="新宋体"/>
                <w:sz w:val="24"/>
              </w:rPr>
              <w:t>河，影响头</w:t>
            </w:r>
            <w:r>
              <w:rPr>
                <w:rFonts w:eastAsia="新宋体"/>
                <w:sz w:val="24"/>
              </w:rPr>
              <w:t>道</w:t>
            </w:r>
            <w:r>
              <w:rPr>
                <w:rFonts w:hint="eastAsia" w:eastAsia="新宋体"/>
                <w:sz w:val="24"/>
              </w:rPr>
              <w:t>河水质。因此</w:t>
            </w:r>
            <w:r>
              <w:rPr>
                <w:rFonts w:hint="eastAsia"/>
                <w:sz w:val="24"/>
              </w:rPr>
              <w:t>靠近</w:t>
            </w:r>
            <w:r>
              <w:rPr>
                <w:rFonts w:hint="eastAsia" w:eastAsia="新宋体"/>
                <w:sz w:val="24"/>
              </w:rPr>
              <w:t>头</w:t>
            </w:r>
            <w:r>
              <w:rPr>
                <w:rFonts w:eastAsia="新宋体"/>
                <w:sz w:val="24"/>
              </w:rPr>
              <w:t>道</w:t>
            </w:r>
            <w:r>
              <w:rPr>
                <w:rFonts w:hint="eastAsia" w:eastAsia="新宋体"/>
                <w:sz w:val="24"/>
              </w:rPr>
              <w:t>河</w:t>
            </w:r>
            <w:r>
              <w:rPr>
                <w:rFonts w:hint="eastAsia"/>
                <w:sz w:val="24"/>
              </w:rPr>
              <w:t>一侧的场地，采取种植绿化带起到阻隔的作用，避免运营期废水、固废倾倒入</w:t>
            </w:r>
            <w:r>
              <w:rPr>
                <w:rFonts w:hint="eastAsia" w:eastAsia="新宋体"/>
                <w:sz w:val="24"/>
              </w:rPr>
              <w:t>头道河</w:t>
            </w:r>
            <w:r>
              <w:rPr>
                <w:rFonts w:hint="eastAsia"/>
                <w:sz w:val="24"/>
              </w:rPr>
              <w:t>。</w:t>
            </w:r>
            <w:r>
              <w:rPr>
                <w:rFonts w:hint="eastAsia" w:eastAsia="新宋体"/>
                <w:sz w:val="24"/>
              </w:rPr>
              <w:t>建设单位应严格要求商铺管理人员，监督商户们对废水、固废的正确处理操作，</w:t>
            </w:r>
            <w:r>
              <w:rPr>
                <w:rFonts w:hint="eastAsia"/>
                <w:sz w:val="24"/>
              </w:rPr>
              <w:t>保证废水和固废的集中处理以及达标排放，禁止对</w:t>
            </w:r>
            <w:r>
              <w:rPr>
                <w:rFonts w:hint="eastAsia" w:eastAsia="新宋体"/>
                <w:sz w:val="24"/>
              </w:rPr>
              <w:t>头道河</w:t>
            </w:r>
            <w:r>
              <w:rPr>
                <w:rFonts w:hint="eastAsia"/>
                <w:sz w:val="24"/>
              </w:rPr>
              <w:t>倾倒任何废水、废渣，规范商户的工作情况。同时对隔油池、化粪池的运行状况要及时做好维护与保养，确保其正常运行，保证项目运营期废水和固废的有效处理。</w:t>
            </w:r>
          </w:p>
          <w:p>
            <w:pPr>
              <w:spacing w:line="360" w:lineRule="auto"/>
              <w:ind w:firstLine="482" w:firstLineChars="200"/>
              <w:rPr>
                <w:rFonts w:hint="eastAsia"/>
                <w:b/>
                <w:sz w:val="24"/>
              </w:rPr>
            </w:pPr>
            <w:r>
              <w:rPr>
                <w:rFonts w:hint="eastAsia"/>
                <w:b/>
                <w:sz w:val="24"/>
              </w:rPr>
              <w:t>3、固体废弃物影响分析</w:t>
            </w:r>
          </w:p>
          <w:p>
            <w:pPr>
              <w:spacing w:line="360" w:lineRule="auto"/>
              <w:ind w:firstLine="480" w:firstLineChars="200"/>
              <w:rPr>
                <w:rFonts w:hint="eastAsia" w:hAnsi="宋体"/>
                <w:sz w:val="24"/>
              </w:rPr>
            </w:pPr>
            <w:r>
              <w:rPr>
                <w:rFonts w:hint="eastAsia" w:hAnsi="宋体"/>
                <w:sz w:val="24"/>
              </w:rPr>
              <w:t>（1）生活垃圾、商铺垃圾</w:t>
            </w:r>
          </w:p>
          <w:p>
            <w:pPr>
              <w:spacing w:line="360" w:lineRule="auto"/>
              <w:ind w:firstLine="480" w:firstLineChars="200"/>
              <w:rPr>
                <w:rFonts w:hint="eastAsia" w:hAnsi="宋体"/>
                <w:sz w:val="24"/>
              </w:rPr>
            </w:pPr>
            <w:r>
              <w:rPr>
                <w:rFonts w:hint="eastAsia" w:hAnsi="宋体"/>
                <w:sz w:val="24"/>
              </w:rPr>
              <w:t>项目区</w:t>
            </w:r>
            <w:r>
              <w:rPr>
                <w:rFonts w:hAnsi="宋体"/>
                <w:sz w:val="24"/>
              </w:rPr>
              <w:t>生活垃圾、商业、垃圾合计产生量1443.44t/a；生活垃圾需住户</w:t>
            </w:r>
            <w:r>
              <w:rPr>
                <w:rFonts w:hint="eastAsia" w:hAnsi="宋体"/>
                <w:sz w:val="24"/>
              </w:rPr>
              <w:t>分</w:t>
            </w:r>
            <w:r>
              <w:rPr>
                <w:rFonts w:hAnsi="宋体"/>
                <w:sz w:val="24"/>
              </w:rPr>
              <w:t>类收集、袋装后，</w:t>
            </w:r>
            <w:r>
              <w:rPr>
                <w:rFonts w:hint="eastAsia" w:hAnsi="宋体"/>
                <w:sz w:val="24"/>
              </w:rPr>
              <w:t>送至垃圾收集点，生活垃圾</w:t>
            </w:r>
            <w:r>
              <w:rPr>
                <w:rFonts w:hAnsi="宋体"/>
                <w:sz w:val="24"/>
              </w:rPr>
              <w:t>集中</w:t>
            </w:r>
            <w:r>
              <w:rPr>
                <w:rFonts w:hint="eastAsia" w:hAnsi="宋体"/>
                <w:sz w:val="24"/>
              </w:rPr>
              <w:t>预处理</w:t>
            </w:r>
            <w:r>
              <w:rPr>
                <w:rFonts w:hAnsi="宋体"/>
                <w:sz w:val="24"/>
              </w:rPr>
              <w:t>后委托环卫部门统一清运，处置率100%。因此，只要严格按照有关部门的规定处置垃圾，搞好项目内的环境卫生，做到垃圾分类收集、分类回收，充分回收可利用资源（如金属、纸品、塑料、玻璃、拉罐筒等等），使项目区内垃圾分类化、减量化、无害化，并通过制定合理的垃圾清运制度，营运期产生的</w:t>
            </w:r>
            <w:r>
              <w:rPr>
                <w:rFonts w:hint="eastAsia" w:hAnsi="宋体"/>
                <w:sz w:val="24"/>
              </w:rPr>
              <w:t>生活垃圾</w:t>
            </w:r>
            <w:r>
              <w:rPr>
                <w:rFonts w:hAnsi="宋体"/>
                <w:sz w:val="24"/>
              </w:rPr>
              <w:t>对周围环境的影响</w:t>
            </w:r>
            <w:r>
              <w:rPr>
                <w:rFonts w:hint="eastAsia" w:hAnsi="宋体"/>
                <w:sz w:val="24"/>
              </w:rPr>
              <w:t>较小</w:t>
            </w:r>
            <w:r>
              <w:rPr>
                <w:rFonts w:hAnsi="宋体"/>
                <w:sz w:val="24"/>
              </w:rPr>
              <w:t>。</w:t>
            </w:r>
          </w:p>
          <w:p>
            <w:pPr>
              <w:spacing w:line="360" w:lineRule="auto"/>
              <w:ind w:firstLine="480" w:firstLineChars="200"/>
              <w:rPr>
                <w:rFonts w:hint="eastAsia" w:hAnsi="宋体"/>
                <w:sz w:val="24"/>
              </w:rPr>
            </w:pPr>
            <w:r>
              <w:rPr>
                <w:rFonts w:hint="eastAsia" w:hAnsi="宋体"/>
                <w:sz w:val="24"/>
              </w:rPr>
              <w:t>（2）格栅中隔渣</w:t>
            </w:r>
          </w:p>
          <w:p>
            <w:pPr>
              <w:spacing w:line="360" w:lineRule="auto"/>
              <w:ind w:firstLine="480" w:firstLineChars="200"/>
              <w:rPr>
                <w:rFonts w:hint="eastAsia" w:hAnsi="宋体"/>
                <w:sz w:val="24"/>
              </w:rPr>
            </w:pPr>
            <w:r>
              <w:rPr>
                <w:rFonts w:hint="eastAsia"/>
                <w:sz w:val="24"/>
              </w:rPr>
              <w:t>格栅中的废渣主要来源于渔类、禽类宰杀废水中的悬浮物。根据类比同类项目，格栅中隔渣产生量约</w:t>
            </w:r>
            <w:r>
              <w:rPr>
                <w:sz w:val="24"/>
              </w:rPr>
              <w:t>25</w:t>
            </w:r>
            <w:r>
              <w:rPr>
                <w:rFonts w:hint="eastAsia"/>
                <w:sz w:val="24"/>
              </w:rPr>
              <w:t>t/a。</w:t>
            </w:r>
            <w:r>
              <w:rPr>
                <w:rFonts w:hint="eastAsia" w:hAnsi="宋体"/>
                <w:sz w:val="24"/>
              </w:rPr>
              <w:t>定期清掏收集后委托相关部门清运处理，对项目区内及周边环境产生的影响较小。</w:t>
            </w:r>
          </w:p>
          <w:p>
            <w:pPr>
              <w:spacing w:line="360" w:lineRule="auto"/>
              <w:ind w:firstLine="480" w:firstLineChars="200"/>
              <w:rPr>
                <w:rFonts w:hAnsi="宋体"/>
                <w:sz w:val="24"/>
              </w:rPr>
            </w:pPr>
            <w:r>
              <w:rPr>
                <w:rFonts w:hint="eastAsia" w:hAnsi="宋体"/>
                <w:sz w:val="24"/>
              </w:rPr>
              <w:t>（3）化粪池污泥</w:t>
            </w:r>
          </w:p>
          <w:p>
            <w:pPr>
              <w:spacing w:line="360" w:lineRule="auto"/>
              <w:ind w:firstLine="480" w:firstLineChars="200"/>
              <w:rPr>
                <w:rFonts w:hint="eastAsia" w:hAnsi="宋体"/>
                <w:sz w:val="24"/>
              </w:rPr>
            </w:pPr>
            <w:r>
              <w:rPr>
                <w:rFonts w:hint="eastAsia" w:hAnsi="宋体"/>
                <w:sz w:val="24"/>
              </w:rPr>
              <w:t xml:space="preserve">化粪池运行过程中会产生化粪池污泥，污泥中含有降解不完全的机物、有害病菌等。若处置不当，会对环境产生不利影响。 </w:t>
            </w:r>
          </w:p>
          <w:p>
            <w:pPr>
              <w:spacing w:line="360" w:lineRule="auto"/>
              <w:ind w:firstLine="480" w:firstLineChars="200"/>
              <w:rPr>
                <w:rFonts w:hint="eastAsia" w:hAnsi="宋体"/>
                <w:sz w:val="24"/>
              </w:rPr>
            </w:pPr>
            <w:r>
              <w:rPr>
                <w:rFonts w:hint="eastAsia" w:hAnsi="宋体"/>
                <w:sz w:val="24"/>
              </w:rPr>
              <w:t>化粪池每年清掏2次，通过估算，化粪池污泥产生量约</w:t>
            </w:r>
            <w:r>
              <w:rPr>
                <w:rFonts w:hAnsi="宋体"/>
                <w:sz w:val="24"/>
              </w:rPr>
              <w:t>8</w:t>
            </w:r>
            <w:r>
              <w:rPr>
                <w:rFonts w:hint="eastAsia" w:hAnsi="宋体"/>
                <w:sz w:val="24"/>
              </w:rPr>
              <w:t>t/a。</w:t>
            </w:r>
            <w:r>
              <w:rPr>
                <w:rFonts w:hAnsi="宋体"/>
                <w:sz w:val="24"/>
              </w:rPr>
              <w:t>污泥</w:t>
            </w:r>
            <w:r>
              <w:rPr>
                <w:rFonts w:hint="eastAsia" w:hAnsi="宋体"/>
                <w:sz w:val="24"/>
              </w:rPr>
              <w:t>定期清掏收集后委托相关部门清运处理，对项目区内及周边环境产生的影响较小。</w:t>
            </w:r>
          </w:p>
          <w:p>
            <w:pPr>
              <w:spacing w:line="360" w:lineRule="auto"/>
              <w:ind w:firstLine="480" w:firstLineChars="200"/>
              <w:rPr>
                <w:rFonts w:hint="eastAsia" w:hAnsi="宋体"/>
                <w:sz w:val="24"/>
              </w:rPr>
            </w:pPr>
            <w:r>
              <w:rPr>
                <w:rFonts w:hint="eastAsia" w:hAnsi="宋体"/>
                <w:sz w:val="24"/>
              </w:rPr>
              <w:t>综上，本项目固体废弃物均能得到有效处置，处置率100%，因此对环境影响较小。</w:t>
            </w:r>
          </w:p>
          <w:p>
            <w:pPr>
              <w:spacing w:line="360" w:lineRule="auto"/>
              <w:ind w:firstLine="482" w:firstLineChars="200"/>
              <w:rPr>
                <w:b/>
                <w:sz w:val="24"/>
              </w:rPr>
            </w:pPr>
            <w:r>
              <w:rPr>
                <w:rFonts w:hint="eastAsia"/>
                <w:b/>
                <w:sz w:val="24"/>
              </w:rPr>
              <w:t>4</w:t>
            </w:r>
            <w:r>
              <w:rPr>
                <w:rFonts w:hAnsi="宋体"/>
                <w:b/>
                <w:sz w:val="24"/>
              </w:rPr>
              <w:t>、噪声环境影响分析</w:t>
            </w:r>
          </w:p>
          <w:p>
            <w:pPr>
              <w:spacing w:line="360" w:lineRule="auto"/>
              <w:ind w:firstLine="480" w:firstLineChars="200"/>
              <w:rPr>
                <w:rFonts w:hAnsi="宋体"/>
                <w:sz w:val="24"/>
              </w:rPr>
            </w:pPr>
            <w:r>
              <w:rPr>
                <w:rFonts w:hint="eastAsia" w:hAnsi="宋体"/>
                <w:sz w:val="24"/>
              </w:rPr>
              <w:t>本项目运营期噪声主要来自商业噪声</w:t>
            </w:r>
            <w:r>
              <w:rPr>
                <w:rFonts w:hint="eastAsia"/>
                <w:spacing w:val="-6"/>
                <w:sz w:val="24"/>
              </w:rPr>
              <w:t>、进出场车辆产生的噪声</w:t>
            </w:r>
            <w:r>
              <w:rPr>
                <w:rFonts w:hint="eastAsia" w:hAnsi="宋体"/>
                <w:sz w:val="24"/>
              </w:rPr>
              <w:t>。</w:t>
            </w:r>
          </w:p>
          <w:p>
            <w:pPr>
              <w:spacing w:line="360" w:lineRule="auto"/>
              <w:ind w:firstLine="480" w:firstLineChars="200"/>
              <w:rPr>
                <w:sz w:val="24"/>
              </w:rPr>
            </w:pPr>
            <w:r>
              <w:rPr>
                <w:rFonts w:hAnsi="宋体"/>
                <w:sz w:val="24"/>
              </w:rPr>
              <w:t>在不考虑其他因素情况下，用如下简化公式预测噪声随距离增大而衰减的情况：</w:t>
            </w:r>
          </w:p>
          <w:p>
            <w:pPr>
              <w:spacing w:line="360" w:lineRule="auto"/>
              <w:ind w:firstLine="2040" w:firstLineChars="850"/>
              <w:rPr>
                <w:sz w:val="24"/>
              </w:rPr>
            </w:pPr>
            <w:r>
              <w:rPr>
                <w:sz w:val="24"/>
              </w:rPr>
              <w:t>L</w:t>
            </w:r>
            <w:r>
              <w:rPr>
                <w:rFonts w:hint="eastAsia"/>
                <w:sz w:val="24"/>
                <w:vertAlign w:val="subscript"/>
              </w:rPr>
              <w:t xml:space="preserve"> A </w:t>
            </w:r>
            <w:r>
              <w:rPr>
                <w:rFonts w:hint="eastAsia"/>
                <w:sz w:val="24"/>
              </w:rPr>
              <w:t>(</w:t>
            </w:r>
            <w:r>
              <w:rPr>
                <w:sz w:val="24"/>
              </w:rPr>
              <w:t>r</w:t>
            </w:r>
            <w:r>
              <w:rPr>
                <w:rFonts w:hint="eastAsia"/>
                <w:sz w:val="24"/>
              </w:rPr>
              <w:t>)</w:t>
            </w:r>
            <w:r>
              <w:rPr>
                <w:rFonts w:hint="eastAsia"/>
                <w:sz w:val="24"/>
                <w:vertAlign w:val="subscript"/>
              </w:rPr>
              <w:t xml:space="preserve"> </w:t>
            </w:r>
            <w:r>
              <w:rPr>
                <w:rFonts w:hAnsi="宋体"/>
                <w:sz w:val="24"/>
              </w:rPr>
              <w:t>＝</w:t>
            </w:r>
            <w:r>
              <w:rPr>
                <w:sz w:val="24"/>
              </w:rPr>
              <w:t>L</w:t>
            </w:r>
            <w:r>
              <w:rPr>
                <w:rFonts w:hint="eastAsia"/>
                <w:sz w:val="24"/>
                <w:vertAlign w:val="subscript"/>
              </w:rPr>
              <w:t xml:space="preserve"> A </w:t>
            </w:r>
            <w:r>
              <w:rPr>
                <w:rFonts w:hint="eastAsia"/>
                <w:sz w:val="24"/>
              </w:rPr>
              <w:t>(</w:t>
            </w:r>
            <w:r>
              <w:rPr>
                <w:sz w:val="24"/>
              </w:rPr>
              <w:t>r</w:t>
            </w:r>
            <w:r>
              <w:rPr>
                <w:sz w:val="24"/>
                <w:vertAlign w:val="subscript"/>
              </w:rPr>
              <w:t>0</w:t>
            </w:r>
            <w:r>
              <w:rPr>
                <w:rFonts w:hint="eastAsia"/>
                <w:sz w:val="24"/>
              </w:rPr>
              <w:t>)</w:t>
            </w:r>
            <w:r>
              <w:rPr>
                <w:rFonts w:hAnsi="宋体"/>
                <w:sz w:val="24"/>
              </w:rPr>
              <w:t>－</w:t>
            </w:r>
            <w:r>
              <w:rPr>
                <w:sz w:val="24"/>
              </w:rPr>
              <w:t>20lg(r</w:t>
            </w:r>
            <w:r>
              <w:rPr>
                <w:rFonts w:hAnsi="宋体"/>
                <w:sz w:val="24"/>
              </w:rPr>
              <w:t>／</w:t>
            </w:r>
            <w:r>
              <w:rPr>
                <w:sz w:val="24"/>
              </w:rPr>
              <w:t>r</w:t>
            </w:r>
            <w:r>
              <w:rPr>
                <w:sz w:val="24"/>
                <w:vertAlign w:val="subscript"/>
              </w:rPr>
              <w:t>0</w:t>
            </w:r>
            <w:r>
              <w:rPr>
                <w:sz w:val="24"/>
              </w:rPr>
              <w:t xml:space="preserve">)  </w:t>
            </w:r>
            <w:r>
              <w:rPr>
                <w:rFonts w:hAnsi="宋体"/>
                <w:sz w:val="24"/>
              </w:rPr>
              <w:t>（</w:t>
            </w:r>
            <w:r>
              <w:rPr>
                <w:sz w:val="28"/>
                <w:szCs w:val="28"/>
              </w:rPr>
              <w:t>r</w:t>
            </w:r>
            <w:r>
              <w:rPr>
                <w:rFonts w:hAnsi="宋体"/>
                <w:szCs w:val="21"/>
              </w:rPr>
              <w:t>＞</w:t>
            </w:r>
            <w:r>
              <w:rPr>
                <w:sz w:val="28"/>
                <w:szCs w:val="28"/>
              </w:rPr>
              <w:t>r</w:t>
            </w:r>
            <w:r>
              <w:rPr>
                <w:rFonts w:hint="eastAsia"/>
                <w:sz w:val="24"/>
                <w:vertAlign w:val="subscript"/>
              </w:rPr>
              <w:t>0</w:t>
            </w:r>
            <w:r>
              <w:rPr>
                <w:rFonts w:hAnsi="宋体"/>
                <w:sz w:val="24"/>
              </w:rPr>
              <w:t>）</w:t>
            </w:r>
          </w:p>
          <w:p>
            <w:pPr>
              <w:spacing w:line="360" w:lineRule="auto"/>
              <w:ind w:firstLine="480" w:firstLineChars="200"/>
              <w:rPr>
                <w:sz w:val="24"/>
              </w:rPr>
            </w:pPr>
            <w:r>
              <w:rPr>
                <w:rFonts w:hAnsi="宋体"/>
                <w:sz w:val="24"/>
              </w:rPr>
              <w:t>随着距离增加的衰减量为</w:t>
            </w:r>
          </w:p>
          <w:p>
            <w:pPr>
              <w:spacing w:line="360" w:lineRule="auto"/>
              <w:ind w:firstLine="1920" w:firstLineChars="800"/>
              <w:rPr>
                <w:sz w:val="24"/>
              </w:rPr>
            </w:pPr>
            <w:r>
              <w:rPr>
                <w:rFonts w:ascii="宋体" w:hAnsi="宋体"/>
                <w:sz w:val="24"/>
              </w:rPr>
              <w:t>△</w:t>
            </w:r>
            <w:r>
              <w:rPr>
                <w:sz w:val="24"/>
              </w:rPr>
              <w:t>L=L</w:t>
            </w:r>
            <w:r>
              <w:rPr>
                <w:rFonts w:hint="eastAsia"/>
                <w:sz w:val="24"/>
                <w:vertAlign w:val="subscript"/>
              </w:rPr>
              <w:t xml:space="preserve">A </w:t>
            </w:r>
            <w:r>
              <w:rPr>
                <w:rFonts w:hint="eastAsia"/>
                <w:sz w:val="24"/>
              </w:rPr>
              <w:t>(</w:t>
            </w:r>
            <w:r>
              <w:rPr>
                <w:sz w:val="24"/>
              </w:rPr>
              <w:t>r</w:t>
            </w:r>
            <w:r>
              <w:rPr>
                <w:sz w:val="24"/>
                <w:vertAlign w:val="subscript"/>
              </w:rPr>
              <w:t>0</w:t>
            </w:r>
            <w:r>
              <w:rPr>
                <w:rFonts w:hint="eastAsia"/>
                <w:sz w:val="24"/>
              </w:rPr>
              <w:t>)</w:t>
            </w:r>
            <w:r>
              <w:rPr>
                <w:rFonts w:hAnsi="宋体"/>
                <w:sz w:val="24"/>
              </w:rPr>
              <w:t xml:space="preserve"> －</w:t>
            </w:r>
            <w:r>
              <w:rPr>
                <w:sz w:val="24"/>
              </w:rPr>
              <w:t>L</w:t>
            </w:r>
            <w:r>
              <w:rPr>
                <w:rFonts w:hint="eastAsia"/>
                <w:sz w:val="24"/>
                <w:vertAlign w:val="subscript"/>
              </w:rPr>
              <w:t xml:space="preserve">A </w:t>
            </w:r>
            <w:r>
              <w:rPr>
                <w:rFonts w:hint="eastAsia"/>
                <w:sz w:val="24"/>
              </w:rPr>
              <w:t>(</w:t>
            </w:r>
            <w:r>
              <w:rPr>
                <w:sz w:val="24"/>
              </w:rPr>
              <w:t>r</w:t>
            </w:r>
            <w:r>
              <w:rPr>
                <w:rFonts w:hint="eastAsia"/>
                <w:sz w:val="24"/>
              </w:rPr>
              <w:t>)</w:t>
            </w:r>
            <w:r>
              <w:rPr>
                <w:sz w:val="24"/>
              </w:rPr>
              <w:t>=20lg(r</w:t>
            </w:r>
            <w:r>
              <w:rPr>
                <w:rFonts w:hAnsi="宋体"/>
                <w:sz w:val="24"/>
              </w:rPr>
              <w:t>／</w:t>
            </w:r>
            <w:r>
              <w:rPr>
                <w:sz w:val="24"/>
              </w:rPr>
              <w:t>r</w:t>
            </w:r>
            <w:r>
              <w:rPr>
                <w:sz w:val="24"/>
                <w:vertAlign w:val="subscript"/>
              </w:rPr>
              <w:t>0</w:t>
            </w:r>
            <w:r>
              <w:rPr>
                <w:sz w:val="24"/>
              </w:rPr>
              <w:t>)</w:t>
            </w:r>
          </w:p>
          <w:p>
            <w:pPr>
              <w:spacing w:line="360" w:lineRule="auto"/>
              <w:rPr>
                <w:rFonts w:hint="eastAsia" w:hAnsi="宋体"/>
                <w:sz w:val="24"/>
              </w:rPr>
            </w:pPr>
            <w:r>
              <w:rPr>
                <w:rFonts w:hAnsi="宋体"/>
                <w:sz w:val="24"/>
              </w:rPr>
              <w:t>式中：</w:t>
            </w:r>
            <w:r>
              <w:rPr>
                <w:sz w:val="24"/>
              </w:rPr>
              <w:t>L</w:t>
            </w:r>
            <w:r>
              <w:rPr>
                <w:rFonts w:hint="eastAsia"/>
                <w:sz w:val="24"/>
                <w:vertAlign w:val="subscript"/>
              </w:rPr>
              <w:t xml:space="preserve">A </w:t>
            </w:r>
            <w:r>
              <w:rPr>
                <w:rFonts w:hint="eastAsia"/>
                <w:sz w:val="24"/>
              </w:rPr>
              <w:t>(</w:t>
            </w:r>
            <w:r>
              <w:rPr>
                <w:sz w:val="24"/>
              </w:rPr>
              <w:t>r</w:t>
            </w:r>
            <w:r>
              <w:rPr>
                <w:sz w:val="24"/>
                <w:vertAlign w:val="subscript"/>
              </w:rPr>
              <w:t>0</w:t>
            </w:r>
            <w:r>
              <w:rPr>
                <w:rFonts w:hint="eastAsia"/>
                <w:sz w:val="24"/>
              </w:rPr>
              <w:t>) 、</w:t>
            </w:r>
            <w:r>
              <w:rPr>
                <w:sz w:val="24"/>
              </w:rPr>
              <w:t>L</w:t>
            </w:r>
            <w:r>
              <w:rPr>
                <w:rFonts w:hint="eastAsia"/>
                <w:sz w:val="24"/>
                <w:vertAlign w:val="subscript"/>
              </w:rPr>
              <w:t xml:space="preserve">A </w:t>
            </w:r>
            <w:r>
              <w:rPr>
                <w:rFonts w:hint="eastAsia"/>
                <w:sz w:val="24"/>
              </w:rPr>
              <w:t>(</w:t>
            </w:r>
            <w:r>
              <w:rPr>
                <w:sz w:val="24"/>
              </w:rPr>
              <w:t>r</w:t>
            </w:r>
            <w:r>
              <w:rPr>
                <w:rFonts w:hint="eastAsia"/>
                <w:sz w:val="24"/>
              </w:rPr>
              <w:t>)</w:t>
            </w:r>
            <w:r>
              <w:rPr>
                <w:rFonts w:hAnsi="宋体"/>
                <w:sz w:val="24"/>
              </w:rPr>
              <w:t>分别为距离</w:t>
            </w:r>
            <w:r>
              <w:rPr>
                <w:sz w:val="24"/>
              </w:rPr>
              <w:t>r</w:t>
            </w:r>
            <w:r>
              <w:rPr>
                <w:rFonts w:hint="eastAsia"/>
                <w:sz w:val="24"/>
                <w:vertAlign w:val="subscript"/>
              </w:rPr>
              <w:t>0</w:t>
            </w:r>
            <w:r>
              <w:rPr>
                <w:rFonts w:hAnsi="宋体"/>
                <w:sz w:val="24"/>
              </w:rPr>
              <w:t>、</w:t>
            </w:r>
            <w:r>
              <w:rPr>
                <w:sz w:val="24"/>
              </w:rPr>
              <w:t>r</w:t>
            </w:r>
            <w:r>
              <w:rPr>
                <w:rFonts w:hAnsi="宋体"/>
                <w:sz w:val="24"/>
              </w:rPr>
              <w:t>处的噪声声级。取</w:t>
            </w:r>
            <w:r>
              <w:rPr>
                <w:sz w:val="24"/>
              </w:rPr>
              <w:t>r</w:t>
            </w:r>
            <w:r>
              <w:rPr>
                <w:rFonts w:hint="eastAsia"/>
                <w:sz w:val="24"/>
                <w:vertAlign w:val="subscript"/>
              </w:rPr>
              <w:t>0</w:t>
            </w:r>
            <w:r>
              <w:rPr>
                <w:rFonts w:hAnsi="宋体"/>
                <w:sz w:val="24"/>
              </w:rPr>
              <w:t>为</w:t>
            </w:r>
            <w:r>
              <w:rPr>
                <w:sz w:val="24"/>
              </w:rPr>
              <w:t>1</w:t>
            </w:r>
            <w:r>
              <w:rPr>
                <w:rFonts w:hAnsi="宋体"/>
                <w:sz w:val="24"/>
              </w:rPr>
              <w:t>米，噪声随距离的衰减量见表</w:t>
            </w:r>
            <w:r>
              <w:rPr>
                <w:rFonts w:hint="eastAsia"/>
                <w:sz w:val="24"/>
              </w:rPr>
              <w:t>7-4</w:t>
            </w:r>
            <w:r>
              <w:rPr>
                <w:rFonts w:hAnsi="宋体"/>
                <w:sz w:val="24"/>
              </w:rPr>
              <w:t>。</w:t>
            </w:r>
          </w:p>
          <w:p>
            <w:pPr>
              <w:spacing w:line="360" w:lineRule="auto"/>
              <w:jc w:val="center"/>
              <w:rPr>
                <w:rFonts w:hAnsi="宋体"/>
                <w:b/>
                <w:sz w:val="24"/>
              </w:rPr>
            </w:pPr>
            <w:r>
              <w:rPr>
                <w:rFonts w:hint="eastAsia" w:hAnsi="宋体"/>
                <w:b/>
                <w:sz w:val="24"/>
              </w:rPr>
              <w:t>表7-4  噪声与距离的衰减关系</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502"/>
              <w:gridCol w:w="1500"/>
              <w:gridCol w:w="1499"/>
              <w:gridCol w:w="1501"/>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vMerge w:val="restart"/>
                  <w:noWrap w:val="0"/>
                  <w:vAlign w:val="center"/>
                </w:tcPr>
                <w:p>
                  <w:pPr>
                    <w:jc w:val="center"/>
                    <w:rPr>
                      <w:rFonts w:hAnsi="宋体"/>
                      <w:szCs w:val="21"/>
                    </w:rPr>
                  </w:pPr>
                  <w:r>
                    <w:rPr>
                      <w:rFonts w:hint="eastAsia" w:hAnsi="宋体"/>
                      <w:szCs w:val="21"/>
                    </w:rPr>
                    <w:t>距离</w:t>
                  </w:r>
                </w:p>
              </w:tc>
              <w:tc>
                <w:tcPr>
                  <w:tcW w:w="1502" w:type="dxa"/>
                  <w:vMerge w:val="restart"/>
                  <w:noWrap w:val="0"/>
                  <w:vAlign w:val="center"/>
                </w:tcPr>
                <w:p>
                  <w:pPr>
                    <w:jc w:val="center"/>
                    <w:rPr>
                      <w:rFonts w:hAnsi="宋体"/>
                      <w:szCs w:val="21"/>
                    </w:rPr>
                  </w:pPr>
                  <w:r>
                    <w:rPr>
                      <w:rFonts w:hint="eastAsia" w:hAnsi="宋体"/>
                      <w:szCs w:val="21"/>
                    </w:rPr>
                    <w:t>衰减值</w:t>
                  </w:r>
                </w:p>
                <w:p>
                  <w:pPr>
                    <w:jc w:val="center"/>
                    <w:rPr>
                      <w:rFonts w:hAnsi="宋体"/>
                      <w:szCs w:val="21"/>
                    </w:rPr>
                  </w:pPr>
                  <w:r>
                    <w:rPr>
                      <w:rFonts w:hint="eastAsia"/>
                      <w:szCs w:val="21"/>
                    </w:rPr>
                    <w:t>[dB(A)]</w:t>
                  </w:r>
                </w:p>
              </w:tc>
              <w:tc>
                <w:tcPr>
                  <w:tcW w:w="5999" w:type="dxa"/>
                  <w:gridSpan w:val="4"/>
                  <w:noWrap w:val="0"/>
                  <w:vAlign w:val="center"/>
                </w:tcPr>
                <w:p>
                  <w:pPr>
                    <w:jc w:val="center"/>
                    <w:rPr>
                      <w:rFonts w:hAnsi="宋体"/>
                      <w:szCs w:val="21"/>
                    </w:rPr>
                  </w:pPr>
                  <w:r>
                    <w:rPr>
                      <w:rFonts w:hint="eastAsia" w:hAnsi="宋体"/>
                      <w:szCs w:val="21"/>
                    </w:rPr>
                    <w:t>机械、设备噪声源强</w:t>
                  </w:r>
                  <w:r>
                    <w:rPr>
                      <w:rFonts w:hint="eastAsia"/>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vMerge w:val="continue"/>
                  <w:noWrap w:val="0"/>
                  <w:vAlign w:val="center"/>
                </w:tcPr>
                <w:p>
                  <w:pPr>
                    <w:jc w:val="center"/>
                    <w:rPr>
                      <w:rFonts w:hAnsi="宋体"/>
                      <w:szCs w:val="21"/>
                    </w:rPr>
                  </w:pPr>
                </w:p>
              </w:tc>
              <w:tc>
                <w:tcPr>
                  <w:tcW w:w="1502" w:type="dxa"/>
                  <w:vMerge w:val="continue"/>
                  <w:noWrap w:val="0"/>
                  <w:vAlign w:val="center"/>
                </w:tcPr>
                <w:p>
                  <w:pPr>
                    <w:jc w:val="center"/>
                    <w:rPr>
                      <w:rFonts w:hAnsi="宋体"/>
                      <w:szCs w:val="21"/>
                    </w:rPr>
                  </w:pPr>
                </w:p>
              </w:tc>
              <w:tc>
                <w:tcPr>
                  <w:tcW w:w="1500" w:type="dxa"/>
                  <w:noWrap w:val="0"/>
                  <w:vAlign w:val="center"/>
                </w:tcPr>
                <w:p>
                  <w:pPr>
                    <w:jc w:val="center"/>
                    <w:rPr>
                      <w:rFonts w:hAnsi="宋体"/>
                      <w:szCs w:val="21"/>
                    </w:rPr>
                  </w:pPr>
                  <w:r>
                    <w:rPr>
                      <w:rFonts w:hint="eastAsia"/>
                      <w:szCs w:val="21"/>
                    </w:rPr>
                    <w:t>车辆噪声</w:t>
                  </w:r>
                </w:p>
              </w:tc>
              <w:tc>
                <w:tcPr>
                  <w:tcW w:w="1499" w:type="dxa"/>
                  <w:noWrap w:val="0"/>
                  <w:vAlign w:val="center"/>
                </w:tcPr>
                <w:p>
                  <w:pPr>
                    <w:jc w:val="center"/>
                    <w:rPr>
                      <w:rFonts w:hAnsi="宋体"/>
                      <w:szCs w:val="21"/>
                    </w:rPr>
                  </w:pPr>
                  <w:r>
                    <w:rPr>
                      <w:rFonts w:hint="eastAsia"/>
                      <w:szCs w:val="21"/>
                    </w:rPr>
                    <w:t>商业噪声</w:t>
                  </w:r>
                </w:p>
              </w:tc>
              <w:tc>
                <w:tcPr>
                  <w:tcW w:w="1501" w:type="dxa"/>
                  <w:noWrap w:val="0"/>
                  <w:vAlign w:val="center"/>
                </w:tcPr>
                <w:p>
                  <w:pPr>
                    <w:jc w:val="center"/>
                    <w:rPr>
                      <w:rFonts w:hAnsi="宋体"/>
                      <w:szCs w:val="21"/>
                    </w:rPr>
                  </w:pPr>
                  <w:r>
                    <w:rPr>
                      <w:rFonts w:hint="eastAsia" w:hAnsi="宋体"/>
                      <w:szCs w:val="21"/>
                    </w:rPr>
                    <w:t>垃圾清运</w:t>
                  </w:r>
                </w:p>
              </w:tc>
              <w:tc>
                <w:tcPr>
                  <w:tcW w:w="1499" w:type="dxa"/>
                  <w:noWrap w:val="0"/>
                  <w:vAlign w:val="center"/>
                </w:tcPr>
                <w:p>
                  <w:pPr>
                    <w:jc w:val="center"/>
                    <w:rPr>
                      <w:rFonts w:hAnsi="宋体"/>
                      <w:szCs w:val="21"/>
                    </w:rPr>
                  </w:pPr>
                  <w:r>
                    <w:rPr>
                      <w:rFonts w:hint="eastAsia"/>
                      <w:szCs w:val="21"/>
                    </w:rPr>
                    <w:t>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vMerge w:val="continue"/>
                  <w:noWrap w:val="0"/>
                  <w:vAlign w:val="center"/>
                </w:tcPr>
                <w:p>
                  <w:pPr>
                    <w:jc w:val="center"/>
                    <w:rPr>
                      <w:rFonts w:hAnsi="宋体"/>
                      <w:szCs w:val="21"/>
                    </w:rPr>
                  </w:pPr>
                </w:p>
              </w:tc>
              <w:tc>
                <w:tcPr>
                  <w:tcW w:w="1502" w:type="dxa"/>
                  <w:vMerge w:val="continue"/>
                  <w:noWrap w:val="0"/>
                  <w:vAlign w:val="center"/>
                </w:tcPr>
                <w:p>
                  <w:pPr>
                    <w:jc w:val="center"/>
                    <w:rPr>
                      <w:rFonts w:hAnsi="宋体"/>
                      <w:szCs w:val="21"/>
                    </w:rPr>
                  </w:pPr>
                </w:p>
              </w:tc>
              <w:tc>
                <w:tcPr>
                  <w:tcW w:w="1500" w:type="dxa"/>
                  <w:noWrap w:val="0"/>
                  <w:vAlign w:val="center"/>
                </w:tcPr>
                <w:p>
                  <w:pPr>
                    <w:jc w:val="center"/>
                    <w:rPr>
                      <w:rFonts w:hAnsi="宋体"/>
                      <w:szCs w:val="21"/>
                    </w:rPr>
                  </w:pPr>
                  <w:r>
                    <w:rPr>
                      <w:rFonts w:hint="eastAsia" w:hAnsi="宋体"/>
                      <w:szCs w:val="21"/>
                    </w:rPr>
                    <w:t>70</w:t>
                  </w:r>
                </w:p>
              </w:tc>
              <w:tc>
                <w:tcPr>
                  <w:tcW w:w="1499" w:type="dxa"/>
                  <w:noWrap w:val="0"/>
                  <w:vAlign w:val="center"/>
                </w:tcPr>
                <w:p>
                  <w:pPr>
                    <w:jc w:val="center"/>
                    <w:rPr>
                      <w:rFonts w:hAnsi="宋体"/>
                      <w:szCs w:val="21"/>
                    </w:rPr>
                  </w:pPr>
                  <w:r>
                    <w:rPr>
                      <w:rFonts w:hint="eastAsia" w:hAnsi="宋体"/>
                      <w:szCs w:val="21"/>
                    </w:rPr>
                    <w:t>80</w:t>
                  </w:r>
                </w:p>
              </w:tc>
              <w:tc>
                <w:tcPr>
                  <w:tcW w:w="1501" w:type="dxa"/>
                  <w:noWrap w:val="0"/>
                  <w:vAlign w:val="center"/>
                </w:tcPr>
                <w:p>
                  <w:pPr>
                    <w:jc w:val="center"/>
                    <w:rPr>
                      <w:rFonts w:hAnsi="宋体"/>
                      <w:szCs w:val="21"/>
                    </w:rPr>
                  </w:pPr>
                  <w:r>
                    <w:rPr>
                      <w:rFonts w:hint="eastAsia" w:hAnsi="宋体"/>
                      <w:szCs w:val="21"/>
                    </w:rPr>
                    <w:t>60</w:t>
                  </w:r>
                </w:p>
              </w:tc>
              <w:tc>
                <w:tcPr>
                  <w:tcW w:w="1499" w:type="dxa"/>
                  <w:noWrap w:val="0"/>
                  <w:vAlign w:val="center"/>
                </w:tcPr>
                <w:p>
                  <w:pPr>
                    <w:jc w:val="center"/>
                    <w:rPr>
                      <w:rFonts w:hAnsi="宋体"/>
                      <w:szCs w:val="21"/>
                    </w:rPr>
                  </w:pPr>
                  <w:r>
                    <w:rPr>
                      <w:rFonts w:hint="eastAsia"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noWrap w:val="0"/>
                  <w:vAlign w:val="center"/>
                </w:tcPr>
                <w:p>
                  <w:pPr>
                    <w:jc w:val="center"/>
                    <w:rPr>
                      <w:rFonts w:hAnsi="宋体"/>
                      <w:szCs w:val="21"/>
                    </w:rPr>
                  </w:pPr>
                  <w:r>
                    <w:rPr>
                      <w:rFonts w:hint="eastAsia" w:hAnsi="宋体"/>
                      <w:szCs w:val="21"/>
                    </w:rPr>
                    <w:t>10</w:t>
                  </w:r>
                </w:p>
              </w:tc>
              <w:tc>
                <w:tcPr>
                  <w:tcW w:w="1502" w:type="dxa"/>
                  <w:noWrap w:val="0"/>
                  <w:vAlign w:val="center"/>
                </w:tcPr>
                <w:p>
                  <w:pPr>
                    <w:jc w:val="center"/>
                    <w:rPr>
                      <w:rFonts w:hAnsi="宋体"/>
                      <w:szCs w:val="21"/>
                    </w:rPr>
                  </w:pPr>
                  <w:r>
                    <w:rPr>
                      <w:rFonts w:hint="eastAsia" w:hAnsi="宋体"/>
                      <w:szCs w:val="21"/>
                    </w:rPr>
                    <w:t>20</w:t>
                  </w:r>
                </w:p>
              </w:tc>
              <w:tc>
                <w:tcPr>
                  <w:tcW w:w="1500" w:type="dxa"/>
                  <w:noWrap w:val="0"/>
                  <w:vAlign w:val="center"/>
                </w:tcPr>
                <w:p>
                  <w:pPr>
                    <w:jc w:val="center"/>
                    <w:rPr>
                      <w:rFonts w:hAnsi="宋体"/>
                      <w:szCs w:val="21"/>
                    </w:rPr>
                  </w:pPr>
                  <w:r>
                    <w:rPr>
                      <w:rFonts w:hint="eastAsia" w:hAnsi="宋体"/>
                      <w:szCs w:val="21"/>
                    </w:rPr>
                    <w:t>50</w:t>
                  </w:r>
                </w:p>
              </w:tc>
              <w:tc>
                <w:tcPr>
                  <w:tcW w:w="1499" w:type="dxa"/>
                  <w:noWrap w:val="0"/>
                  <w:vAlign w:val="center"/>
                </w:tcPr>
                <w:p>
                  <w:pPr>
                    <w:jc w:val="center"/>
                    <w:rPr>
                      <w:rFonts w:hAnsi="宋体"/>
                      <w:szCs w:val="21"/>
                    </w:rPr>
                  </w:pPr>
                  <w:r>
                    <w:rPr>
                      <w:rFonts w:hint="eastAsia" w:hAnsi="宋体"/>
                      <w:szCs w:val="21"/>
                    </w:rPr>
                    <w:t>60</w:t>
                  </w:r>
                </w:p>
              </w:tc>
              <w:tc>
                <w:tcPr>
                  <w:tcW w:w="1501" w:type="dxa"/>
                  <w:noWrap w:val="0"/>
                  <w:vAlign w:val="center"/>
                </w:tcPr>
                <w:p>
                  <w:pPr>
                    <w:jc w:val="center"/>
                    <w:rPr>
                      <w:rFonts w:hAnsi="宋体"/>
                      <w:szCs w:val="21"/>
                    </w:rPr>
                  </w:pPr>
                  <w:r>
                    <w:rPr>
                      <w:rFonts w:hint="eastAsia" w:hAnsi="宋体"/>
                      <w:szCs w:val="21"/>
                    </w:rPr>
                    <w:t>40</w:t>
                  </w:r>
                </w:p>
              </w:tc>
              <w:tc>
                <w:tcPr>
                  <w:tcW w:w="1499" w:type="dxa"/>
                  <w:noWrap w:val="0"/>
                  <w:vAlign w:val="center"/>
                </w:tcPr>
                <w:p>
                  <w:pPr>
                    <w:jc w:val="center"/>
                    <w:rPr>
                      <w:rFonts w:hAnsi="宋体"/>
                      <w:szCs w:val="21"/>
                    </w:rPr>
                  </w:pPr>
                  <w:r>
                    <w:rPr>
                      <w:rFonts w:hint="eastAsia" w:hAnsi="宋体"/>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noWrap w:val="0"/>
                  <w:vAlign w:val="center"/>
                </w:tcPr>
                <w:p>
                  <w:pPr>
                    <w:jc w:val="center"/>
                    <w:rPr>
                      <w:rFonts w:hAnsi="宋体"/>
                      <w:szCs w:val="21"/>
                    </w:rPr>
                  </w:pPr>
                  <w:r>
                    <w:rPr>
                      <w:rFonts w:hint="eastAsia" w:hAnsi="宋体"/>
                      <w:szCs w:val="21"/>
                    </w:rPr>
                    <w:t>20</w:t>
                  </w:r>
                </w:p>
              </w:tc>
              <w:tc>
                <w:tcPr>
                  <w:tcW w:w="1502" w:type="dxa"/>
                  <w:noWrap w:val="0"/>
                  <w:vAlign w:val="center"/>
                </w:tcPr>
                <w:p>
                  <w:pPr>
                    <w:jc w:val="center"/>
                    <w:rPr>
                      <w:rFonts w:hAnsi="宋体"/>
                      <w:szCs w:val="21"/>
                    </w:rPr>
                  </w:pPr>
                  <w:r>
                    <w:rPr>
                      <w:rFonts w:hint="eastAsia" w:hAnsi="宋体"/>
                      <w:szCs w:val="21"/>
                    </w:rPr>
                    <w:t>26</w:t>
                  </w:r>
                </w:p>
              </w:tc>
              <w:tc>
                <w:tcPr>
                  <w:tcW w:w="1500" w:type="dxa"/>
                  <w:noWrap w:val="0"/>
                  <w:vAlign w:val="center"/>
                </w:tcPr>
                <w:p>
                  <w:pPr>
                    <w:jc w:val="center"/>
                    <w:rPr>
                      <w:rFonts w:hAnsi="宋体"/>
                      <w:szCs w:val="21"/>
                    </w:rPr>
                  </w:pPr>
                  <w:r>
                    <w:rPr>
                      <w:rFonts w:hint="eastAsia" w:hAnsi="宋体"/>
                      <w:szCs w:val="21"/>
                    </w:rPr>
                    <w:t>44</w:t>
                  </w:r>
                </w:p>
              </w:tc>
              <w:tc>
                <w:tcPr>
                  <w:tcW w:w="1499" w:type="dxa"/>
                  <w:noWrap w:val="0"/>
                  <w:vAlign w:val="center"/>
                </w:tcPr>
                <w:p>
                  <w:pPr>
                    <w:jc w:val="center"/>
                    <w:rPr>
                      <w:rFonts w:hAnsi="宋体"/>
                      <w:szCs w:val="21"/>
                    </w:rPr>
                  </w:pPr>
                  <w:r>
                    <w:rPr>
                      <w:rFonts w:hint="eastAsia" w:hAnsi="宋体"/>
                      <w:szCs w:val="21"/>
                    </w:rPr>
                    <w:t>54</w:t>
                  </w:r>
                </w:p>
              </w:tc>
              <w:tc>
                <w:tcPr>
                  <w:tcW w:w="1501" w:type="dxa"/>
                  <w:noWrap w:val="0"/>
                  <w:vAlign w:val="center"/>
                </w:tcPr>
                <w:p>
                  <w:pPr>
                    <w:jc w:val="center"/>
                    <w:rPr>
                      <w:rFonts w:hAnsi="宋体"/>
                      <w:szCs w:val="21"/>
                    </w:rPr>
                  </w:pPr>
                  <w:r>
                    <w:rPr>
                      <w:rFonts w:hint="eastAsia" w:hAnsi="宋体"/>
                      <w:szCs w:val="21"/>
                    </w:rPr>
                    <w:t>34</w:t>
                  </w:r>
                </w:p>
              </w:tc>
              <w:tc>
                <w:tcPr>
                  <w:tcW w:w="1499" w:type="dxa"/>
                  <w:noWrap w:val="0"/>
                  <w:vAlign w:val="center"/>
                </w:tcPr>
                <w:p>
                  <w:pPr>
                    <w:jc w:val="center"/>
                    <w:rPr>
                      <w:rFonts w:hAnsi="宋体"/>
                      <w:szCs w:val="21"/>
                    </w:rPr>
                  </w:pPr>
                  <w:r>
                    <w:rPr>
                      <w:rFonts w:hint="eastAsia" w:hAnsi="宋体"/>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noWrap w:val="0"/>
                  <w:vAlign w:val="center"/>
                </w:tcPr>
                <w:p>
                  <w:pPr>
                    <w:jc w:val="center"/>
                    <w:rPr>
                      <w:rFonts w:hAnsi="宋体"/>
                      <w:szCs w:val="21"/>
                    </w:rPr>
                  </w:pPr>
                  <w:r>
                    <w:rPr>
                      <w:rFonts w:hint="eastAsia" w:hAnsi="宋体"/>
                      <w:szCs w:val="21"/>
                    </w:rPr>
                    <w:t>30</w:t>
                  </w:r>
                </w:p>
              </w:tc>
              <w:tc>
                <w:tcPr>
                  <w:tcW w:w="1502" w:type="dxa"/>
                  <w:noWrap w:val="0"/>
                  <w:vAlign w:val="center"/>
                </w:tcPr>
                <w:p>
                  <w:pPr>
                    <w:jc w:val="center"/>
                    <w:rPr>
                      <w:rFonts w:hAnsi="宋体"/>
                      <w:szCs w:val="21"/>
                    </w:rPr>
                  </w:pPr>
                  <w:r>
                    <w:rPr>
                      <w:rFonts w:hint="eastAsia" w:hAnsi="宋体"/>
                      <w:szCs w:val="21"/>
                    </w:rPr>
                    <w:t>29.5</w:t>
                  </w:r>
                </w:p>
              </w:tc>
              <w:tc>
                <w:tcPr>
                  <w:tcW w:w="1500" w:type="dxa"/>
                  <w:noWrap w:val="0"/>
                  <w:vAlign w:val="center"/>
                </w:tcPr>
                <w:p>
                  <w:pPr>
                    <w:jc w:val="center"/>
                    <w:rPr>
                      <w:rFonts w:hAnsi="宋体"/>
                      <w:szCs w:val="21"/>
                    </w:rPr>
                  </w:pPr>
                  <w:r>
                    <w:rPr>
                      <w:rFonts w:hint="eastAsia" w:hAnsi="宋体"/>
                      <w:szCs w:val="21"/>
                    </w:rPr>
                    <w:t>40.5</w:t>
                  </w:r>
                </w:p>
              </w:tc>
              <w:tc>
                <w:tcPr>
                  <w:tcW w:w="1499" w:type="dxa"/>
                  <w:noWrap w:val="0"/>
                  <w:vAlign w:val="center"/>
                </w:tcPr>
                <w:p>
                  <w:pPr>
                    <w:jc w:val="center"/>
                    <w:rPr>
                      <w:rFonts w:hAnsi="宋体"/>
                      <w:szCs w:val="21"/>
                    </w:rPr>
                  </w:pPr>
                  <w:r>
                    <w:rPr>
                      <w:rFonts w:hint="eastAsia" w:hAnsi="宋体"/>
                      <w:szCs w:val="21"/>
                    </w:rPr>
                    <w:t>50.5</w:t>
                  </w:r>
                </w:p>
              </w:tc>
              <w:tc>
                <w:tcPr>
                  <w:tcW w:w="1501" w:type="dxa"/>
                  <w:noWrap w:val="0"/>
                  <w:vAlign w:val="center"/>
                </w:tcPr>
                <w:p>
                  <w:pPr>
                    <w:jc w:val="center"/>
                    <w:rPr>
                      <w:rFonts w:hAnsi="宋体"/>
                      <w:szCs w:val="21"/>
                    </w:rPr>
                  </w:pPr>
                  <w:r>
                    <w:rPr>
                      <w:rFonts w:hint="eastAsia" w:hAnsi="宋体"/>
                      <w:szCs w:val="21"/>
                    </w:rPr>
                    <w:t>30.5</w:t>
                  </w:r>
                </w:p>
              </w:tc>
              <w:tc>
                <w:tcPr>
                  <w:tcW w:w="1499" w:type="dxa"/>
                  <w:noWrap w:val="0"/>
                  <w:vAlign w:val="center"/>
                </w:tcPr>
                <w:p>
                  <w:pPr>
                    <w:jc w:val="center"/>
                    <w:rPr>
                      <w:rFonts w:hAnsi="宋体"/>
                      <w:szCs w:val="21"/>
                    </w:rPr>
                  </w:pPr>
                  <w:r>
                    <w:rPr>
                      <w:rFonts w:hint="eastAsia" w:hAnsi="宋体"/>
                      <w:szCs w:val="21"/>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noWrap w:val="0"/>
                  <w:vAlign w:val="center"/>
                </w:tcPr>
                <w:p>
                  <w:pPr>
                    <w:jc w:val="center"/>
                    <w:rPr>
                      <w:rFonts w:hAnsi="宋体"/>
                      <w:szCs w:val="21"/>
                    </w:rPr>
                  </w:pPr>
                  <w:r>
                    <w:rPr>
                      <w:rFonts w:hint="eastAsia" w:hAnsi="宋体"/>
                      <w:szCs w:val="21"/>
                    </w:rPr>
                    <w:t>40</w:t>
                  </w:r>
                </w:p>
              </w:tc>
              <w:tc>
                <w:tcPr>
                  <w:tcW w:w="1502" w:type="dxa"/>
                  <w:noWrap w:val="0"/>
                  <w:vAlign w:val="center"/>
                </w:tcPr>
                <w:p>
                  <w:pPr>
                    <w:jc w:val="center"/>
                    <w:rPr>
                      <w:rFonts w:hAnsi="宋体"/>
                      <w:szCs w:val="21"/>
                    </w:rPr>
                  </w:pPr>
                  <w:r>
                    <w:rPr>
                      <w:rFonts w:hint="eastAsia" w:hAnsi="宋体"/>
                      <w:szCs w:val="21"/>
                    </w:rPr>
                    <w:t>32</w:t>
                  </w:r>
                </w:p>
              </w:tc>
              <w:tc>
                <w:tcPr>
                  <w:tcW w:w="1500" w:type="dxa"/>
                  <w:noWrap w:val="0"/>
                  <w:vAlign w:val="center"/>
                </w:tcPr>
                <w:p>
                  <w:pPr>
                    <w:jc w:val="center"/>
                    <w:rPr>
                      <w:rFonts w:hAnsi="宋体"/>
                      <w:szCs w:val="21"/>
                    </w:rPr>
                  </w:pPr>
                  <w:r>
                    <w:rPr>
                      <w:rFonts w:hint="eastAsia" w:hAnsi="宋体"/>
                      <w:szCs w:val="21"/>
                    </w:rPr>
                    <w:t>38</w:t>
                  </w:r>
                </w:p>
              </w:tc>
              <w:tc>
                <w:tcPr>
                  <w:tcW w:w="1499" w:type="dxa"/>
                  <w:noWrap w:val="0"/>
                  <w:vAlign w:val="center"/>
                </w:tcPr>
                <w:p>
                  <w:pPr>
                    <w:jc w:val="center"/>
                    <w:rPr>
                      <w:rFonts w:hAnsi="宋体"/>
                      <w:szCs w:val="21"/>
                    </w:rPr>
                  </w:pPr>
                  <w:r>
                    <w:rPr>
                      <w:rFonts w:hint="eastAsia" w:hAnsi="宋体"/>
                      <w:szCs w:val="21"/>
                    </w:rPr>
                    <w:t>48</w:t>
                  </w:r>
                </w:p>
              </w:tc>
              <w:tc>
                <w:tcPr>
                  <w:tcW w:w="1501" w:type="dxa"/>
                  <w:noWrap w:val="0"/>
                  <w:vAlign w:val="center"/>
                </w:tcPr>
                <w:p>
                  <w:pPr>
                    <w:jc w:val="center"/>
                    <w:rPr>
                      <w:rFonts w:hAnsi="宋体"/>
                      <w:szCs w:val="21"/>
                    </w:rPr>
                  </w:pPr>
                  <w:r>
                    <w:rPr>
                      <w:rFonts w:hint="eastAsia" w:hAnsi="宋体"/>
                      <w:szCs w:val="21"/>
                    </w:rPr>
                    <w:t>28</w:t>
                  </w:r>
                </w:p>
              </w:tc>
              <w:tc>
                <w:tcPr>
                  <w:tcW w:w="1499" w:type="dxa"/>
                  <w:noWrap w:val="0"/>
                  <w:vAlign w:val="center"/>
                </w:tcPr>
                <w:p>
                  <w:pPr>
                    <w:jc w:val="center"/>
                    <w:rPr>
                      <w:rFonts w:hAnsi="宋体"/>
                      <w:szCs w:val="21"/>
                    </w:rPr>
                  </w:pPr>
                  <w:r>
                    <w:rPr>
                      <w:rFonts w:hint="eastAsia" w:hAnsi="宋体"/>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noWrap w:val="0"/>
                  <w:vAlign w:val="center"/>
                </w:tcPr>
                <w:p>
                  <w:pPr>
                    <w:jc w:val="center"/>
                    <w:rPr>
                      <w:rFonts w:hAnsi="宋体"/>
                      <w:szCs w:val="21"/>
                    </w:rPr>
                  </w:pPr>
                  <w:r>
                    <w:rPr>
                      <w:rFonts w:hint="eastAsia" w:hAnsi="宋体"/>
                      <w:szCs w:val="21"/>
                    </w:rPr>
                    <w:t>50</w:t>
                  </w:r>
                </w:p>
              </w:tc>
              <w:tc>
                <w:tcPr>
                  <w:tcW w:w="1502" w:type="dxa"/>
                  <w:noWrap w:val="0"/>
                  <w:vAlign w:val="center"/>
                </w:tcPr>
                <w:p>
                  <w:pPr>
                    <w:jc w:val="center"/>
                    <w:rPr>
                      <w:rFonts w:hAnsi="宋体"/>
                      <w:szCs w:val="21"/>
                    </w:rPr>
                  </w:pPr>
                  <w:r>
                    <w:rPr>
                      <w:rFonts w:hint="eastAsia" w:hAnsi="宋体"/>
                      <w:szCs w:val="21"/>
                    </w:rPr>
                    <w:t>34</w:t>
                  </w:r>
                </w:p>
              </w:tc>
              <w:tc>
                <w:tcPr>
                  <w:tcW w:w="1500" w:type="dxa"/>
                  <w:noWrap w:val="0"/>
                  <w:vAlign w:val="center"/>
                </w:tcPr>
                <w:p>
                  <w:pPr>
                    <w:jc w:val="center"/>
                    <w:rPr>
                      <w:rFonts w:hAnsi="宋体"/>
                      <w:szCs w:val="21"/>
                    </w:rPr>
                  </w:pPr>
                  <w:r>
                    <w:rPr>
                      <w:rFonts w:hint="eastAsia" w:hAnsi="宋体"/>
                      <w:szCs w:val="21"/>
                    </w:rPr>
                    <w:t>36</w:t>
                  </w:r>
                </w:p>
              </w:tc>
              <w:tc>
                <w:tcPr>
                  <w:tcW w:w="1499" w:type="dxa"/>
                  <w:noWrap w:val="0"/>
                  <w:vAlign w:val="center"/>
                </w:tcPr>
                <w:p>
                  <w:pPr>
                    <w:jc w:val="center"/>
                    <w:rPr>
                      <w:rFonts w:hAnsi="宋体"/>
                      <w:szCs w:val="21"/>
                    </w:rPr>
                  </w:pPr>
                  <w:r>
                    <w:rPr>
                      <w:rFonts w:hint="eastAsia" w:hAnsi="宋体"/>
                      <w:szCs w:val="21"/>
                    </w:rPr>
                    <w:t>46</w:t>
                  </w:r>
                </w:p>
              </w:tc>
              <w:tc>
                <w:tcPr>
                  <w:tcW w:w="1501" w:type="dxa"/>
                  <w:noWrap w:val="0"/>
                  <w:vAlign w:val="center"/>
                </w:tcPr>
                <w:p>
                  <w:pPr>
                    <w:jc w:val="center"/>
                    <w:rPr>
                      <w:rFonts w:hAnsi="宋体"/>
                      <w:szCs w:val="21"/>
                    </w:rPr>
                  </w:pPr>
                  <w:r>
                    <w:rPr>
                      <w:rFonts w:hint="eastAsia" w:hAnsi="宋体"/>
                      <w:szCs w:val="21"/>
                    </w:rPr>
                    <w:t>26</w:t>
                  </w:r>
                </w:p>
              </w:tc>
              <w:tc>
                <w:tcPr>
                  <w:tcW w:w="1499" w:type="dxa"/>
                  <w:noWrap w:val="0"/>
                  <w:vAlign w:val="center"/>
                </w:tcPr>
                <w:p>
                  <w:pPr>
                    <w:jc w:val="center"/>
                    <w:rPr>
                      <w:rFonts w:hAnsi="宋体"/>
                      <w:szCs w:val="21"/>
                    </w:rPr>
                  </w:pPr>
                  <w:r>
                    <w:rPr>
                      <w:rFonts w:hint="eastAsia" w:hAnsi="宋体"/>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noWrap w:val="0"/>
                  <w:vAlign w:val="center"/>
                </w:tcPr>
                <w:p>
                  <w:pPr>
                    <w:jc w:val="center"/>
                    <w:rPr>
                      <w:rFonts w:hAnsi="宋体"/>
                      <w:szCs w:val="21"/>
                    </w:rPr>
                  </w:pPr>
                  <w:r>
                    <w:rPr>
                      <w:rFonts w:hint="eastAsia" w:hAnsi="宋体"/>
                      <w:szCs w:val="21"/>
                    </w:rPr>
                    <w:t>100</w:t>
                  </w:r>
                </w:p>
              </w:tc>
              <w:tc>
                <w:tcPr>
                  <w:tcW w:w="1502" w:type="dxa"/>
                  <w:noWrap w:val="0"/>
                  <w:vAlign w:val="center"/>
                </w:tcPr>
                <w:p>
                  <w:pPr>
                    <w:jc w:val="center"/>
                    <w:rPr>
                      <w:rFonts w:hAnsi="宋体"/>
                      <w:szCs w:val="21"/>
                    </w:rPr>
                  </w:pPr>
                  <w:r>
                    <w:rPr>
                      <w:rFonts w:hint="eastAsia" w:hAnsi="宋体"/>
                      <w:szCs w:val="21"/>
                    </w:rPr>
                    <w:t>40</w:t>
                  </w:r>
                </w:p>
              </w:tc>
              <w:tc>
                <w:tcPr>
                  <w:tcW w:w="1500" w:type="dxa"/>
                  <w:noWrap w:val="0"/>
                  <w:vAlign w:val="center"/>
                </w:tcPr>
                <w:p>
                  <w:pPr>
                    <w:jc w:val="center"/>
                    <w:rPr>
                      <w:rFonts w:hAnsi="宋体"/>
                      <w:szCs w:val="21"/>
                    </w:rPr>
                  </w:pPr>
                  <w:r>
                    <w:rPr>
                      <w:rFonts w:hint="eastAsia" w:hAnsi="宋体"/>
                      <w:szCs w:val="21"/>
                    </w:rPr>
                    <w:t>30</w:t>
                  </w:r>
                </w:p>
              </w:tc>
              <w:tc>
                <w:tcPr>
                  <w:tcW w:w="1499" w:type="dxa"/>
                  <w:noWrap w:val="0"/>
                  <w:vAlign w:val="center"/>
                </w:tcPr>
                <w:p>
                  <w:pPr>
                    <w:jc w:val="center"/>
                    <w:rPr>
                      <w:rFonts w:hAnsi="宋体"/>
                      <w:szCs w:val="21"/>
                    </w:rPr>
                  </w:pPr>
                  <w:r>
                    <w:rPr>
                      <w:rFonts w:hint="eastAsia" w:hAnsi="宋体"/>
                      <w:szCs w:val="21"/>
                    </w:rPr>
                    <w:t>40</w:t>
                  </w:r>
                </w:p>
              </w:tc>
              <w:tc>
                <w:tcPr>
                  <w:tcW w:w="1501" w:type="dxa"/>
                  <w:noWrap w:val="0"/>
                  <w:vAlign w:val="center"/>
                </w:tcPr>
                <w:p>
                  <w:pPr>
                    <w:jc w:val="center"/>
                    <w:rPr>
                      <w:rFonts w:hAnsi="宋体"/>
                      <w:szCs w:val="21"/>
                    </w:rPr>
                  </w:pPr>
                  <w:r>
                    <w:rPr>
                      <w:rFonts w:hint="eastAsia" w:hAnsi="宋体"/>
                      <w:szCs w:val="21"/>
                    </w:rPr>
                    <w:t>20</w:t>
                  </w:r>
                </w:p>
              </w:tc>
              <w:tc>
                <w:tcPr>
                  <w:tcW w:w="1499" w:type="dxa"/>
                  <w:noWrap w:val="0"/>
                  <w:vAlign w:val="center"/>
                </w:tcPr>
                <w:p>
                  <w:pPr>
                    <w:jc w:val="center"/>
                    <w:rPr>
                      <w:rFonts w:hAnsi="宋体"/>
                      <w:szCs w:val="21"/>
                    </w:rPr>
                  </w:pPr>
                  <w:r>
                    <w:rPr>
                      <w:rFonts w:hint="eastAsia" w:hAnsi="宋体"/>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noWrap w:val="0"/>
                  <w:vAlign w:val="center"/>
                </w:tcPr>
                <w:p>
                  <w:pPr>
                    <w:jc w:val="center"/>
                    <w:rPr>
                      <w:rFonts w:hAnsi="宋体"/>
                      <w:szCs w:val="21"/>
                    </w:rPr>
                  </w:pPr>
                  <w:r>
                    <w:rPr>
                      <w:rFonts w:hint="eastAsia" w:hAnsi="宋体"/>
                      <w:szCs w:val="21"/>
                    </w:rPr>
                    <w:t>150</w:t>
                  </w:r>
                </w:p>
              </w:tc>
              <w:tc>
                <w:tcPr>
                  <w:tcW w:w="1502" w:type="dxa"/>
                  <w:noWrap w:val="0"/>
                  <w:vAlign w:val="center"/>
                </w:tcPr>
                <w:p>
                  <w:pPr>
                    <w:jc w:val="center"/>
                    <w:rPr>
                      <w:rFonts w:hAnsi="宋体"/>
                      <w:szCs w:val="21"/>
                    </w:rPr>
                  </w:pPr>
                  <w:r>
                    <w:rPr>
                      <w:rFonts w:hint="eastAsia" w:hAnsi="宋体"/>
                      <w:szCs w:val="21"/>
                    </w:rPr>
                    <w:t>43.5</w:t>
                  </w:r>
                </w:p>
              </w:tc>
              <w:tc>
                <w:tcPr>
                  <w:tcW w:w="1500" w:type="dxa"/>
                  <w:noWrap w:val="0"/>
                  <w:vAlign w:val="center"/>
                </w:tcPr>
                <w:p>
                  <w:pPr>
                    <w:jc w:val="center"/>
                    <w:rPr>
                      <w:rFonts w:hAnsi="宋体"/>
                      <w:szCs w:val="21"/>
                    </w:rPr>
                  </w:pPr>
                  <w:r>
                    <w:rPr>
                      <w:rFonts w:hint="eastAsia" w:hAnsi="宋体"/>
                      <w:szCs w:val="21"/>
                    </w:rPr>
                    <w:t>26.5</w:t>
                  </w:r>
                </w:p>
              </w:tc>
              <w:tc>
                <w:tcPr>
                  <w:tcW w:w="1499" w:type="dxa"/>
                  <w:noWrap w:val="0"/>
                  <w:vAlign w:val="center"/>
                </w:tcPr>
                <w:p>
                  <w:pPr>
                    <w:jc w:val="center"/>
                    <w:rPr>
                      <w:rFonts w:hAnsi="宋体"/>
                      <w:szCs w:val="21"/>
                    </w:rPr>
                  </w:pPr>
                  <w:r>
                    <w:rPr>
                      <w:rFonts w:hint="eastAsia" w:hAnsi="宋体"/>
                      <w:szCs w:val="21"/>
                    </w:rPr>
                    <w:t>36.5</w:t>
                  </w:r>
                </w:p>
              </w:tc>
              <w:tc>
                <w:tcPr>
                  <w:tcW w:w="1501" w:type="dxa"/>
                  <w:noWrap w:val="0"/>
                  <w:vAlign w:val="center"/>
                </w:tcPr>
                <w:p>
                  <w:pPr>
                    <w:jc w:val="center"/>
                    <w:rPr>
                      <w:rFonts w:hAnsi="宋体"/>
                      <w:szCs w:val="21"/>
                    </w:rPr>
                  </w:pPr>
                  <w:r>
                    <w:rPr>
                      <w:rFonts w:hint="eastAsia" w:hAnsi="宋体"/>
                      <w:szCs w:val="21"/>
                    </w:rPr>
                    <w:t>16.5</w:t>
                  </w:r>
                </w:p>
              </w:tc>
              <w:tc>
                <w:tcPr>
                  <w:tcW w:w="1499" w:type="dxa"/>
                  <w:noWrap w:val="0"/>
                  <w:vAlign w:val="center"/>
                </w:tcPr>
                <w:p>
                  <w:pPr>
                    <w:jc w:val="center"/>
                    <w:rPr>
                      <w:rFonts w:hAnsi="宋体"/>
                      <w:szCs w:val="21"/>
                    </w:rPr>
                  </w:pPr>
                  <w:r>
                    <w:rPr>
                      <w:rFonts w:hint="eastAsia" w:hAnsi="宋体"/>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99" w:type="dxa"/>
                  <w:noWrap w:val="0"/>
                  <w:vAlign w:val="center"/>
                </w:tcPr>
                <w:p>
                  <w:pPr>
                    <w:jc w:val="center"/>
                    <w:rPr>
                      <w:rFonts w:hAnsi="宋体"/>
                      <w:szCs w:val="21"/>
                    </w:rPr>
                  </w:pPr>
                  <w:r>
                    <w:rPr>
                      <w:rFonts w:hint="eastAsia" w:hAnsi="宋体"/>
                      <w:szCs w:val="21"/>
                    </w:rPr>
                    <w:t>200</w:t>
                  </w:r>
                </w:p>
              </w:tc>
              <w:tc>
                <w:tcPr>
                  <w:tcW w:w="1502" w:type="dxa"/>
                  <w:noWrap w:val="0"/>
                  <w:vAlign w:val="center"/>
                </w:tcPr>
                <w:p>
                  <w:pPr>
                    <w:jc w:val="center"/>
                    <w:rPr>
                      <w:rFonts w:hAnsi="宋体"/>
                      <w:szCs w:val="21"/>
                    </w:rPr>
                  </w:pPr>
                  <w:r>
                    <w:rPr>
                      <w:rFonts w:hint="eastAsia" w:hAnsi="宋体"/>
                      <w:szCs w:val="21"/>
                    </w:rPr>
                    <w:t>46</w:t>
                  </w:r>
                </w:p>
              </w:tc>
              <w:tc>
                <w:tcPr>
                  <w:tcW w:w="1500" w:type="dxa"/>
                  <w:noWrap w:val="0"/>
                  <w:vAlign w:val="center"/>
                </w:tcPr>
                <w:p>
                  <w:pPr>
                    <w:jc w:val="center"/>
                    <w:rPr>
                      <w:rFonts w:hAnsi="宋体"/>
                      <w:szCs w:val="21"/>
                    </w:rPr>
                  </w:pPr>
                  <w:r>
                    <w:rPr>
                      <w:rFonts w:hint="eastAsia" w:hAnsi="宋体"/>
                      <w:szCs w:val="21"/>
                    </w:rPr>
                    <w:t>24</w:t>
                  </w:r>
                </w:p>
              </w:tc>
              <w:tc>
                <w:tcPr>
                  <w:tcW w:w="1499" w:type="dxa"/>
                  <w:noWrap w:val="0"/>
                  <w:vAlign w:val="center"/>
                </w:tcPr>
                <w:p>
                  <w:pPr>
                    <w:jc w:val="center"/>
                    <w:rPr>
                      <w:rFonts w:hAnsi="宋体"/>
                      <w:szCs w:val="21"/>
                    </w:rPr>
                  </w:pPr>
                  <w:r>
                    <w:rPr>
                      <w:rFonts w:hint="eastAsia" w:hAnsi="宋体"/>
                      <w:szCs w:val="21"/>
                    </w:rPr>
                    <w:t>34</w:t>
                  </w:r>
                </w:p>
              </w:tc>
              <w:tc>
                <w:tcPr>
                  <w:tcW w:w="1501" w:type="dxa"/>
                  <w:noWrap w:val="0"/>
                  <w:vAlign w:val="center"/>
                </w:tcPr>
                <w:p>
                  <w:pPr>
                    <w:jc w:val="center"/>
                    <w:rPr>
                      <w:rFonts w:hAnsi="宋体"/>
                      <w:szCs w:val="21"/>
                    </w:rPr>
                  </w:pPr>
                  <w:r>
                    <w:rPr>
                      <w:rFonts w:hint="eastAsia" w:hAnsi="宋体"/>
                      <w:szCs w:val="21"/>
                    </w:rPr>
                    <w:t>14</w:t>
                  </w:r>
                </w:p>
              </w:tc>
              <w:tc>
                <w:tcPr>
                  <w:tcW w:w="1499" w:type="dxa"/>
                  <w:noWrap w:val="0"/>
                  <w:vAlign w:val="center"/>
                </w:tcPr>
                <w:p>
                  <w:pPr>
                    <w:jc w:val="center"/>
                    <w:rPr>
                      <w:rFonts w:hAnsi="宋体"/>
                      <w:szCs w:val="21"/>
                    </w:rPr>
                  </w:pPr>
                  <w:r>
                    <w:rPr>
                      <w:rFonts w:hint="eastAsia" w:hAnsi="宋体"/>
                      <w:szCs w:val="21"/>
                    </w:rPr>
                    <w:t>34</w:t>
                  </w:r>
                </w:p>
              </w:tc>
            </w:tr>
          </w:tbl>
          <w:p>
            <w:pPr>
              <w:spacing w:before="156" w:beforeLines="50" w:line="360" w:lineRule="auto"/>
              <w:ind w:firstLine="480" w:firstLineChars="200"/>
              <w:rPr>
                <w:rFonts w:hAnsi="宋体"/>
                <w:sz w:val="24"/>
              </w:rPr>
            </w:pPr>
            <w:r>
              <w:rPr>
                <w:rFonts w:hint="eastAsia"/>
                <w:bCs/>
                <w:sz w:val="24"/>
              </w:rPr>
              <w:t>本项目运行期声环境执行社会商业活动噪声执行《社会生活环境噪声排放标准》（GB22337-2008）的2类和4类标准。</w:t>
            </w:r>
            <w:r>
              <w:rPr>
                <w:rFonts w:hint="eastAsia" w:hAnsi="宋体"/>
                <w:sz w:val="24"/>
              </w:rPr>
              <w:t>由上表知：在10m范围外可达到昼间标准，在40m范围外可达到夜间标准。因此营运期噪声对外环境影响不大。</w:t>
            </w:r>
          </w:p>
          <w:p>
            <w:pPr>
              <w:spacing w:line="360" w:lineRule="auto"/>
              <w:ind w:firstLine="480" w:firstLineChars="200"/>
              <w:rPr>
                <w:rFonts w:hAnsi="宋体"/>
                <w:sz w:val="24"/>
              </w:rPr>
            </w:pPr>
            <w:r>
              <w:rPr>
                <w:rFonts w:hAnsi="宋体"/>
                <w:sz w:val="24"/>
              </w:rPr>
              <w:t>但由于商铺陆续投入使用后，该区域来往的流动人口和汽车进出量将增加，社会生活噪声和交通噪声会对该区域声环境质量产生一定不利影响。本环评要求建设单位加强运营期环境管理，把供电设备安放在专用机房内，采取设立汽车禁止鸣号牌、禁止来往人群大声喧哗、禁止商铺等服务行业大声招揽顾客等措施，确保场界噪声满足</w:t>
            </w:r>
            <w:r>
              <w:rPr>
                <w:rFonts w:hint="eastAsia"/>
                <w:bCs/>
                <w:sz w:val="24"/>
              </w:rPr>
              <w:t>《社会生活环境噪声排放标准》（GB22337-2008）</w:t>
            </w:r>
            <w:r>
              <w:rPr>
                <w:rFonts w:hint="eastAsia"/>
                <w:sz w:val="24"/>
                <w:lang w:val="zh-CN"/>
              </w:rPr>
              <w:t>的</w:t>
            </w:r>
            <w:r>
              <w:rPr>
                <w:sz w:val="24"/>
              </w:rPr>
              <w:t>2</w:t>
            </w:r>
            <w:r>
              <w:rPr>
                <w:rFonts w:hAnsi="宋体"/>
                <w:sz w:val="24"/>
              </w:rPr>
              <w:t>类</w:t>
            </w:r>
            <w:r>
              <w:rPr>
                <w:rFonts w:hint="eastAsia" w:hAnsi="宋体"/>
                <w:sz w:val="24"/>
              </w:rPr>
              <w:t>和4类</w:t>
            </w:r>
            <w:r>
              <w:rPr>
                <w:rFonts w:hAnsi="宋体"/>
                <w:sz w:val="24"/>
              </w:rPr>
              <w:t>标准要求。</w:t>
            </w:r>
          </w:p>
          <w:p>
            <w:pPr>
              <w:spacing w:line="360" w:lineRule="auto"/>
              <w:ind w:firstLine="480" w:firstLineChars="200"/>
              <w:rPr>
                <w:bCs/>
                <w:sz w:val="24"/>
              </w:rPr>
            </w:pPr>
            <w:r>
              <w:rPr>
                <w:rFonts w:hint="eastAsia"/>
                <w:bCs/>
                <w:sz w:val="24"/>
              </w:rPr>
              <w:t>总之，项目营运期产商的噪声，在严格而有效的控制下才不会对周围居民造成噪声污染，不会使目前区域声学环境质量状况发生明显变化。</w:t>
            </w:r>
          </w:p>
          <w:p>
            <w:pPr>
              <w:spacing w:line="360" w:lineRule="auto"/>
              <w:ind w:firstLine="482" w:firstLineChars="200"/>
              <w:rPr>
                <w:b/>
                <w:sz w:val="24"/>
              </w:rPr>
            </w:pPr>
            <w:r>
              <w:rPr>
                <w:rFonts w:hint="eastAsia"/>
                <w:b/>
                <w:sz w:val="24"/>
              </w:rPr>
              <w:t>5、对头道河水文情势影响</w:t>
            </w:r>
          </w:p>
          <w:p>
            <w:pPr>
              <w:spacing w:line="360" w:lineRule="auto"/>
              <w:ind w:firstLine="420" w:firstLineChars="200"/>
              <w:rPr>
                <w:rFonts w:hint="eastAsia"/>
                <w:bCs/>
                <w:sz w:val="24"/>
              </w:rPr>
            </w:pPr>
            <w:r>
              <w:t>工程不在河道上建坝拦水，不缩小河道，对河道进行疏挖，</w:t>
            </w:r>
            <w:r>
              <w:rPr>
                <w:rFonts w:hint="eastAsia"/>
              </w:rPr>
              <w:t>大部分工程为河岸景观工程</w:t>
            </w:r>
            <w:r>
              <w:t>，由此运行期总的水文情势变化很小，对河道的鱼类等水生生物不产生影响。</w:t>
            </w:r>
          </w:p>
          <w:p>
            <w:pPr>
              <w:pStyle w:val="5"/>
              <w:spacing w:before="0" w:after="0" w:line="360" w:lineRule="auto"/>
              <w:rPr>
                <w:rFonts w:hAnsi="宋体"/>
                <w:sz w:val="28"/>
                <w:szCs w:val="28"/>
              </w:rPr>
            </w:pPr>
            <w:bookmarkStart w:id="29" w:name="_Toc57972432"/>
            <w:r>
              <w:rPr>
                <w:rFonts w:hAnsi="宋体"/>
                <w:sz w:val="28"/>
                <w:szCs w:val="28"/>
              </w:rPr>
              <w:t>三</w:t>
            </w:r>
            <w:r>
              <w:rPr>
                <w:rFonts w:hint="eastAsia" w:hAnsi="宋体"/>
                <w:sz w:val="28"/>
                <w:szCs w:val="28"/>
              </w:rPr>
              <w:t>、</w:t>
            </w:r>
            <w:r>
              <w:rPr>
                <w:rFonts w:hAnsi="宋体"/>
                <w:sz w:val="28"/>
                <w:szCs w:val="28"/>
              </w:rPr>
              <w:t>产业政策符合性分析</w:t>
            </w:r>
            <w:bookmarkEnd w:id="29"/>
          </w:p>
          <w:p>
            <w:pPr>
              <w:spacing w:line="360" w:lineRule="auto"/>
              <w:ind w:firstLine="480" w:firstLineChars="200"/>
              <w:rPr>
                <w:rFonts w:hint="eastAsia" w:hAnsi="宋体"/>
                <w:sz w:val="24"/>
              </w:rPr>
            </w:pPr>
            <w:r>
              <w:rPr>
                <w:rFonts w:hAnsi="宋体"/>
                <w:sz w:val="24"/>
              </w:rPr>
              <w:t>经查对《产业结构调整指导目录</w:t>
            </w:r>
            <w:r>
              <w:rPr>
                <w:rFonts w:hint="eastAsia" w:hAnsi="宋体"/>
                <w:sz w:val="24"/>
              </w:rPr>
              <w:t>（201</w:t>
            </w:r>
            <w:r>
              <w:rPr>
                <w:rFonts w:hAnsi="宋体"/>
                <w:sz w:val="24"/>
              </w:rPr>
              <w:t>9</w:t>
            </w:r>
            <w:r>
              <w:rPr>
                <w:rFonts w:hint="eastAsia" w:hAnsi="宋体"/>
                <w:sz w:val="24"/>
              </w:rPr>
              <w:t>年本）</w:t>
            </w:r>
            <w:r>
              <w:rPr>
                <w:rFonts w:hAnsi="宋体"/>
                <w:sz w:val="24"/>
              </w:rPr>
              <w:t>》，在限制类、淘汰类未见涉及本项目条款，本项目符合《产业结构调整指导目录</w:t>
            </w:r>
            <w:r>
              <w:rPr>
                <w:rFonts w:hint="eastAsia" w:hAnsi="宋体"/>
                <w:sz w:val="24"/>
              </w:rPr>
              <w:t>（201</w:t>
            </w:r>
            <w:r>
              <w:rPr>
                <w:rFonts w:hAnsi="宋体"/>
                <w:sz w:val="24"/>
              </w:rPr>
              <w:t>9</w:t>
            </w:r>
            <w:r>
              <w:rPr>
                <w:rFonts w:hint="eastAsia" w:hAnsi="宋体"/>
                <w:sz w:val="24"/>
              </w:rPr>
              <w:t>年本）</w:t>
            </w:r>
            <w:r>
              <w:rPr>
                <w:rFonts w:hAnsi="宋体"/>
                <w:sz w:val="24"/>
              </w:rPr>
              <w:t>》的政策要求。另外，项目建设内容主要为</w:t>
            </w:r>
            <w:r>
              <w:rPr>
                <w:rFonts w:hint="eastAsia" w:hAnsi="宋体"/>
                <w:sz w:val="24"/>
              </w:rPr>
              <w:t>农产品交易中心</w:t>
            </w:r>
            <w:r>
              <w:rPr>
                <w:rFonts w:hAnsi="宋体"/>
                <w:sz w:val="24"/>
              </w:rPr>
              <w:t>，符合国家相关产业政策要求。</w:t>
            </w:r>
            <w:r>
              <w:rPr>
                <w:rFonts w:hint="eastAsia" w:hAnsi="宋体"/>
                <w:sz w:val="24"/>
              </w:rPr>
              <w:t>项目已取得迪庆州发展和改革委员会关于维西县老城区农贸市场建设项目可行性研究报告的批复（迪发改经贸[</w:t>
            </w:r>
            <w:r>
              <w:rPr>
                <w:rFonts w:hAnsi="宋体"/>
                <w:sz w:val="24"/>
              </w:rPr>
              <w:t>2020]6</w:t>
            </w:r>
            <w:r>
              <w:rPr>
                <w:rFonts w:hint="eastAsia" w:hAnsi="宋体"/>
                <w:sz w:val="24"/>
              </w:rPr>
              <w:t>号），同意项目的建设。</w:t>
            </w:r>
          </w:p>
          <w:p>
            <w:pPr>
              <w:pStyle w:val="5"/>
              <w:spacing w:before="0" w:after="0" w:line="360" w:lineRule="auto"/>
              <w:rPr>
                <w:sz w:val="28"/>
                <w:szCs w:val="28"/>
              </w:rPr>
            </w:pPr>
            <w:bookmarkStart w:id="30" w:name="_Toc57972433"/>
            <w:r>
              <w:rPr>
                <w:rFonts w:hint="eastAsia" w:hAnsi="宋体"/>
                <w:sz w:val="28"/>
                <w:szCs w:val="28"/>
              </w:rPr>
              <w:t>四</w:t>
            </w:r>
            <w:r>
              <w:rPr>
                <w:rFonts w:hAnsi="宋体"/>
                <w:sz w:val="28"/>
                <w:szCs w:val="28"/>
              </w:rPr>
              <w:t>、</w:t>
            </w:r>
            <w:r>
              <w:rPr>
                <w:rFonts w:hint="eastAsia" w:hAnsi="宋体"/>
                <w:sz w:val="28"/>
                <w:szCs w:val="28"/>
              </w:rPr>
              <w:t>规划</w:t>
            </w:r>
            <w:r>
              <w:rPr>
                <w:rFonts w:hAnsi="宋体"/>
                <w:sz w:val="28"/>
                <w:szCs w:val="28"/>
              </w:rPr>
              <w:t>符合性分析</w:t>
            </w:r>
            <w:bookmarkEnd w:id="30"/>
          </w:p>
          <w:p>
            <w:pPr>
              <w:spacing w:line="360" w:lineRule="auto"/>
              <w:ind w:firstLine="480" w:firstLineChars="200"/>
              <w:rPr>
                <w:rFonts w:hint="eastAsia" w:hAnsi="宋体"/>
                <w:sz w:val="24"/>
              </w:rPr>
            </w:pPr>
            <w:r>
              <w:rPr>
                <w:rFonts w:hint="eastAsia" w:hAnsi="宋体"/>
                <w:sz w:val="24"/>
              </w:rPr>
              <w:t>本项目经迪庆</w:t>
            </w:r>
            <w:r>
              <w:rPr>
                <w:rFonts w:hAnsi="宋体"/>
                <w:sz w:val="24"/>
              </w:rPr>
              <w:t>州发展</w:t>
            </w:r>
            <w:r>
              <w:rPr>
                <w:rFonts w:hint="eastAsia" w:hAnsi="宋体"/>
                <w:sz w:val="24"/>
                <w:lang w:eastAsia="zh-CN"/>
              </w:rPr>
              <w:t>和</w:t>
            </w:r>
            <w:r>
              <w:rPr>
                <w:rFonts w:hAnsi="宋体"/>
                <w:sz w:val="24"/>
              </w:rPr>
              <w:t>改革委员会</w:t>
            </w:r>
            <w:r>
              <w:rPr>
                <w:rFonts w:hint="eastAsia" w:hAnsi="宋体"/>
                <w:sz w:val="24"/>
              </w:rPr>
              <w:t>批准建设，取得批复（迪发改经贸备[20</w:t>
            </w:r>
            <w:r>
              <w:rPr>
                <w:rFonts w:hAnsi="宋体"/>
                <w:sz w:val="24"/>
              </w:rPr>
              <w:t>20</w:t>
            </w:r>
            <w:r>
              <w:rPr>
                <w:rFonts w:hint="eastAsia" w:hAnsi="宋体"/>
                <w:sz w:val="24"/>
              </w:rPr>
              <w:t>]</w:t>
            </w:r>
            <w:r>
              <w:rPr>
                <w:rFonts w:hAnsi="宋体"/>
                <w:sz w:val="24"/>
              </w:rPr>
              <w:t>6</w:t>
            </w:r>
            <w:r>
              <w:rPr>
                <w:rFonts w:hint="eastAsia" w:hAnsi="宋体"/>
                <w:sz w:val="24"/>
              </w:rPr>
              <w:t>号）；本项目建设用地目前已获得建设用地规划许可证，同意本项目的建设。因此，本项目的建设符合维西</w:t>
            </w:r>
            <w:r>
              <w:rPr>
                <w:rFonts w:hAnsi="宋体"/>
                <w:sz w:val="24"/>
              </w:rPr>
              <w:t>县</w:t>
            </w:r>
            <w:r>
              <w:rPr>
                <w:rFonts w:hint="eastAsia" w:hAnsi="宋体"/>
                <w:sz w:val="24"/>
              </w:rPr>
              <w:t>城乡总体规划的要求。</w:t>
            </w:r>
          </w:p>
          <w:p>
            <w:pPr>
              <w:spacing w:before="156" w:beforeLines="50" w:line="360" w:lineRule="auto"/>
              <w:rPr>
                <w:rFonts w:hint="eastAsia" w:hAnsi="宋体"/>
                <w:b/>
                <w:sz w:val="28"/>
                <w:szCs w:val="28"/>
              </w:rPr>
            </w:pPr>
            <w:r>
              <w:rPr>
                <w:rFonts w:hint="eastAsia" w:hAnsi="宋体"/>
                <w:b/>
                <w:sz w:val="28"/>
                <w:szCs w:val="28"/>
              </w:rPr>
              <w:t>五、项目选址合理性分析</w:t>
            </w:r>
          </w:p>
          <w:p>
            <w:pPr>
              <w:spacing w:line="360" w:lineRule="auto"/>
              <w:ind w:firstLine="480" w:firstLineChars="200"/>
              <w:rPr>
                <w:rFonts w:hint="eastAsia" w:hAnsi="宋体"/>
                <w:sz w:val="24"/>
              </w:rPr>
            </w:pPr>
            <w:r>
              <w:rPr>
                <w:rFonts w:hint="eastAsia" w:hAnsi="宋体"/>
                <w:sz w:val="24"/>
              </w:rPr>
              <w:t>随着人们经济条件的改善，对生活消费的期望值在不断上升。农产品交易市场潜力很大，为搞好城市基础设施建设，促进维西县</w:t>
            </w:r>
            <w:bookmarkStart w:id="34" w:name="_GoBack"/>
            <w:bookmarkEnd w:id="34"/>
            <w:r>
              <w:rPr>
                <w:rFonts w:hint="eastAsia" w:hAnsi="宋体"/>
                <w:sz w:val="24"/>
              </w:rPr>
              <w:t>城的快速发展，增加农产品市场的供给。维西县政府在城市建设总体规划中，把现有城区的开发建设列为重点。通过农产品市场的开发建设，拉动全县社会经济的快速发展。</w:t>
            </w:r>
          </w:p>
          <w:p>
            <w:pPr>
              <w:spacing w:line="360" w:lineRule="auto"/>
              <w:ind w:firstLine="480" w:firstLineChars="200"/>
              <w:rPr>
                <w:rFonts w:hint="eastAsia" w:hAnsi="宋体"/>
                <w:sz w:val="24"/>
              </w:rPr>
            </w:pPr>
            <w:r>
              <w:rPr>
                <w:rFonts w:hint="eastAsia" w:hAnsi="宋体"/>
                <w:sz w:val="24"/>
              </w:rPr>
              <w:t>农产品交易市场的建设推进城区建设，提高城区居民生活品质，体现人与社会的和谐发展。从系统外的环境保护条件来看，“维西老城区农贸市场”项目位于维西县老城区，符合人口集聚地，是维西县城市发展的必然要求；是填补该片区城市农产品交易空白，满足新的市级行政中心的服务需求。</w:t>
            </w:r>
          </w:p>
          <w:p>
            <w:pPr>
              <w:spacing w:line="360" w:lineRule="auto"/>
              <w:ind w:firstLine="480" w:firstLineChars="200"/>
              <w:rPr>
                <w:rFonts w:hint="eastAsia" w:hAnsi="宋体"/>
                <w:sz w:val="24"/>
              </w:rPr>
            </w:pPr>
            <w:r>
              <w:rPr>
                <w:rFonts w:hint="eastAsia" w:hAnsi="宋体"/>
                <w:sz w:val="24"/>
              </w:rPr>
              <w:t>项目区位于维西县城区，项目周</w:t>
            </w:r>
            <w:r>
              <w:rPr>
                <w:rFonts w:hAnsi="宋体"/>
                <w:sz w:val="24"/>
              </w:rPr>
              <w:t>围</w:t>
            </w:r>
            <w:r>
              <w:rPr>
                <w:rFonts w:hint="eastAsia" w:hAnsi="宋体"/>
                <w:sz w:val="24"/>
              </w:rPr>
              <w:t>100</w:t>
            </w:r>
            <w:r>
              <w:rPr>
                <w:rFonts w:hAnsi="宋体"/>
                <w:sz w:val="24"/>
              </w:rPr>
              <w:t>0米范围内无自然保护区、风</w:t>
            </w:r>
            <w:r>
              <w:rPr>
                <w:rFonts w:hint="eastAsia" w:hAnsi="宋体"/>
                <w:sz w:val="24"/>
              </w:rPr>
              <w:t>景名胜区、生态功能保护区等需特殊保护的环境敏感区，以及天然林、重要湿地等生态敏感区与脆弱区。</w:t>
            </w:r>
          </w:p>
          <w:p>
            <w:pPr>
              <w:spacing w:line="360" w:lineRule="auto"/>
              <w:ind w:firstLine="480" w:firstLineChars="200"/>
              <w:rPr>
                <w:rFonts w:hint="eastAsia" w:hAnsi="宋体"/>
                <w:sz w:val="24"/>
              </w:rPr>
            </w:pPr>
            <w:r>
              <w:rPr>
                <w:rFonts w:hint="eastAsia" w:hAnsi="宋体"/>
                <w:sz w:val="24"/>
              </w:rPr>
              <w:t>从项目周边土地利用及功能布局看，周边主要是办公住宅区等，无工业企业，相互影响不大，项目与周边环境相容。</w:t>
            </w:r>
          </w:p>
          <w:p>
            <w:pPr>
              <w:spacing w:line="360" w:lineRule="auto"/>
              <w:ind w:firstLine="480" w:firstLineChars="200"/>
              <w:rPr>
                <w:rFonts w:hint="eastAsia" w:hAnsi="宋体"/>
                <w:sz w:val="24"/>
              </w:rPr>
            </w:pPr>
            <w:r>
              <w:rPr>
                <w:rFonts w:hint="eastAsia" w:hAnsi="宋体"/>
                <w:sz w:val="24"/>
              </w:rPr>
              <w:t>环境影响评价结果表明，项目废水、废气、噪声、固废等对环境影响不大，项目建设不存在环境敏感制约因素。</w:t>
            </w:r>
          </w:p>
          <w:p>
            <w:pPr>
              <w:spacing w:line="360" w:lineRule="auto"/>
              <w:ind w:firstLine="480" w:firstLineChars="200"/>
              <w:rPr>
                <w:rFonts w:hint="eastAsia" w:hAnsi="宋体"/>
                <w:sz w:val="24"/>
              </w:rPr>
            </w:pPr>
            <w:r>
              <w:rPr>
                <w:rFonts w:hint="eastAsia" w:hAnsi="宋体"/>
                <w:sz w:val="24"/>
              </w:rPr>
              <w:t>总体上，从多角度分析，本项目的选址是可行的。</w:t>
            </w:r>
          </w:p>
          <w:p>
            <w:pPr>
              <w:spacing w:before="156" w:beforeLines="50" w:line="360" w:lineRule="auto"/>
              <w:rPr>
                <w:rFonts w:hAnsi="宋体"/>
                <w:b/>
                <w:sz w:val="28"/>
                <w:szCs w:val="28"/>
              </w:rPr>
            </w:pPr>
            <w:r>
              <w:rPr>
                <w:rFonts w:hint="eastAsia" w:hAnsi="宋体"/>
                <w:b/>
                <w:sz w:val="28"/>
                <w:szCs w:val="28"/>
              </w:rPr>
              <w:t>六、项目平面布局合理性分析</w:t>
            </w:r>
          </w:p>
          <w:p>
            <w:pPr>
              <w:spacing w:line="360" w:lineRule="auto"/>
              <w:ind w:firstLine="480" w:firstLineChars="200"/>
              <w:rPr>
                <w:rFonts w:hAnsi="宋体"/>
                <w:sz w:val="24"/>
              </w:rPr>
            </w:pPr>
            <w:r>
              <w:rPr>
                <w:rFonts w:hint="eastAsia" w:hAnsi="宋体"/>
                <w:sz w:val="24"/>
              </w:rPr>
              <w:t>1、主体工程</w:t>
            </w:r>
          </w:p>
          <w:p>
            <w:pPr>
              <w:spacing w:line="360" w:lineRule="auto"/>
              <w:ind w:firstLine="480" w:firstLineChars="200"/>
              <w:rPr>
                <w:rFonts w:hint="eastAsia" w:hAnsi="宋体"/>
                <w:sz w:val="24"/>
              </w:rPr>
            </w:pPr>
            <w:r>
              <w:rPr>
                <w:rFonts w:hint="eastAsia" w:hAnsi="宋体"/>
                <w:sz w:val="24"/>
              </w:rPr>
              <w:t>本项目建设用地总体南北</w:t>
            </w:r>
            <w:r>
              <w:rPr>
                <w:rFonts w:hAnsi="宋体"/>
                <w:sz w:val="24"/>
              </w:rPr>
              <w:t>两片分布</w:t>
            </w:r>
            <w:r>
              <w:rPr>
                <w:rFonts w:hint="eastAsia" w:hAnsi="宋体"/>
                <w:sz w:val="24"/>
              </w:rPr>
              <w:t>，用地条件良好。综合本项目的特点平面设计应注重功能的实用性和面积的紧凑性，平面布置力求紧凑合理，不浪费面积，对每个功能空间的尺度经过精心布局，使人的活动和家具布置相适宜，并且在相同面积情况下尽可能多分隔出可用的功能空间。商铺的经营提供充足的空间，同时考虑人流购物的便捷。重点关注建筑节能技术，如通风、采光的设计，建筑墙体保温、太阳能的有效利用等。</w:t>
            </w:r>
          </w:p>
          <w:p>
            <w:pPr>
              <w:spacing w:line="360" w:lineRule="auto"/>
              <w:ind w:firstLine="480" w:firstLineChars="200"/>
              <w:rPr>
                <w:rFonts w:hint="eastAsia" w:hAnsi="宋体"/>
                <w:sz w:val="24"/>
              </w:rPr>
            </w:pPr>
            <w:r>
              <w:rPr>
                <w:rFonts w:hAnsi="宋体"/>
                <w:sz w:val="24"/>
              </w:rPr>
              <w:t>2</w:t>
            </w:r>
            <w:r>
              <w:rPr>
                <w:rFonts w:hint="eastAsia" w:hAnsi="宋体"/>
                <w:sz w:val="24"/>
              </w:rPr>
              <w:t>、道路布置</w:t>
            </w:r>
          </w:p>
          <w:p>
            <w:pPr>
              <w:spacing w:line="360" w:lineRule="auto"/>
              <w:ind w:firstLine="480" w:firstLineChars="200"/>
              <w:rPr>
                <w:rFonts w:hAnsi="宋体"/>
                <w:sz w:val="24"/>
              </w:rPr>
            </w:pPr>
            <w:r>
              <w:rPr>
                <w:rFonts w:hint="eastAsia" w:hAnsi="宋体"/>
                <w:sz w:val="24"/>
              </w:rPr>
              <w:t>道路的布置，应符合下列要求：满足人流、车流、物流顺畅，线路短捷，人流、物流组织合理；有利于改善经营条件，场内运输安全可靠，并使场地内、外部运输、装卸、贮存形成一个完整的、连续的运输系统；经营管理及维护方便；应避免购物人流与车流的平面交叉。</w:t>
            </w:r>
          </w:p>
          <w:p>
            <w:pPr>
              <w:spacing w:line="360" w:lineRule="auto"/>
              <w:ind w:firstLine="480" w:firstLineChars="200"/>
              <w:rPr>
                <w:rFonts w:hAnsi="宋体"/>
                <w:sz w:val="24"/>
              </w:rPr>
            </w:pPr>
            <w:r>
              <w:rPr>
                <w:rFonts w:hAnsi="宋体"/>
                <w:sz w:val="24"/>
              </w:rPr>
              <w:t>3</w:t>
            </w:r>
            <w:r>
              <w:rPr>
                <w:rFonts w:hint="eastAsia" w:hAnsi="宋体"/>
                <w:sz w:val="24"/>
              </w:rPr>
              <w:t>、绿化布置</w:t>
            </w:r>
          </w:p>
          <w:p>
            <w:pPr>
              <w:spacing w:line="360" w:lineRule="auto"/>
              <w:ind w:firstLine="480" w:firstLineChars="200"/>
              <w:rPr>
                <w:rFonts w:hAnsi="宋体"/>
                <w:sz w:val="24"/>
              </w:rPr>
            </w:pPr>
            <w:r>
              <w:rPr>
                <w:rFonts w:hint="eastAsia" w:hAnsi="宋体"/>
                <w:sz w:val="24"/>
              </w:rPr>
              <w:t xml:space="preserve">在出入口进行适当的绿化布置，应符合总体规划要求，与总平面统一进行，并应合理安排绿化用地。绿化布置，应符合下列要求：充分利用场区非建筑地段及零星空地进行绿化；满足经营、检修、运输、安全、卫生及防火要求，避免与建筑物、构筑物、地下设施的布置相互影响。 </w:t>
            </w:r>
          </w:p>
          <w:p>
            <w:pPr>
              <w:spacing w:line="360" w:lineRule="auto"/>
              <w:ind w:firstLine="480" w:firstLineChars="200"/>
              <w:rPr>
                <w:rFonts w:hAnsi="宋体"/>
                <w:sz w:val="24"/>
              </w:rPr>
            </w:pPr>
            <w:r>
              <w:rPr>
                <w:rFonts w:hAnsi="宋体"/>
                <w:sz w:val="24"/>
              </w:rPr>
              <w:t>4</w:t>
            </w:r>
            <w:r>
              <w:rPr>
                <w:rFonts w:hint="eastAsia" w:hAnsi="宋体"/>
                <w:sz w:val="24"/>
              </w:rPr>
              <w:t>、竖向及排水布置</w:t>
            </w:r>
          </w:p>
          <w:p>
            <w:pPr>
              <w:spacing w:line="360" w:lineRule="auto"/>
              <w:ind w:firstLine="480" w:firstLineChars="200"/>
              <w:rPr>
                <w:rFonts w:hAnsi="宋体"/>
                <w:sz w:val="24"/>
              </w:rPr>
            </w:pPr>
            <w:r>
              <w:rPr>
                <w:rFonts w:hint="eastAsia" w:hAnsi="宋体"/>
                <w:sz w:val="24"/>
              </w:rPr>
              <w:t xml:space="preserve"> 本次新建建筑物竖向设计本着尽量减少土方工程量、节约基建投资的原则，场地标高及排水坡度尽量结合原地形进行平整。</w:t>
            </w:r>
          </w:p>
          <w:p>
            <w:pPr>
              <w:spacing w:line="360" w:lineRule="auto"/>
              <w:ind w:firstLine="480" w:firstLineChars="200"/>
              <w:rPr>
                <w:rFonts w:hAnsi="宋体"/>
                <w:sz w:val="24"/>
              </w:rPr>
            </w:pPr>
            <w:r>
              <w:rPr>
                <w:rFonts w:hint="eastAsia" w:hAnsi="宋体"/>
                <w:sz w:val="24"/>
              </w:rPr>
              <w:t>6、交通组织</w:t>
            </w:r>
          </w:p>
          <w:p>
            <w:pPr>
              <w:spacing w:line="360" w:lineRule="auto"/>
              <w:ind w:firstLine="480" w:firstLineChars="200"/>
              <w:rPr>
                <w:rFonts w:hAnsi="宋体"/>
                <w:sz w:val="24"/>
              </w:rPr>
            </w:pPr>
            <w:r>
              <w:rPr>
                <w:rFonts w:hint="eastAsia" w:hAnsi="宋体"/>
                <w:sz w:val="24"/>
              </w:rPr>
              <w:t>在建设用地临近道路设置出入口，围绕场区内侧设置道路，均为双坡混凝土路面，项目场地内布设可供汽车通行的混凝土硬化场地满足运输、购物和消防要求。</w:t>
            </w:r>
          </w:p>
          <w:p>
            <w:pPr>
              <w:spacing w:before="156" w:beforeLines="50" w:line="360" w:lineRule="auto"/>
              <w:rPr>
                <w:rFonts w:hAnsi="宋体"/>
                <w:b/>
                <w:sz w:val="28"/>
                <w:szCs w:val="28"/>
              </w:rPr>
            </w:pPr>
            <w:r>
              <w:rPr>
                <w:rFonts w:hint="eastAsia" w:hAnsi="宋体"/>
                <w:b/>
                <w:sz w:val="28"/>
                <w:szCs w:val="28"/>
              </w:rPr>
              <w:t>七、外环境对本项目的影响</w:t>
            </w:r>
          </w:p>
          <w:p>
            <w:pPr>
              <w:spacing w:line="360" w:lineRule="auto"/>
              <w:ind w:firstLine="480" w:firstLineChars="200"/>
              <w:rPr>
                <w:rFonts w:hint="eastAsia"/>
                <w:bCs/>
                <w:sz w:val="24"/>
              </w:rPr>
            </w:pPr>
            <w:r>
              <w:rPr>
                <w:rFonts w:hint="eastAsia"/>
                <w:bCs/>
                <w:sz w:val="24"/>
              </w:rPr>
              <w:t>1、交通噪声对项目的影响分析</w:t>
            </w:r>
          </w:p>
          <w:p>
            <w:pPr>
              <w:spacing w:line="360" w:lineRule="auto"/>
              <w:ind w:firstLine="480" w:firstLineChars="200"/>
              <w:rPr>
                <w:bCs/>
                <w:sz w:val="24"/>
              </w:rPr>
            </w:pPr>
            <w:r>
              <w:rPr>
                <w:rFonts w:hint="eastAsia"/>
                <w:bCs/>
                <w:sz w:val="24"/>
              </w:rPr>
              <w:t>项目位于维西县城区，项目用东北侧为城市规划道路。车流量大，交通噪声影响较大，噪声经过门窗、墙体、距离、高差等阻隔衰减后，</w:t>
            </w:r>
            <w:r>
              <w:rPr>
                <w:bCs/>
                <w:sz w:val="24"/>
              </w:rPr>
              <w:t>对项目的影响进一步减弱。</w:t>
            </w:r>
          </w:p>
          <w:p>
            <w:pPr>
              <w:spacing w:line="360" w:lineRule="auto"/>
              <w:ind w:firstLine="480" w:firstLineChars="200"/>
              <w:rPr>
                <w:rFonts w:hint="eastAsia"/>
                <w:bCs/>
                <w:sz w:val="24"/>
              </w:rPr>
            </w:pPr>
            <w:r>
              <w:rPr>
                <w:bCs/>
                <w:sz w:val="24"/>
              </w:rPr>
              <w:t>总体上，项目严格执行建筑设计规范要求，并采取优化布局设计，则交通噪声对本项目影响不大。</w:t>
            </w:r>
          </w:p>
          <w:p>
            <w:pPr>
              <w:spacing w:line="360" w:lineRule="auto"/>
              <w:ind w:firstLine="480" w:firstLineChars="200"/>
              <w:rPr>
                <w:bCs/>
                <w:sz w:val="24"/>
              </w:rPr>
            </w:pPr>
            <w:r>
              <w:rPr>
                <w:rFonts w:hint="eastAsia"/>
                <w:bCs/>
                <w:sz w:val="24"/>
              </w:rPr>
              <w:t>2、</w:t>
            </w:r>
            <w:r>
              <w:rPr>
                <w:bCs/>
                <w:sz w:val="24"/>
              </w:rPr>
              <w:t>汽车尾气对项目的影响分析</w:t>
            </w:r>
          </w:p>
          <w:p>
            <w:pPr>
              <w:spacing w:line="360" w:lineRule="auto"/>
              <w:ind w:firstLine="480" w:firstLineChars="200"/>
              <w:rPr>
                <w:rFonts w:hint="eastAsia"/>
                <w:bCs/>
                <w:sz w:val="24"/>
              </w:rPr>
            </w:pPr>
            <w:r>
              <w:rPr>
                <w:bCs/>
                <w:sz w:val="24"/>
              </w:rPr>
              <w:t>道路对周围环境的废气污染主要是汽车尾气，主要污染因素为CO和NO</w:t>
            </w:r>
            <w:r>
              <w:rPr>
                <w:bCs/>
                <w:sz w:val="24"/>
                <w:vertAlign w:val="subscript"/>
              </w:rPr>
              <w:t>2</w:t>
            </w:r>
            <w:r>
              <w:rPr>
                <w:bCs/>
                <w:sz w:val="24"/>
              </w:rPr>
              <w:t>。本项目设置绿化带，汽车尾气通过大气扩散、绿化带吸收后，CO及NO</w:t>
            </w:r>
            <w:r>
              <w:rPr>
                <w:bCs/>
                <w:sz w:val="24"/>
                <w:vertAlign w:val="subscript"/>
              </w:rPr>
              <w:t>2</w:t>
            </w:r>
            <w:r>
              <w:rPr>
                <w:bCs/>
                <w:sz w:val="24"/>
              </w:rPr>
              <w:t>对本项目的影响不大。</w:t>
            </w:r>
          </w:p>
          <w:p>
            <w:pPr>
              <w:spacing w:before="156" w:beforeLines="50" w:line="360" w:lineRule="auto"/>
              <w:rPr>
                <w:rFonts w:hAnsi="宋体"/>
                <w:b/>
                <w:sz w:val="28"/>
                <w:szCs w:val="28"/>
              </w:rPr>
            </w:pPr>
            <w:r>
              <w:rPr>
                <w:rFonts w:hint="eastAsia" w:hAnsi="宋体"/>
                <w:b/>
                <w:sz w:val="28"/>
                <w:szCs w:val="28"/>
              </w:rPr>
              <w:t>八、环境管理、环境监测</w:t>
            </w:r>
          </w:p>
          <w:p>
            <w:pPr>
              <w:spacing w:line="360" w:lineRule="auto"/>
              <w:ind w:firstLine="482" w:firstLineChars="200"/>
              <w:rPr>
                <w:b/>
                <w:bCs/>
                <w:sz w:val="24"/>
              </w:rPr>
            </w:pPr>
            <w:r>
              <w:rPr>
                <w:b/>
                <w:bCs/>
                <w:sz w:val="24"/>
              </w:rPr>
              <w:t>1</w:t>
            </w:r>
            <w:r>
              <w:rPr>
                <w:rFonts w:hint="eastAsia"/>
                <w:b/>
                <w:bCs/>
                <w:sz w:val="24"/>
              </w:rPr>
              <w:t>、环境管理</w:t>
            </w:r>
          </w:p>
          <w:p>
            <w:pPr>
              <w:spacing w:line="360" w:lineRule="auto"/>
              <w:ind w:firstLine="480" w:firstLineChars="200"/>
              <w:rPr>
                <w:rFonts w:hint="eastAsia"/>
                <w:bCs/>
                <w:sz w:val="24"/>
              </w:rPr>
            </w:pPr>
            <w:r>
              <w:rPr>
                <w:rFonts w:hint="eastAsia"/>
                <w:bCs/>
                <w:sz w:val="24"/>
              </w:rPr>
              <w:t>本项目设置一个总的污水排放口，项目建设方在排放口规范化整治设备投入运行前，应当向当地环境保护部门申请验收，并提交相关资料。当地环境保护部门在收到验收申请后，对符合验收条件的单位，组织相关部门验收。</w:t>
            </w:r>
            <w:r>
              <w:rPr>
                <w:bCs/>
                <w:sz w:val="24"/>
              </w:rPr>
              <w:t>强化排污口管理是实施污染物总量控制的基础工作之一，也是环境管理逐步实现污染物科学化、定量化的主要手段。</w:t>
            </w:r>
            <w:r>
              <w:rPr>
                <w:rFonts w:hint="eastAsia"/>
                <w:bCs/>
                <w:sz w:val="24"/>
              </w:rPr>
              <w:t>项目</w:t>
            </w:r>
            <w:r>
              <w:rPr>
                <w:bCs/>
                <w:sz w:val="24"/>
              </w:rPr>
              <w:t>应按照环监（96）470号文件和《云南省排污口管理办法》要求，进行规范化管理。污水排放的采样点设置应按《污染源监测技术规范》要求，主要设置在企业总排口、污水处理设施的进水和出水口等处，同时还应设置规范的、便于测量流量、流速的测速段。企业污水排放口设置排放口标志牌。</w:t>
            </w:r>
          </w:p>
          <w:p>
            <w:pPr>
              <w:spacing w:line="360" w:lineRule="auto"/>
              <w:ind w:firstLine="480" w:firstLineChars="200"/>
              <w:rPr>
                <w:rFonts w:hint="eastAsia"/>
                <w:bCs/>
                <w:sz w:val="24"/>
              </w:rPr>
            </w:pPr>
            <w:r>
              <w:rPr>
                <w:bCs/>
                <w:sz w:val="24"/>
              </w:rPr>
              <w:t>根据国家环保总局《关于开展排放口规范化整治工作的通知》（环法[1999]24号）要求，现就项目污水排放口规整提出如下方案：</w:t>
            </w:r>
          </w:p>
          <w:p>
            <w:pPr>
              <w:spacing w:line="360" w:lineRule="auto"/>
              <w:ind w:firstLine="480" w:firstLineChars="200"/>
              <w:rPr>
                <w:rFonts w:hint="eastAsia"/>
                <w:bCs/>
                <w:sz w:val="24"/>
              </w:rPr>
            </w:pPr>
            <w:r>
              <w:rPr>
                <w:bCs/>
                <w:sz w:val="24"/>
              </w:rPr>
              <w:t>（1）排放口应具备采样和流量测定条件，按照《污染源监测技术规范》设置采样点；</w:t>
            </w:r>
          </w:p>
          <w:p>
            <w:pPr>
              <w:spacing w:line="360" w:lineRule="auto"/>
              <w:ind w:firstLine="480" w:firstLineChars="200"/>
              <w:rPr>
                <w:rFonts w:hint="eastAsia"/>
                <w:bCs/>
                <w:sz w:val="24"/>
              </w:rPr>
            </w:pPr>
            <w:r>
              <w:rPr>
                <w:bCs/>
                <w:sz w:val="24"/>
              </w:rPr>
              <w:t>（2）排污口可以矩形、圆筒形或梯形，保证水深不低于0.1m，流速不小于0.05m/s</w:t>
            </w:r>
            <w:r>
              <w:rPr>
                <w:rFonts w:hint="eastAsia"/>
                <w:bCs/>
                <w:sz w:val="24"/>
              </w:rPr>
              <w:t>；</w:t>
            </w:r>
          </w:p>
          <w:p>
            <w:pPr>
              <w:spacing w:line="360" w:lineRule="auto"/>
              <w:ind w:firstLine="480" w:firstLineChars="200"/>
              <w:rPr>
                <w:rFonts w:hint="eastAsia"/>
                <w:bCs/>
                <w:sz w:val="24"/>
              </w:rPr>
            </w:pPr>
            <w:r>
              <w:rPr>
                <w:bCs/>
                <w:sz w:val="24"/>
              </w:rPr>
              <w:t>（3）设置规范的、便于测量流量、流速的测流段。测流段直线长度应是其水面宽度的6倍以上，最小1.5倍以上；</w:t>
            </w:r>
          </w:p>
          <w:p>
            <w:pPr>
              <w:spacing w:line="360" w:lineRule="auto"/>
              <w:ind w:firstLine="480" w:firstLineChars="200"/>
              <w:rPr>
                <w:bCs/>
                <w:sz w:val="24"/>
              </w:rPr>
            </w:pPr>
            <w:r>
              <w:rPr>
                <w:bCs/>
                <w:sz w:val="24"/>
              </w:rPr>
              <w:t>（4）总排放口设置排放口标志牌。</w:t>
            </w:r>
          </w:p>
          <w:p>
            <w:pPr>
              <w:spacing w:line="360" w:lineRule="auto"/>
              <w:ind w:firstLine="480" w:firstLineChars="200"/>
              <w:rPr>
                <w:bCs/>
                <w:sz w:val="24"/>
              </w:rPr>
            </w:pPr>
            <w:r>
              <w:rPr>
                <w:rFonts w:hint="eastAsia"/>
                <w:bCs/>
                <w:sz w:val="24"/>
              </w:rPr>
              <w:t>建设单位成立专人负责的环境保护办公室，负责环境监测、环保设施的运行和环境卫生的管理等。设专职管理人员，兼职废水处理管理及环境卫生管理。主要任务为：</w:t>
            </w:r>
          </w:p>
          <w:p>
            <w:pPr>
              <w:spacing w:line="360" w:lineRule="auto"/>
              <w:ind w:firstLine="480" w:firstLineChars="200"/>
              <w:rPr>
                <w:bCs/>
                <w:sz w:val="24"/>
              </w:rPr>
            </w:pPr>
            <w:r>
              <w:rPr>
                <w:bCs/>
                <w:sz w:val="24"/>
              </w:rPr>
              <w:fldChar w:fldCharType="begin"/>
            </w:r>
            <w:r>
              <w:rPr>
                <w:bCs/>
                <w:sz w:val="24"/>
              </w:rPr>
              <w:instrText xml:space="preserve"> </w:instrText>
            </w:r>
            <w:r>
              <w:rPr>
                <w:rFonts w:hint="eastAsia"/>
                <w:bCs/>
                <w:sz w:val="24"/>
              </w:rPr>
              <w:instrText xml:space="preserve">= 1 \* GB3</w:instrText>
            </w:r>
            <w:r>
              <w:rPr>
                <w:bCs/>
                <w:sz w:val="24"/>
              </w:rPr>
              <w:instrText xml:space="preserve"> </w:instrText>
            </w:r>
            <w:r>
              <w:rPr>
                <w:bCs/>
                <w:sz w:val="24"/>
              </w:rPr>
              <w:fldChar w:fldCharType="separate"/>
            </w:r>
            <w:r>
              <w:rPr>
                <w:rFonts w:hint="eastAsia"/>
                <w:bCs/>
                <w:sz w:val="24"/>
                <w:lang/>
              </w:rPr>
              <w:t>①</w:t>
            </w:r>
            <w:r>
              <w:rPr>
                <w:bCs/>
                <w:sz w:val="24"/>
              </w:rPr>
              <w:fldChar w:fldCharType="end"/>
            </w:r>
            <w:r>
              <w:rPr>
                <w:bCs/>
                <w:sz w:val="24"/>
              </w:rPr>
              <w:t xml:space="preserve"> </w:t>
            </w:r>
            <w:r>
              <w:rPr>
                <w:rFonts w:hint="eastAsia"/>
                <w:bCs/>
                <w:sz w:val="24"/>
              </w:rPr>
              <w:t>督促项目环保治理措施、管理措施的实施和落实，不允许在项目内建设有污染环境的项目，发现问题及时督促解决；</w:t>
            </w:r>
          </w:p>
          <w:p>
            <w:pPr>
              <w:spacing w:line="360" w:lineRule="auto"/>
              <w:ind w:firstLine="480" w:firstLineChars="200"/>
              <w:rPr>
                <w:bCs/>
                <w:sz w:val="24"/>
              </w:rPr>
            </w:pPr>
            <w:r>
              <w:rPr>
                <w:rFonts w:hint="eastAsia"/>
                <w:bCs/>
                <w:sz w:val="24"/>
              </w:rPr>
              <w:t>②</w:t>
            </w:r>
            <w:r>
              <w:rPr>
                <w:bCs/>
                <w:sz w:val="24"/>
              </w:rPr>
              <w:t xml:space="preserve"> </w:t>
            </w:r>
            <w:r>
              <w:rPr>
                <w:rFonts w:hint="eastAsia"/>
                <w:bCs/>
                <w:sz w:val="24"/>
              </w:rPr>
              <w:t>检查项目环保设施运行情况，如排污管道、垃圾收集清运等是否正常运行，并提出改善环境的对策及建议；检查项目废水是否做到清污分流、废水处理及达标外排，加强对项目内废水管网的维护，确保废水正确进入化粪池；维护化粪池及其它环保设备，使之正常运转；</w:t>
            </w:r>
          </w:p>
          <w:p>
            <w:pPr>
              <w:spacing w:line="360" w:lineRule="auto"/>
              <w:ind w:firstLine="480" w:firstLineChars="200"/>
              <w:rPr>
                <w:bCs/>
                <w:sz w:val="24"/>
              </w:rPr>
            </w:pPr>
            <w:r>
              <w:rPr>
                <w:rFonts w:hint="eastAsia"/>
                <w:bCs/>
                <w:sz w:val="24"/>
              </w:rPr>
              <w:t>③</w:t>
            </w:r>
            <w:r>
              <w:rPr>
                <w:bCs/>
                <w:sz w:val="24"/>
              </w:rPr>
              <w:t xml:space="preserve"> </w:t>
            </w:r>
            <w:r>
              <w:rPr>
                <w:rFonts w:hint="eastAsia"/>
                <w:bCs/>
                <w:sz w:val="24"/>
              </w:rPr>
              <w:t>加强对项目内雨水管网的管理与维护，确保雨水顺利排放；</w:t>
            </w:r>
          </w:p>
          <w:p>
            <w:pPr>
              <w:spacing w:line="360" w:lineRule="auto"/>
              <w:ind w:firstLine="480" w:firstLineChars="200"/>
              <w:rPr>
                <w:bCs/>
                <w:sz w:val="24"/>
              </w:rPr>
            </w:pPr>
            <w:r>
              <w:rPr>
                <w:rFonts w:hint="eastAsia"/>
                <w:bCs/>
                <w:sz w:val="24"/>
              </w:rPr>
              <w:t>④</w:t>
            </w:r>
            <w:r>
              <w:rPr>
                <w:bCs/>
                <w:sz w:val="24"/>
              </w:rPr>
              <w:t xml:space="preserve"> </w:t>
            </w:r>
            <w:r>
              <w:rPr>
                <w:rFonts w:hint="eastAsia"/>
                <w:bCs/>
                <w:sz w:val="24"/>
              </w:rPr>
              <w:t>制定合理的绿化方案和绿地维护措施，保证绿化成活率；</w:t>
            </w:r>
          </w:p>
          <w:p>
            <w:pPr>
              <w:spacing w:line="360" w:lineRule="auto"/>
              <w:ind w:firstLine="480" w:firstLineChars="200"/>
              <w:rPr>
                <w:bCs/>
                <w:sz w:val="24"/>
              </w:rPr>
            </w:pPr>
            <w:r>
              <w:rPr>
                <w:rFonts w:hint="eastAsia"/>
                <w:bCs/>
                <w:sz w:val="24"/>
              </w:rPr>
              <w:t>⑤</w:t>
            </w:r>
            <w:r>
              <w:rPr>
                <w:bCs/>
                <w:sz w:val="24"/>
              </w:rPr>
              <w:t xml:space="preserve"> </w:t>
            </w:r>
            <w:r>
              <w:rPr>
                <w:rFonts w:hint="eastAsia"/>
                <w:bCs/>
                <w:sz w:val="24"/>
              </w:rPr>
              <w:t>负责施工人员的环保教育工作，以提高全体施工人员的环保意识；</w:t>
            </w:r>
          </w:p>
          <w:p>
            <w:pPr>
              <w:spacing w:line="360" w:lineRule="auto"/>
              <w:ind w:firstLine="480" w:firstLineChars="200"/>
              <w:rPr>
                <w:bCs/>
                <w:sz w:val="24"/>
              </w:rPr>
            </w:pPr>
            <w:r>
              <w:rPr>
                <w:rFonts w:hint="eastAsia"/>
                <w:bCs/>
                <w:sz w:val="24"/>
              </w:rPr>
              <w:t>⑥</w:t>
            </w:r>
            <w:r>
              <w:rPr>
                <w:bCs/>
                <w:sz w:val="24"/>
              </w:rPr>
              <w:t xml:space="preserve"> </w:t>
            </w:r>
            <w:r>
              <w:rPr>
                <w:rFonts w:hint="eastAsia"/>
                <w:bCs/>
                <w:sz w:val="24"/>
              </w:rPr>
              <w:t>定期向环保部门汇报建设项目的环保工作情况；</w:t>
            </w:r>
          </w:p>
          <w:p>
            <w:pPr>
              <w:spacing w:line="360" w:lineRule="auto"/>
              <w:ind w:firstLine="480" w:firstLineChars="200"/>
              <w:rPr>
                <w:bCs/>
                <w:sz w:val="24"/>
              </w:rPr>
            </w:pPr>
            <w:r>
              <w:rPr>
                <w:rFonts w:hint="eastAsia"/>
                <w:bCs/>
                <w:sz w:val="24"/>
              </w:rPr>
              <w:t>⑦</w:t>
            </w:r>
            <w:r>
              <w:rPr>
                <w:bCs/>
                <w:sz w:val="24"/>
              </w:rPr>
              <w:t xml:space="preserve"> </w:t>
            </w:r>
            <w:r>
              <w:rPr>
                <w:rFonts w:hint="eastAsia"/>
                <w:bCs/>
                <w:sz w:val="24"/>
              </w:rPr>
              <w:t>组织技术培训，提高管理人员及操作人员的素质。</w:t>
            </w:r>
          </w:p>
          <w:p>
            <w:pPr>
              <w:autoSpaceDE w:val="0"/>
              <w:autoSpaceDN w:val="0"/>
              <w:adjustRightInd w:val="0"/>
              <w:spacing w:line="360" w:lineRule="auto"/>
              <w:ind w:firstLine="480" w:firstLineChars="200"/>
              <w:jc w:val="left"/>
              <w:rPr>
                <w:rFonts w:hint="eastAsia"/>
                <w:kern w:val="0"/>
                <w:sz w:val="24"/>
              </w:rPr>
            </w:pPr>
            <w:bookmarkStart w:id="31" w:name="_Toc245355320"/>
            <w:r>
              <w:rPr>
                <w:kern w:val="0"/>
                <w:sz w:val="24"/>
              </w:rPr>
              <w:t>为便于项目切实做好环保工程建设和环境管理，</w:t>
            </w:r>
            <w:r>
              <w:rPr>
                <w:rFonts w:hint="eastAsia" w:hAnsi="宋体"/>
                <w:bCs/>
                <w:kern w:val="0"/>
                <w:sz w:val="24"/>
              </w:rPr>
              <w:t>施工期环境监理计划一览表</w:t>
            </w:r>
            <w:r>
              <w:rPr>
                <w:rFonts w:hint="eastAsia"/>
                <w:kern w:val="0"/>
                <w:sz w:val="24"/>
              </w:rPr>
              <w:t>7</w:t>
            </w:r>
            <w:r>
              <w:rPr>
                <w:kern w:val="0"/>
                <w:sz w:val="24"/>
              </w:rPr>
              <w:t>-</w:t>
            </w:r>
            <w:r>
              <w:rPr>
                <w:rFonts w:hint="eastAsia"/>
                <w:kern w:val="0"/>
                <w:sz w:val="24"/>
              </w:rPr>
              <w:t>5</w:t>
            </w:r>
            <w:r>
              <w:rPr>
                <w:kern w:val="0"/>
                <w:sz w:val="24"/>
              </w:rPr>
              <w:t>。其中监理单位必须具有工程监理资质。</w:t>
            </w:r>
          </w:p>
          <w:p>
            <w:pPr>
              <w:autoSpaceDE w:val="0"/>
              <w:autoSpaceDN w:val="0"/>
              <w:adjustRightInd w:val="0"/>
              <w:spacing w:line="360" w:lineRule="auto"/>
              <w:jc w:val="center"/>
              <w:rPr>
                <w:rFonts w:hAnsi="宋体"/>
                <w:b/>
                <w:bCs/>
                <w:kern w:val="0"/>
                <w:sz w:val="24"/>
              </w:rPr>
            </w:pPr>
            <w:r>
              <w:rPr>
                <w:rFonts w:hAnsi="宋体"/>
                <w:b/>
                <w:bCs/>
                <w:kern w:val="0"/>
                <w:sz w:val="24"/>
              </w:rPr>
              <w:t>表</w:t>
            </w:r>
            <w:r>
              <w:rPr>
                <w:rFonts w:hint="eastAsia" w:hAnsi="宋体"/>
                <w:b/>
                <w:bCs/>
                <w:kern w:val="0"/>
                <w:sz w:val="24"/>
              </w:rPr>
              <w:t>7-5</w:t>
            </w:r>
            <w:r>
              <w:rPr>
                <w:rFonts w:hAnsi="宋体"/>
                <w:b/>
                <w:bCs/>
                <w:kern w:val="0"/>
                <w:sz w:val="24"/>
              </w:rPr>
              <w:t xml:space="preserve">   </w:t>
            </w:r>
            <w:r>
              <w:rPr>
                <w:rFonts w:hint="eastAsia" w:hAnsi="宋体"/>
                <w:b/>
                <w:bCs/>
                <w:kern w:val="0"/>
                <w:sz w:val="24"/>
              </w:rPr>
              <w:t>施工期监理计划一览表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755"/>
              <w:gridCol w:w="6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noWrap w:val="0"/>
                  <w:vAlign w:val="center"/>
                </w:tcPr>
                <w:p>
                  <w:pPr>
                    <w:jc w:val="center"/>
                    <w:rPr>
                      <w:szCs w:val="21"/>
                    </w:rPr>
                  </w:pPr>
                  <w:r>
                    <w:rPr>
                      <w:szCs w:val="21"/>
                    </w:rPr>
                    <w:t>项目</w:t>
                  </w:r>
                </w:p>
              </w:tc>
              <w:tc>
                <w:tcPr>
                  <w:tcW w:w="1755" w:type="dxa"/>
                  <w:noWrap w:val="0"/>
                  <w:vAlign w:val="center"/>
                </w:tcPr>
                <w:p>
                  <w:pPr>
                    <w:jc w:val="center"/>
                    <w:rPr>
                      <w:szCs w:val="21"/>
                    </w:rPr>
                  </w:pPr>
                  <w:r>
                    <w:rPr>
                      <w:szCs w:val="21"/>
                    </w:rPr>
                    <w:t>分项</w:t>
                  </w:r>
                </w:p>
              </w:tc>
              <w:tc>
                <w:tcPr>
                  <w:tcW w:w="6453" w:type="dxa"/>
                  <w:noWrap w:val="0"/>
                  <w:vAlign w:val="center"/>
                </w:tcPr>
                <w:p>
                  <w:pPr>
                    <w:jc w:val="center"/>
                    <w:rPr>
                      <w:szCs w:val="21"/>
                    </w:rPr>
                  </w:pPr>
                  <w:r>
                    <w:rPr>
                      <w:szCs w:val="21"/>
                    </w:rPr>
                    <w:t>监理内容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vMerge w:val="restart"/>
                  <w:noWrap w:val="0"/>
                  <w:vAlign w:val="center"/>
                </w:tcPr>
                <w:p>
                  <w:pPr>
                    <w:jc w:val="center"/>
                    <w:rPr>
                      <w:szCs w:val="21"/>
                    </w:rPr>
                  </w:pPr>
                  <w:r>
                    <w:rPr>
                      <w:szCs w:val="21"/>
                    </w:rPr>
                    <w:t>水环境</w:t>
                  </w:r>
                </w:p>
              </w:tc>
              <w:tc>
                <w:tcPr>
                  <w:tcW w:w="1755" w:type="dxa"/>
                  <w:noWrap w:val="0"/>
                  <w:vAlign w:val="center"/>
                </w:tcPr>
                <w:p>
                  <w:pPr>
                    <w:jc w:val="center"/>
                    <w:rPr>
                      <w:szCs w:val="21"/>
                    </w:rPr>
                  </w:pPr>
                  <w:r>
                    <w:rPr>
                      <w:szCs w:val="21"/>
                    </w:rPr>
                    <w:t>施工生产废水</w:t>
                  </w:r>
                </w:p>
              </w:tc>
              <w:tc>
                <w:tcPr>
                  <w:tcW w:w="6453" w:type="dxa"/>
                  <w:noWrap w:val="0"/>
                  <w:vAlign w:val="center"/>
                </w:tcPr>
                <w:p>
                  <w:pPr>
                    <w:jc w:val="left"/>
                    <w:rPr>
                      <w:szCs w:val="21"/>
                    </w:rPr>
                  </w:pPr>
                  <w:r>
                    <w:rPr>
                      <w:szCs w:val="21"/>
                    </w:rPr>
                    <w:t>工程施工期是否执行生产废水处理措施，检查处理效果及循环利用情况；地表水环境质量满足标准要求。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vMerge w:val="continue"/>
                  <w:noWrap w:val="0"/>
                  <w:vAlign w:val="center"/>
                </w:tcPr>
                <w:p>
                  <w:pPr>
                    <w:jc w:val="center"/>
                    <w:rPr>
                      <w:szCs w:val="21"/>
                    </w:rPr>
                  </w:pPr>
                </w:p>
              </w:tc>
              <w:tc>
                <w:tcPr>
                  <w:tcW w:w="1755" w:type="dxa"/>
                  <w:noWrap w:val="0"/>
                  <w:vAlign w:val="center"/>
                </w:tcPr>
                <w:p>
                  <w:pPr>
                    <w:jc w:val="center"/>
                    <w:rPr>
                      <w:szCs w:val="21"/>
                    </w:rPr>
                  </w:pPr>
                  <w:r>
                    <w:rPr>
                      <w:szCs w:val="21"/>
                    </w:rPr>
                    <w:t>生活污水</w:t>
                  </w:r>
                </w:p>
              </w:tc>
              <w:tc>
                <w:tcPr>
                  <w:tcW w:w="6453" w:type="dxa"/>
                  <w:noWrap w:val="0"/>
                  <w:vAlign w:val="center"/>
                </w:tcPr>
                <w:p>
                  <w:pPr>
                    <w:jc w:val="left"/>
                    <w:rPr>
                      <w:szCs w:val="21"/>
                    </w:rPr>
                  </w:pPr>
                  <w:r>
                    <w:rPr>
                      <w:szCs w:val="21"/>
                    </w:rPr>
                    <w:t>施工期是否执行生活污水处理措施，检查处理效果，禁止直接排放。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vMerge w:val="restart"/>
                  <w:noWrap w:val="0"/>
                  <w:vAlign w:val="center"/>
                </w:tcPr>
                <w:p>
                  <w:pPr>
                    <w:jc w:val="center"/>
                    <w:rPr>
                      <w:szCs w:val="21"/>
                    </w:rPr>
                  </w:pPr>
                  <w:r>
                    <w:rPr>
                      <w:szCs w:val="21"/>
                    </w:rPr>
                    <w:t>声环境</w:t>
                  </w:r>
                </w:p>
              </w:tc>
              <w:tc>
                <w:tcPr>
                  <w:tcW w:w="1755" w:type="dxa"/>
                  <w:noWrap w:val="0"/>
                  <w:vAlign w:val="center"/>
                </w:tcPr>
                <w:p>
                  <w:pPr>
                    <w:jc w:val="center"/>
                    <w:rPr>
                      <w:szCs w:val="21"/>
                    </w:rPr>
                  </w:pPr>
                  <w:r>
                    <w:rPr>
                      <w:szCs w:val="21"/>
                    </w:rPr>
                    <w:t>施工区、施工公路及运输</w:t>
                  </w:r>
                </w:p>
              </w:tc>
              <w:tc>
                <w:tcPr>
                  <w:tcW w:w="6453" w:type="dxa"/>
                  <w:noWrap w:val="0"/>
                  <w:vAlign w:val="center"/>
                </w:tcPr>
                <w:p>
                  <w:pPr>
                    <w:jc w:val="left"/>
                    <w:rPr>
                      <w:szCs w:val="21"/>
                    </w:rPr>
                  </w:pPr>
                  <w:r>
                    <w:rPr>
                      <w:szCs w:val="21"/>
                    </w:rPr>
                    <w:t>施工噪声符合相应的环境噪声标准；是否规范施工行为和控制施工时段；施工机械及车辆是否采取防治措施。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vMerge w:val="continue"/>
                  <w:noWrap w:val="0"/>
                  <w:vAlign w:val="center"/>
                </w:tcPr>
                <w:p>
                  <w:pPr>
                    <w:jc w:val="center"/>
                    <w:rPr>
                      <w:szCs w:val="21"/>
                    </w:rPr>
                  </w:pPr>
                </w:p>
              </w:tc>
              <w:tc>
                <w:tcPr>
                  <w:tcW w:w="1755" w:type="dxa"/>
                  <w:noWrap w:val="0"/>
                  <w:vAlign w:val="center"/>
                </w:tcPr>
                <w:p>
                  <w:pPr>
                    <w:jc w:val="center"/>
                    <w:rPr>
                      <w:szCs w:val="21"/>
                    </w:rPr>
                  </w:pPr>
                  <w:r>
                    <w:rPr>
                      <w:szCs w:val="21"/>
                    </w:rPr>
                    <w:t>施工人员</w:t>
                  </w:r>
                </w:p>
              </w:tc>
              <w:tc>
                <w:tcPr>
                  <w:tcW w:w="6453" w:type="dxa"/>
                  <w:noWrap w:val="0"/>
                  <w:vAlign w:val="center"/>
                </w:tcPr>
                <w:p>
                  <w:pPr>
                    <w:jc w:val="left"/>
                    <w:rPr>
                      <w:szCs w:val="21"/>
                    </w:rPr>
                  </w:pPr>
                  <w:r>
                    <w:rPr>
                      <w:szCs w:val="21"/>
                    </w:rPr>
                    <w:t>是否按环保措施要求采取个人防护措施。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vMerge w:val="restart"/>
                  <w:noWrap w:val="0"/>
                  <w:vAlign w:val="center"/>
                </w:tcPr>
                <w:p>
                  <w:pPr>
                    <w:jc w:val="center"/>
                    <w:rPr>
                      <w:szCs w:val="21"/>
                    </w:rPr>
                  </w:pPr>
                  <w:r>
                    <w:rPr>
                      <w:szCs w:val="21"/>
                    </w:rPr>
                    <w:t>大气环境</w:t>
                  </w:r>
                </w:p>
              </w:tc>
              <w:tc>
                <w:tcPr>
                  <w:tcW w:w="1755" w:type="dxa"/>
                  <w:noWrap w:val="0"/>
                  <w:vAlign w:val="center"/>
                </w:tcPr>
                <w:p>
                  <w:pPr>
                    <w:jc w:val="center"/>
                    <w:rPr>
                      <w:szCs w:val="21"/>
                    </w:rPr>
                  </w:pPr>
                  <w:r>
                    <w:rPr>
                      <w:szCs w:val="21"/>
                    </w:rPr>
                    <w:t>施工区</w:t>
                  </w:r>
                </w:p>
              </w:tc>
              <w:tc>
                <w:tcPr>
                  <w:tcW w:w="6453" w:type="dxa"/>
                  <w:noWrap w:val="0"/>
                  <w:vAlign w:val="center"/>
                </w:tcPr>
                <w:p>
                  <w:pPr>
                    <w:jc w:val="left"/>
                    <w:rPr>
                      <w:szCs w:val="21"/>
                    </w:rPr>
                  </w:pPr>
                  <w:r>
                    <w:rPr>
                      <w:szCs w:val="21"/>
                    </w:rPr>
                    <w:t>大气环境符合相应的环境空气质量标准，施工机械是否采取防治措施，施工区是否采取洒水降尘措施。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vMerge w:val="continue"/>
                  <w:noWrap w:val="0"/>
                  <w:vAlign w:val="center"/>
                </w:tcPr>
                <w:p>
                  <w:pPr>
                    <w:jc w:val="center"/>
                    <w:rPr>
                      <w:szCs w:val="21"/>
                    </w:rPr>
                  </w:pPr>
                </w:p>
              </w:tc>
              <w:tc>
                <w:tcPr>
                  <w:tcW w:w="1755" w:type="dxa"/>
                  <w:noWrap w:val="0"/>
                  <w:vAlign w:val="center"/>
                </w:tcPr>
                <w:p>
                  <w:pPr>
                    <w:jc w:val="center"/>
                    <w:rPr>
                      <w:szCs w:val="21"/>
                    </w:rPr>
                  </w:pPr>
                  <w:r>
                    <w:rPr>
                      <w:szCs w:val="21"/>
                    </w:rPr>
                    <w:t>运输道路</w:t>
                  </w:r>
                </w:p>
              </w:tc>
              <w:tc>
                <w:tcPr>
                  <w:tcW w:w="6453" w:type="dxa"/>
                  <w:noWrap w:val="0"/>
                  <w:vAlign w:val="center"/>
                </w:tcPr>
                <w:p>
                  <w:pPr>
                    <w:jc w:val="left"/>
                    <w:rPr>
                      <w:szCs w:val="21"/>
                    </w:rPr>
                  </w:pPr>
                  <w:r>
                    <w:rPr>
                      <w:szCs w:val="21"/>
                    </w:rPr>
                    <w:t>是否有防尘措施，防尘措施执行情况如何。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vMerge w:val="continue"/>
                  <w:noWrap w:val="0"/>
                  <w:vAlign w:val="center"/>
                </w:tcPr>
                <w:p>
                  <w:pPr>
                    <w:jc w:val="center"/>
                    <w:rPr>
                      <w:szCs w:val="21"/>
                    </w:rPr>
                  </w:pPr>
                </w:p>
              </w:tc>
              <w:tc>
                <w:tcPr>
                  <w:tcW w:w="1755" w:type="dxa"/>
                  <w:noWrap w:val="0"/>
                  <w:vAlign w:val="center"/>
                </w:tcPr>
                <w:p>
                  <w:pPr>
                    <w:jc w:val="center"/>
                    <w:rPr>
                      <w:szCs w:val="21"/>
                    </w:rPr>
                  </w:pPr>
                  <w:r>
                    <w:rPr>
                      <w:szCs w:val="21"/>
                    </w:rPr>
                    <w:t>施工人员</w:t>
                  </w:r>
                </w:p>
              </w:tc>
              <w:tc>
                <w:tcPr>
                  <w:tcW w:w="6453" w:type="dxa"/>
                  <w:noWrap w:val="0"/>
                  <w:vAlign w:val="center"/>
                </w:tcPr>
                <w:p>
                  <w:pPr>
                    <w:jc w:val="left"/>
                    <w:rPr>
                      <w:szCs w:val="21"/>
                    </w:rPr>
                  </w:pPr>
                  <w:r>
                    <w:rPr>
                      <w:szCs w:val="21"/>
                    </w:rPr>
                    <w:t>是否按环保措施要求采取个人防护措施。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noWrap w:val="0"/>
                  <w:vAlign w:val="center"/>
                </w:tcPr>
                <w:p>
                  <w:pPr>
                    <w:jc w:val="center"/>
                    <w:rPr>
                      <w:szCs w:val="21"/>
                    </w:rPr>
                  </w:pPr>
                  <w:r>
                    <w:rPr>
                      <w:szCs w:val="21"/>
                    </w:rPr>
                    <w:t>生态环境</w:t>
                  </w:r>
                </w:p>
              </w:tc>
              <w:tc>
                <w:tcPr>
                  <w:tcW w:w="1755" w:type="dxa"/>
                  <w:noWrap w:val="0"/>
                  <w:vAlign w:val="center"/>
                </w:tcPr>
                <w:p>
                  <w:pPr>
                    <w:jc w:val="center"/>
                    <w:rPr>
                      <w:szCs w:val="21"/>
                    </w:rPr>
                  </w:pPr>
                  <w:r>
                    <w:rPr>
                      <w:szCs w:val="21"/>
                    </w:rPr>
                    <w:t>施工迹地</w:t>
                  </w:r>
                </w:p>
              </w:tc>
              <w:tc>
                <w:tcPr>
                  <w:tcW w:w="6453" w:type="dxa"/>
                  <w:noWrap w:val="0"/>
                  <w:vAlign w:val="center"/>
                </w:tcPr>
                <w:p>
                  <w:pPr>
                    <w:jc w:val="left"/>
                    <w:rPr>
                      <w:szCs w:val="21"/>
                    </w:rPr>
                  </w:pPr>
                  <w:r>
                    <w:rPr>
                      <w:szCs w:val="21"/>
                    </w:rPr>
                    <w:t>工程治理与迹地恢复措施是否落实。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vMerge w:val="restart"/>
                  <w:noWrap w:val="0"/>
                  <w:vAlign w:val="center"/>
                </w:tcPr>
                <w:p>
                  <w:pPr>
                    <w:jc w:val="center"/>
                    <w:rPr>
                      <w:szCs w:val="21"/>
                    </w:rPr>
                  </w:pPr>
                  <w:r>
                    <w:rPr>
                      <w:szCs w:val="21"/>
                    </w:rPr>
                    <w:t>固废处置</w:t>
                  </w:r>
                </w:p>
              </w:tc>
              <w:tc>
                <w:tcPr>
                  <w:tcW w:w="1755" w:type="dxa"/>
                  <w:noWrap w:val="0"/>
                  <w:vAlign w:val="center"/>
                </w:tcPr>
                <w:p>
                  <w:pPr>
                    <w:jc w:val="center"/>
                    <w:rPr>
                      <w:szCs w:val="21"/>
                    </w:rPr>
                  </w:pPr>
                  <w:r>
                    <w:rPr>
                      <w:szCs w:val="21"/>
                    </w:rPr>
                    <w:t>工程弃渣</w:t>
                  </w:r>
                </w:p>
              </w:tc>
              <w:tc>
                <w:tcPr>
                  <w:tcW w:w="6453" w:type="dxa"/>
                  <w:noWrap w:val="0"/>
                  <w:vAlign w:val="center"/>
                </w:tcPr>
                <w:p>
                  <w:pPr>
                    <w:jc w:val="left"/>
                    <w:rPr>
                      <w:szCs w:val="21"/>
                    </w:rPr>
                  </w:pPr>
                  <w:r>
                    <w:rPr>
                      <w:szCs w:val="21"/>
                    </w:rPr>
                    <w:t>工程开挖弃渣是否已全部回填</w:t>
                  </w:r>
                  <w:r>
                    <w:rPr>
                      <w:rFonts w:hint="eastAsia"/>
                      <w:szCs w:val="21"/>
                    </w:rPr>
                    <w:t>或处置</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vMerge w:val="continue"/>
                  <w:noWrap w:val="0"/>
                  <w:vAlign w:val="center"/>
                </w:tcPr>
                <w:p>
                  <w:pPr>
                    <w:jc w:val="center"/>
                    <w:rPr>
                      <w:szCs w:val="21"/>
                    </w:rPr>
                  </w:pPr>
                </w:p>
              </w:tc>
              <w:tc>
                <w:tcPr>
                  <w:tcW w:w="1755" w:type="dxa"/>
                  <w:noWrap w:val="0"/>
                  <w:vAlign w:val="center"/>
                </w:tcPr>
                <w:p>
                  <w:pPr>
                    <w:jc w:val="center"/>
                    <w:rPr>
                      <w:szCs w:val="21"/>
                    </w:rPr>
                  </w:pPr>
                  <w:r>
                    <w:rPr>
                      <w:szCs w:val="21"/>
                    </w:rPr>
                    <w:t>施工生活区</w:t>
                  </w:r>
                </w:p>
              </w:tc>
              <w:tc>
                <w:tcPr>
                  <w:tcW w:w="6453" w:type="dxa"/>
                  <w:noWrap w:val="0"/>
                  <w:vAlign w:val="center"/>
                </w:tcPr>
                <w:p>
                  <w:pPr>
                    <w:jc w:val="left"/>
                    <w:rPr>
                      <w:szCs w:val="21"/>
                    </w:rPr>
                  </w:pPr>
                  <w:r>
                    <w:rPr>
                      <w:szCs w:val="21"/>
                    </w:rPr>
                    <w:t>生活垃圾是否妥善处置。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noWrap w:val="0"/>
                  <w:vAlign w:val="center"/>
                </w:tcPr>
                <w:p>
                  <w:pPr>
                    <w:jc w:val="center"/>
                    <w:rPr>
                      <w:szCs w:val="21"/>
                    </w:rPr>
                  </w:pPr>
                  <w:r>
                    <w:rPr>
                      <w:szCs w:val="21"/>
                    </w:rPr>
                    <w:t>人群健康</w:t>
                  </w:r>
                </w:p>
              </w:tc>
              <w:tc>
                <w:tcPr>
                  <w:tcW w:w="1755" w:type="dxa"/>
                  <w:noWrap w:val="0"/>
                  <w:vAlign w:val="center"/>
                </w:tcPr>
                <w:p>
                  <w:pPr>
                    <w:jc w:val="center"/>
                    <w:rPr>
                      <w:szCs w:val="21"/>
                    </w:rPr>
                  </w:pPr>
                  <w:r>
                    <w:rPr>
                      <w:szCs w:val="21"/>
                    </w:rPr>
                    <w:t>预防传染病</w:t>
                  </w:r>
                </w:p>
              </w:tc>
              <w:tc>
                <w:tcPr>
                  <w:tcW w:w="6453" w:type="dxa"/>
                  <w:noWrap w:val="0"/>
                  <w:vAlign w:val="center"/>
                </w:tcPr>
                <w:p>
                  <w:pPr>
                    <w:jc w:val="left"/>
                    <w:rPr>
                      <w:szCs w:val="21"/>
                    </w:rPr>
                  </w:pPr>
                  <w:r>
                    <w:rPr>
                      <w:szCs w:val="21"/>
                    </w:rPr>
                    <w:t>生活用水消毒处理；修建公共卫生设施；发放灭蚊/鼠药品；工地食堂的卫生管理，对餐具经常进行煮沸消毒。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92" w:type="dxa"/>
                  <w:noWrap w:val="0"/>
                  <w:vAlign w:val="center"/>
                </w:tcPr>
                <w:p>
                  <w:pPr>
                    <w:jc w:val="center"/>
                    <w:rPr>
                      <w:szCs w:val="21"/>
                    </w:rPr>
                  </w:pPr>
                  <w:r>
                    <w:rPr>
                      <w:szCs w:val="21"/>
                    </w:rPr>
                    <w:t>社会环境</w:t>
                  </w:r>
                </w:p>
              </w:tc>
              <w:tc>
                <w:tcPr>
                  <w:tcW w:w="1755" w:type="dxa"/>
                  <w:noWrap w:val="0"/>
                  <w:vAlign w:val="center"/>
                </w:tcPr>
                <w:p>
                  <w:pPr>
                    <w:jc w:val="center"/>
                    <w:rPr>
                      <w:szCs w:val="21"/>
                    </w:rPr>
                  </w:pPr>
                  <w:r>
                    <w:rPr>
                      <w:szCs w:val="21"/>
                    </w:rPr>
                    <w:t>交通安全</w:t>
                  </w:r>
                </w:p>
              </w:tc>
              <w:tc>
                <w:tcPr>
                  <w:tcW w:w="6453" w:type="dxa"/>
                  <w:noWrap w:val="0"/>
                  <w:vAlign w:val="center"/>
                </w:tcPr>
                <w:p>
                  <w:pPr>
                    <w:jc w:val="left"/>
                    <w:rPr>
                      <w:szCs w:val="21"/>
                    </w:rPr>
                  </w:pPr>
                  <w:r>
                    <w:rPr>
                      <w:szCs w:val="21"/>
                    </w:rPr>
                    <w:t>施工路段保障车辆通畅；专人负责施工道路定期维护和平整，运输车辆对现有道路的影响是否减到最小。</w:t>
                  </w:r>
                </w:p>
              </w:tc>
            </w:tr>
          </w:tbl>
          <w:p>
            <w:pPr>
              <w:spacing w:line="360" w:lineRule="auto"/>
              <w:ind w:firstLine="480" w:firstLineChars="200"/>
              <w:rPr>
                <w:rFonts w:hint="eastAsia"/>
                <w:bCs/>
                <w:sz w:val="24"/>
              </w:rPr>
            </w:pPr>
          </w:p>
          <w:p>
            <w:pPr>
              <w:spacing w:line="360" w:lineRule="auto"/>
              <w:ind w:firstLine="482" w:firstLineChars="200"/>
              <w:rPr>
                <w:rFonts w:hint="eastAsia"/>
                <w:b/>
                <w:bCs/>
                <w:sz w:val="24"/>
              </w:rPr>
            </w:pPr>
            <w:r>
              <w:rPr>
                <w:b/>
                <w:bCs/>
                <w:sz w:val="24"/>
              </w:rPr>
              <w:t>2</w:t>
            </w:r>
            <w:r>
              <w:rPr>
                <w:rFonts w:hint="eastAsia"/>
                <w:b/>
                <w:bCs/>
                <w:sz w:val="24"/>
              </w:rPr>
              <w:t>、环境监测</w:t>
            </w:r>
          </w:p>
          <w:bookmarkEnd w:id="31"/>
          <w:p>
            <w:pPr>
              <w:autoSpaceDE w:val="0"/>
              <w:autoSpaceDN w:val="0"/>
              <w:adjustRightInd w:val="0"/>
              <w:spacing w:line="360" w:lineRule="auto"/>
              <w:ind w:firstLine="480" w:firstLineChars="200"/>
              <w:jc w:val="left"/>
              <w:rPr>
                <w:rFonts w:hint="eastAsia" w:hAnsi="宋体"/>
                <w:bCs/>
                <w:kern w:val="0"/>
                <w:sz w:val="24"/>
              </w:rPr>
            </w:pPr>
            <w:r>
              <w:rPr>
                <w:rFonts w:hAnsi="宋体"/>
                <w:bCs/>
                <w:kern w:val="0"/>
                <w:sz w:val="24"/>
              </w:rPr>
              <w:t>项目施工期环境监测计划</w:t>
            </w:r>
            <w:r>
              <w:rPr>
                <w:rFonts w:hint="eastAsia" w:hAnsi="宋体"/>
                <w:bCs/>
                <w:kern w:val="0"/>
                <w:sz w:val="24"/>
              </w:rPr>
              <w:t>一览表</w:t>
            </w:r>
          </w:p>
          <w:p>
            <w:pPr>
              <w:autoSpaceDE w:val="0"/>
              <w:autoSpaceDN w:val="0"/>
              <w:adjustRightInd w:val="0"/>
              <w:spacing w:line="360" w:lineRule="auto"/>
              <w:ind w:firstLine="480" w:firstLineChars="200"/>
              <w:jc w:val="left"/>
              <w:rPr>
                <w:rFonts w:hint="eastAsia" w:hAnsi="宋体"/>
                <w:bCs/>
                <w:color w:val="FF0000"/>
                <w:kern w:val="0"/>
                <w:sz w:val="24"/>
              </w:rPr>
            </w:pPr>
          </w:p>
          <w:p>
            <w:pPr>
              <w:autoSpaceDE w:val="0"/>
              <w:autoSpaceDN w:val="0"/>
              <w:adjustRightInd w:val="0"/>
              <w:spacing w:line="360" w:lineRule="auto"/>
              <w:jc w:val="center"/>
              <w:rPr>
                <w:rFonts w:hAnsi="宋体"/>
                <w:b/>
                <w:bCs/>
                <w:kern w:val="0"/>
                <w:sz w:val="24"/>
              </w:rPr>
            </w:pPr>
            <w:r>
              <w:rPr>
                <w:rFonts w:hAnsi="宋体"/>
                <w:b/>
                <w:bCs/>
                <w:kern w:val="0"/>
                <w:sz w:val="24"/>
              </w:rPr>
              <w:t>表</w:t>
            </w:r>
            <w:r>
              <w:rPr>
                <w:rFonts w:hint="eastAsia" w:hAnsi="宋体"/>
                <w:b/>
                <w:bCs/>
                <w:kern w:val="0"/>
                <w:sz w:val="24"/>
              </w:rPr>
              <w:t>7-6</w:t>
            </w:r>
            <w:r>
              <w:rPr>
                <w:rFonts w:hAnsi="宋体"/>
                <w:b/>
                <w:bCs/>
                <w:kern w:val="0"/>
                <w:sz w:val="24"/>
              </w:rPr>
              <w:t xml:space="preserve">  项目施工期环境监测计划表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13"/>
              <w:gridCol w:w="1857"/>
              <w:gridCol w:w="1167"/>
              <w:gridCol w:w="2160"/>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Pr>
              <w:tc>
                <w:tcPr>
                  <w:tcW w:w="651" w:type="dxa"/>
                  <w:noWrap w:val="0"/>
                  <w:vAlign w:val="center"/>
                </w:tcPr>
                <w:p>
                  <w:pPr>
                    <w:snapToGrid w:val="0"/>
                    <w:jc w:val="center"/>
                    <w:rPr>
                      <w:szCs w:val="21"/>
                    </w:rPr>
                  </w:pPr>
                  <w:r>
                    <w:rPr>
                      <w:szCs w:val="21"/>
                    </w:rPr>
                    <w:t>序号</w:t>
                  </w:r>
                </w:p>
              </w:tc>
              <w:tc>
                <w:tcPr>
                  <w:tcW w:w="1113" w:type="dxa"/>
                  <w:noWrap w:val="0"/>
                  <w:vAlign w:val="center"/>
                </w:tcPr>
                <w:p>
                  <w:pPr>
                    <w:snapToGrid w:val="0"/>
                    <w:jc w:val="center"/>
                    <w:rPr>
                      <w:szCs w:val="21"/>
                    </w:rPr>
                  </w:pPr>
                  <w:r>
                    <w:rPr>
                      <w:szCs w:val="21"/>
                    </w:rPr>
                    <w:t>监测项目</w:t>
                  </w:r>
                </w:p>
              </w:tc>
              <w:tc>
                <w:tcPr>
                  <w:tcW w:w="1857" w:type="dxa"/>
                  <w:noWrap w:val="0"/>
                  <w:vAlign w:val="center"/>
                </w:tcPr>
                <w:p>
                  <w:pPr>
                    <w:snapToGrid w:val="0"/>
                    <w:jc w:val="center"/>
                    <w:rPr>
                      <w:szCs w:val="21"/>
                    </w:rPr>
                  </w:pPr>
                  <w:r>
                    <w:rPr>
                      <w:szCs w:val="21"/>
                    </w:rPr>
                    <w:t>点位</w:t>
                  </w:r>
                </w:p>
              </w:tc>
              <w:tc>
                <w:tcPr>
                  <w:tcW w:w="1167" w:type="dxa"/>
                  <w:noWrap w:val="0"/>
                  <w:vAlign w:val="center"/>
                </w:tcPr>
                <w:p>
                  <w:pPr>
                    <w:snapToGrid w:val="0"/>
                    <w:jc w:val="center"/>
                    <w:rPr>
                      <w:szCs w:val="21"/>
                    </w:rPr>
                  </w:pPr>
                  <w:r>
                    <w:rPr>
                      <w:szCs w:val="21"/>
                    </w:rPr>
                    <w:t>监测参数</w:t>
                  </w:r>
                </w:p>
              </w:tc>
              <w:tc>
                <w:tcPr>
                  <w:tcW w:w="2160" w:type="dxa"/>
                  <w:noWrap w:val="0"/>
                  <w:vAlign w:val="center"/>
                </w:tcPr>
                <w:p>
                  <w:pPr>
                    <w:snapToGrid w:val="0"/>
                    <w:jc w:val="center"/>
                    <w:rPr>
                      <w:szCs w:val="21"/>
                    </w:rPr>
                  </w:pPr>
                  <w:r>
                    <w:rPr>
                      <w:szCs w:val="21"/>
                    </w:rPr>
                    <w:t>监测频率</w:t>
                  </w:r>
                </w:p>
              </w:tc>
              <w:tc>
                <w:tcPr>
                  <w:tcW w:w="2052" w:type="dxa"/>
                  <w:noWrap w:val="0"/>
                  <w:vAlign w:val="center"/>
                </w:tcPr>
                <w:p>
                  <w:pPr>
                    <w:snapToGrid w:val="0"/>
                    <w:jc w:val="center"/>
                    <w:rPr>
                      <w:szCs w:val="21"/>
                    </w:rPr>
                  </w:pPr>
                  <w:r>
                    <w:rPr>
                      <w:szCs w:val="21"/>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Pr>
              <w:tc>
                <w:tcPr>
                  <w:tcW w:w="651" w:type="dxa"/>
                  <w:noWrap w:val="0"/>
                  <w:vAlign w:val="center"/>
                </w:tcPr>
                <w:p>
                  <w:pPr>
                    <w:snapToGrid w:val="0"/>
                    <w:jc w:val="center"/>
                    <w:rPr>
                      <w:szCs w:val="21"/>
                    </w:rPr>
                  </w:pPr>
                  <w:r>
                    <w:rPr>
                      <w:szCs w:val="21"/>
                    </w:rPr>
                    <w:t>1</w:t>
                  </w:r>
                </w:p>
              </w:tc>
              <w:tc>
                <w:tcPr>
                  <w:tcW w:w="1113" w:type="dxa"/>
                  <w:noWrap w:val="0"/>
                  <w:vAlign w:val="center"/>
                </w:tcPr>
                <w:p>
                  <w:pPr>
                    <w:snapToGrid w:val="0"/>
                    <w:jc w:val="center"/>
                    <w:rPr>
                      <w:szCs w:val="21"/>
                    </w:rPr>
                  </w:pPr>
                  <w:r>
                    <w:rPr>
                      <w:szCs w:val="21"/>
                    </w:rPr>
                    <w:t>环境空气</w:t>
                  </w:r>
                </w:p>
              </w:tc>
              <w:tc>
                <w:tcPr>
                  <w:tcW w:w="1857" w:type="dxa"/>
                  <w:noWrap w:val="0"/>
                  <w:vAlign w:val="center"/>
                </w:tcPr>
                <w:p>
                  <w:pPr>
                    <w:snapToGrid w:val="0"/>
                    <w:jc w:val="center"/>
                    <w:rPr>
                      <w:szCs w:val="21"/>
                    </w:rPr>
                  </w:pPr>
                  <w:r>
                    <w:rPr>
                      <w:rFonts w:hint="eastAsia"/>
                      <w:bCs/>
                      <w:kern w:val="24"/>
                      <w:szCs w:val="21"/>
                    </w:rPr>
                    <w:t>厂界东、南、西、北</w:t>
                  </w:r>
                </w:p>
              </w:tc>
              <w:tc>
                <w:tcPr>
                  <w:tcW w:w="1167" w:type="dxa"/>
                  <w:noWrap w:val="0"/>
                  <w:vAlign w:val="center"/>
                </w:tcPr>
                <w:p>
                  <w:pPr>
                    <w:snapToGrid w:val="0"/>
                    <w:ind w:firstLine="210" w:firstLineChars="100"/>
                    <w:rPr>
                      <w:szCs w:val="21"/>
                    </w:rPr>
                  </w:pPr>
                  <w:r>
                    <w:rPr>
                      <w:szCs w:val="21"/>
                    </w:rPr>
                    <w:t>TSP</w:t>
                  </w:r>
                </w:p>
              </w:tc>
              <w:tc>
                <w:tcPr>
                  <w:tcW w:w="2160" w:type="dxa"/>
                  <w:noWrap w:val="0"/>
                  <w:vAlign w:val="center"/>
                </w:tcPr>
                <w:p>
                  <w:pPr>
                    <w:snapToGrid w:val="0"/>
                    <w:rPr>
                      <w:szCs w:val="21"/>
                    </w:rPr>
                  </w:pPr>
                  <w:r>
                    <w:rPr>
                      <w:szCs w:val="21"/>
                    </w:rPr>
                    <w:t xml:space="preserve">项目施工集中期监测两次，每次监测2天，每天监测3次 </w:t>
                  </w:r>
                </w:p>
              </w:tc>
              <w:tc>
                <w:tcPr>
                  <w:tcW w:w="2052" w:type="dxa"/>
                  <w:noWrap w:val="0"/>
                  <w:vAlign w:val="center"/>
                </w:tcPr>
                <w:p>
                  <w:pPr>
                    <w:snapToGrid w:val="0"/>
                    <w:rPr>
                      <w:szCs w:val="21"/>
                    </w:rPr>
                  </w:pPr>
                  <w:r>
                    <w:rPr>
                      <w:szCs w:val="21"/>
                    </w:rPr>
                    <w:t>按国家环保局颁布的《空气和废气监测分析方法》进行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90" w:hRule="atLeast"/>
              </w:trPr>
              <w:tc>
                <w:tcPr>
                  <w:tcW w:w="651" w:type="dxa"/>
                  <w:noWrap w:val="0"/>
                  <w:vAlign w:val="center"/>
                </w:tcPr>
                <w:p>
                  <w:pPr>
                    <w:snapToGrid w:val="0"/>
                    <w:jc w:val="center"/>
                    <w:rPr>
                      <w:szCs w:val="21"/>
                    </w:rPr>
                  </w:pPr>
                  <w:r>
                    <w:rPr>
                      <w:szCs w:val="21"/>
                    </w:rPr>
                    <w:t>2</w:t>
                  </w:r>
                </w:p>
              </w:tc>
              <w:tc>
                <w:tcPr>
                  <w:tcW w:w="1113" w:type="dxa"/>
                  <w:noWrap w:val="0"/>
                  <w:vAlign w:val="center"/>
                </w:tcPr>
                <w:p>
                  <w:pPr>
                    <w:snapToGrid w:val="0"/>
                    <w:jc w:val="center"/>
                    <w:rPr>
                      <w:szCs w:val="21"/>
                    </w:rPr>
                  </w:pPr>
                  <w:r>
                    <w:rPr>
                      <w:szCs w:val="21"/>
                    </w:rPr>
                    <w:t>声环境</w:t>
                  </w:r>
                </w:p>
              </w:tc>
              <w:tc>
                <w:tcPr>
                  <w:tcW w:w="1857" w:type="dxa"/>
                  <w:noWrap w:val="0"/>
                  <w:vAlign w:val="center"/>
                </w:tcPr>
                <w:p>
                  <w:pPr>
                    <w:snapToGrid w:val="0"/>
                    <w:jc w:val="center"/>
                    <w:rPr>
                      <w:szCs w:val="21"/>
                    </w:rPr>
                  </w:pPr>
                  <w:r>
                    <w:rPr>
                      <w:szCs w:val="21"/>
                    </w:rPr>
                    <w:t>对项目施工场地场界（场界东、南、西、北）及周围环境敏感点，进行噪声监测。</w:t>
                  </w:r>
                </w:p>
              </w:tc>
              <w:tc>
                <w:tcPr>
                  <w:tcW w:w="1167" w:type="dxa"/>
                  <w:noWrap w:val="0"/>
                  <w:vAlign w:val="center"/>
                </w:tcPr>
                <w:p>
                  <w:pPr>
                    <w:snapToGrid w:val="0"/>
                    <w:jc w:val="center"/>
                    <w:rPr>
                      <w:szCs w:val="21"/>
                    </w:rPr>
                  </w:pPr>
                  <w:r>
                    <w:rPr>
                      <w:szCs w:val="21"/>
                    </w:rPr>
                    <w:t>等效声级</w:t>
                  </w:r>
                </w:p>
              </w:tc>
              <w:tc>
                <w:tcPr>
                  <w:tcW w:w="2160" w:type="dxa"/>
                  <w:noWrap w:val="0"/>
                  <w:vAlign w:val="center"/>
                </w:tcPr>
                <w:p>
                  <w:pPr>
                    <w:snapToGrid w:val="0"/>
                    <w:rPr>
                      <w:szCs w:val="21"/>
                    </w:rPr>
                  </w:pPr>
                  <w:r>
                    <w:rPr>
                      <w:szCs w:val="21"/>
                    </w:rPr>
                    <w:t>项目施工集中期监测2次，每次监测2日，每日2次，昼夜各一次。</w:t>
                  </w:r>
                </w:p>
              </w:tc>
              <w:tc>
                <w:tcPr>
                  <w:tcW w:w="2052" w:type="dxa"/>
                  <w:noWrap w:val="0"/>
                  <w:vAlign w:val="center"/>
                </w:tcPr>
                <w:p>
                  <w:pPr>
                    <w:snapToGrid w:val="0"/>
                    <w:rPr>
                      <w:szCs w:val="21"/>
                    </w:rPr>
                  </w:pPr>
                  <w:r>
                    <w:rPr>
                      <w:szCs w:val="21"/>
                    </w:rPr>
                    <w:t>按国家环保局颁布的（GB12524-90）《建筑施工场界噪声测量方法》进行</w:t>
                  </w:r>
                </w:p>
              </w:tc>
            </w:tr>
          </w:tbl>
          <w:p>
            <w:pPr>
              <w:autoSpaceDE w:val="0"/>
              <w:autoSpaceDN w:val="0"/>
              <w:adjustRightInd w:val="0"/>
              <w:spacing w:line="360" w:lineRule="auto"/>
              <w:jc w:val="left"/>
              <w:rPr>
                <w:rFonts w:hint="eastAsia"/>
              </w:rPr>
            </w:pPr>
          </w:p>
          <w:p>
            <w:pPr>
              <w:autoSpaceDE w:val="0"/>
              <w:autoSpaceDN w:val="0"/>
              <w:adjustRightInd w:val="0"/>
              <w:spacing w:line="360" w:lineRule="auto"/>
              <w:ind w:firstLine="480" w:firstLineChars="200"/>
              <w:jc w:val="left"/>
              <w:rPr>
                <w:rFonts w:hAnsi="宋体"/>
                <w:bCs/>
                <w:kern w:val="0"/>
                <w:sz w:val="24"/>
              </w:rPr>
            </w:pPr>
            <w:r>
              <w:rPr>
                <w:rFonts w:hAnsi="宋体"/>
                <w:bCs/>
                <w:kern w:val="0"/>
                <w:sz w:val="24"/>
              </w:rPr>
              <w:t>项目</w:t>
            </w:r>
            <w:r>
              <w:rPr>
                <w:rFonts w:hint="eastAsia" w:hAnsi="宋体"/>
                <w:bCs/>
                <w:kern w:val="0"/>
                <w:sz w:val="24"/>
              </w:rPr>
              <w:t>运营期</w:t>
            </w:r>
            <w:r>
              <w:rPr>
                <w:rFonts w:hAnsi="宋体"/>
                <w:bCs/>
                <w:kern w:val="0"/>
                <w:sz w:val="24"/>
              </w:rPr>
              <w:t>环境监测计划</w:t>
            </w:r>
            <w:r>
              <w:rPr>
                <w:rFonts w:hint="eastAsia" w:hAnsi="宋体"/>
                <w:bCs/>
                <w:kern w:val="0"/>
                <w:sz w:val="24"/>
              </w:rPr>
              <w:t>一览表</w:t>
            </w:r>
          </w:p>
          <w:p>
            <w:pPr>
              <w:autoSpaceDE w:val="0"/>
              <w:autoSpaceDN w:val="0"/>
              <w:adjustRightInd w:val="0"/>
              <w:spacing w:line="360" w:lineRule="auto"/>
              <w:jc w:val="center"/>
              <w:rPr>
                <w:rFonts w:hAnsi="宋体"/>
                <w:b/>
                <w:bCs/>
                <w:kern w:val="0"/>
                <w:sz w:val="24"/>
              </w:rPr>
            </w:pPr>
            <w:r>
              <w:rPr>
                <w:rFonts w:hAnsi="宋体"/>
                <w:b/>
                <w:bCs/>
                <w:kern w:val="0"/>
                <w:sz w:val="24"/>
              </w:rPr>
              <w:t>表</w:t>
            </w:r>
            <w:r>
              <w:rPr>
                <w:rFonts w:hint="eastAsia" w:hAnsi="宋体"/>
                <w:b/>
                <w:bCs/>
                <w:kern w:val="0"/>
                <w:sz w:val="24"/>
              </w:rPr>
              <w:t>7-7</w:t>
            </w:r>
            <w:r>
              <w:rPr>
                <w:rFonts w:hAnsi="宋体"/>
                <w:b/>
                <w:bCs/>
                <w:kern w:val="0"/>
                <w:sz w:val="24"/>
              </w:rPr>
              <w:t xml:space="preserve">  项目</w:t>
            </w:r>
            <w:r>
              <w:rPr>
                <w:rFonts w:hint="eastAsia" w:hAnsi="宋体"/>
                <w:b/>
                <w:bCs/>
                <w:kern w:val="0"/>
                <w:sz w:val="24"/>
              </w:rPr>
              <w:t>运营期</w:t>
            </w:r>
            <w:r>
              <w:rPr>
                <w:rFonts w:hAnsi="宋体"/>
                <w:b/>
                <w:bCs/>
                <w:kern w:val="0"/>
                <w:sz w:val="24"/>
              </w:rPr>
              <w:t>环境监测计划表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09"/>
              <w:gridCol w:w="1296"/>
              <w:gridCol w:w="1559"/>
              <w:gridCol w:w="1985"/>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Pr>
              <w:tc>
                <w:tcPr>
                  <w:tcW w:w="650" w:type="dxa"/>
                  <w:noWrap w:val="0"/>
                  <w:vAlign w:val="center"/>
                </w:tcPr>
                <w:p>
                  <w:pPr>
                    <w:snapToGrid w:val="0"/>
                    <w:jc w:val="center"/>
                    <w:rPr>
                      <w:szCs w:val="21"/>
                    </w:rPr>
                  </w:pPr>
                  <w:r>
                    <w:rPr>
                      <w:szCs w:val="21"/>
                    </w:rPr>
                    <w:t>序号</w:t>
                  </w:r>
                </w:p>
              </w:tc>
              <w:tc>
                <w:tcPr>
                  <w:tcW w:w="1109" w:type="dxa"/>
                  <w:noWrap w:val="0"/>
                  <w:vAlign w:val="center"/>
                </w:tcPr>
                <w:p>
                  <w:pPr>
                    <w:snapToGrid w:val="0"/>
                    <w:jc w:val="center"/>
                    <w:rPr>
                      <w:szCs w:val="21"/>
                    </w:rPr>
                  </w:pPr>
                  <w:r>
                    <w:rPr>
                      <w:szCs w:val="21"/>
                    </w:rPr>
                    <w:t>监测项目</w:t>
                  </w:r>
                </w:p>
              </w:tc>
              <w:tc>
                <w:tcPr>
                  <w:tcW w:w="1296" w:type="dxa"/>
                  <w:noWrap w:val="0"/>
                  <w:vAlign w:val="center"/>
                </w:tcPr>
                <w:p>
                  <w:pPr>
                    <w:snapToGrid w:val="0"/>
                    <w:jc w:val="center"/>
                    <w:rPr>
                      <w:szCs w:val="21"/>
                    </w:rPr>
                  </w:pPr>
                  <w:r>
                    <w:rPr>
                      <w:szCs w:val="21"/>
                    </w:rPr>
                    <w:t>点位</w:t>
                  </w:r>
                </w:p>
              </w:tc>
              <w:tc>
                <w:tcPr>
                  <w:tcW w:w="1559" w:type="dxa"/>
                  <w:noWrap w:val="0"/>
                  <w:vAlign w:val="center"/>
                </w:tcPr>
                <w:p>
                  <w:pPr>
                    <w:snapToGrid w:val="0"/>
                    <w:jc w:val="center"/>
                    <w:rPr>
                      <w:szCs w:val="21"/>
                    </w:rPr>
                  </w:pPr>
                  <w:r>
                    <w:rPr>
                      <w:szCs w:val="21"/>
                    </w:rPr>
                    <w:t>监测参数</w:t>
                  </w:r>
                </w:p>
              </w:tc>
              <w:tc>
                <w:tcPr>
                  <w:tcW w:w="1985" w:type="dxa"/>
                  <w:noWrap w:val="0"/>
                  <w:vAlign w:val="center"/>
                </w:tcPr>
                <w:p>
                  <w:pPr>
                    <w:snapToGrid w:val="0"/>
                    <w:jc w:val="center"/>
                    <w:rPr>
                      <w:szCs w:val="21"/>
                    </w:rPr>
                  </w:pPr>
                  <w:r>
                    <w:rPr>
                      <w:szCs w:val="21"/>
                    </w:rPr>
                    <w:t>监测频率</w:t>
                  </w:r>
                </w:p>
              </w:tc>
              <w:tc>
                <w:tcPr>
                  <w:tcW w:w="2401" w:type="dxa"/>
                  <w:noWrap w:val="0"/>
                  <w:vAlign w:val="center"/>
                </w:tcPr>
                <w:p>
                  <w:pPr>
                    <w:snapToGrid w:val="0"/>
                    <w:jc w:val="center"/>
                    <w:rPr>
                      <w:szCs w:val="21"/>
                    </w:rPr>
                  </w:pPr>
                  <w:r>
                    <w:rPr>
                      <w:szCs w:val="21"/>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Pr>
              <w:tc>
                <w:tcPr>
                  <w:tcW w:w="650" w:type="dxa"/>
                  <w:noWrap w:val="0"/>
                  <w:vAlign w:val="center"/>
                </w:tcPr>
                <w:p>
                  <w:pPr>
                    <w:snapToGrid w:val="0"/>
                    <w:jc w:val="center"/>
                    <w:rPr>
                      <w:szCs w:val="21"/>
                    </w:rPr>
                  </w:pPr>
                  <w:r>
                    <w:rPr>
                      <w:szCs w:val="21"/>
                    </w:rPr>
                    <w:t>1</w:t>
                  </w:r>
                </w:p>
              </w:tc>
              <w:tc>
                <w:tcPr>
                  <w:tcW w:w="1109" w:type="dxa"/>
                  <w:noWrap w:val="0"/>
                  <w:vAlign w:val="center"/>
                </w:tcPr>
                <w:p>
                  <w:pPr>
                    <w:snapToGrid w:val="0"/>
                    <w:jc w:val="center"/>
                    <w:rPr>
                      <w:szCs w:val="21"/>
                    </w:rPr>
                  </w:pPr>
                  <w:r>
                    <w:rPr>
                      <w:szCs w:val="21"/>
                    </w:rPr>
                    <w:t>污水监测</w:t>
                  </w:r>
                </w:p>
              </w:tc>
              <w:tc>
                <w:tcPr>
                  <w:tcW w:w="1296" w:type="dxa"/>
                  <w:noWrap w:val="0"/>
                  <w:vAlign w:val="center"/>
                </w:tcPr>
                <w:p>
                  <w:pPr>
                    <w:snapToGrid w:val="0"/>
                    <w:jc w:val="center"/>
                    <w:rPr>
                      <w:szCs w:val="21"/>
                    </w:rPr>
                  </w:pPr>
                  <w:r>
                    <w:rPr>
                      <w:rFonts w:hint="eastAsia"/>
                      <w:szCs w:val="21"/>
                    </w:rPr>
                    <w:t>化粪池</w:t>
                  </w:r>
                  <w:r>
                    <w:rPr>
                      <w:szCs w:val="21"/>
                    </w:rPr>
                    <w:t>出水口</w:t>
                  </w:r>
                </w:p>
              </w:tc>
              <w:tc>
                <w:tcPr>
                  <w:tcW w:w="1559" w:type="dxa"/>
                  <w:noWrap w:val="0"/>
                  <w:vAlign w:val="center"/>
                </w:tcPr>
                <w:p>
                  <w:pPr>
                    <w:snapToGrid w:val="0"/>
                    <w:jc w:val="center"/>
                    <w:rPr>
                      <w:szCs w:val="21"/>
                    </w:rPr>
                  </w:pPr>
                  <w:r>
                    <w:rPr>
                      <w:szCs w:val="21"/>
                    </w:rPr>
                    <w:t>水量、COD、BOD</w:t>
                  </w:r>
                  <w:r>
                    <w:rPr>
                      <w:szCs w:val="21"/>
                      <w:vertAlign w:val="subscript"/>
                    </w:rPr>
                    <w:t>5</w:t>
                  </w:r>
                  <w:r>
                    <w:rPr>
                      <w:szCs w:val="21"/>
                    </w:rPr>
                    <w:t>、SS、磷酸盐、氨氮、粪大肠菌群</w:t>
                  </w:r>
                </w:p>
              </w:tc>
              <w:tc>
                <w:tcPr>
                  <w:tcW w:w="1985" w:type="dxa"/>
                  <w:noWrap w:val="0"/>
                  <w:vAlign w:val="center"/>
                </w:tcPr>
                <w:p>
                  <w:pPr>
                    <w:jc w:val="center"/>
                    <w:rPr>
                      <w:szCs w:val="21"/>
                    </w:rPr>
                  </w:pPr>
                  <w:r>
                    <w:rPr>
                      <w:szCs w:val="21"/>
                    </w:rPr>
                    <w:t>每年监测1次。每次监测连续监测3天，每天采样1次。</w:t>
                  </w:r>
                </w:p>
              </w:tc>
              <w:tc>
                <w:tcPr>
                  <w:tcW w:w="2401" w:type="dxa"/>
                  <w:noWrap w:val="0"/>
                  <w:vAlign w:val="center"/>
                </w:tcPr>
                <w:p>
                  <w:pPr>
                    <w:jc w:val="center"/>
                    <w:rPr>
                      <w:szCs w:val="21"/>
                    </w:rPr>
                  </w:pPr>
                  <w:r>
                    <w:rPr>
                      <w:szCs w:val="21"/>
                    </w:rPr>
                    <w:t>按国家标准GB5750-2006《水和废水监测分析方法》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07" w:hRule="atLeast"/>
              </w:trPr>
              <w:tc>
                <w:tcPr>
                  <w:tcW w:w="650" w:type="dxa"/>
                  <w:noWrap w:val="0"/>
                  <w:vAlign w:val="center"/>
                </w:tcPr>
                <w:p>
                  <w:pPr>
                    <w:snapToGrid w:val="0"/>
                    <w:jc w:val="center"/>
                    <w:rPr>
                      <w:szCs w:val="21"/>
                    </w:rPr>
                  </w:pPr>
                  <w:r>
                    <w:rPr>
                      <w:szCs w:val="21"/>
                    </w:rPr>
                    <w:t>2</w:t>
                  </w:r>
                </w:p>
              </w:tc>
              <w:tc>
                <w:tcPr>
                  <w:tcW w:w="1109" w:type="dxa"/>
                  <w:noWrap w:val="0"/>
                  <w:vAlign w:val="center"/>
                </w:tcPr>
                <w:p>
                  <w:pPr>
                    <w:snapToGrid w:val="0"/>
                    <w:jc w:val="center"/>
                    <w:rPr>
                      <w:szCs w:val="21"/>
                    </w:rPr>
                  </w:pPr>
                  <w:r>
                    <w:rPr>
                      <w:szCs w:val="21"/>
                    </w:rPr>
                    <w:t>噪声</w:t>
                  </w:r>
                </w:p>
              </w:tc>
              <w:tc>
                <w:tcPr>
                  <w:tcW w:w="1296" w:type="dxa"/>
                  <w:noWrap w:val="0"/>
                  <w:vAlign w:val="center"/>
                </w:tcPr>
                <w:p>
                  <w:pPr>
                    <w:jc w:val="center"/>
                    <w:rPr>
                      <w:szCs w:val="21"/>
                    </w:rPr>
                  </w:pPr>
                  <w:r>
                    <w:rPr>
                      <w:szCs w:val="21"/>
                    </w:rPr>
                    <w:t>厂界</w:t>
                  </w:r>
                </w:p>
              </w:tc>
              <w:tc>
                <w:tcPr>
                  <w:tcW w:w="1559" w:type="dxa"/>
                  <w:noWrap w:val="0"/>
                  <w:vAlign w:val="center"/>
                </w:tcPr>
                <w:p>
                  <w:pPr>
                    <w:jc w:val="center"/>
                    <w:rPr>
                      <w:szCs w:val="21"/>
                    </w:rPr>
                  </w:pPr>
                  <w:r>
                    <w:rPr>
                      <w:szCs w:val="21"/>
                    </w:rPr>
                    <w:t>等效连续A声级</w:t>
                  </w:r>
                </w:p>
              </w:tc>
              <w:tc>
                <w:tcPr>
                  <w:tcW w:w="1985" w:type="dxa"/>
                  <w:noWrap w:val="0"/>
                  <w:vAlign w:val="center"/>
                </w:tcPr>
                <w:p>
                  <w:pPr>
                    <w:jc w:val="center"/>
                    <w:rPr>
                      <w:szCs w:val="21"/>
                    </w:rPr>
                  </w:pPr>
                  <w:r>
                    <w:rPr>
                      <w:szCs w:val="21"/>
                    </w:rPr>
                    <w:t>每年1天，每天昼、夜各测一次</w:t>
                  </w:r>
                </w:p>
              </w:tc>
              <w:tc>
                <w:tcPr>
                  <w:tcW w:w="2401" w:type="dxa"/>
                  <w:noWrap w:val="0"/>
                  <w:vAlign w:val="center"/>
                </w:tcPr>
                <w:p>
                  <w:pPr>
                    <w:jc w:val="center"/>
                    <w:rPr>
                      <w:szCs w:val="21"/>
                    </w:rPr>
                  </w:pPr>
                  <w:r>
                    <w:rPr>
                      <w:szCs w:val="21"/>
                    </w:rPr>
                    <w:t>按国家环保局颁布的</w:t>
                  </w:r>
                  <w:r>
                    <w:rPr>
                      <w:rFonts w:hint="eastAsia"/>
                      <w:bCs/>
                      <w:sz w:val="24"/>
                    </w:rPr>
                    <w:t>《社会生活环境噪声排放标准》（GB22337-2008）</w:t>
                  </w:r>
                  <w:r>
                    <w:rPr>
                      <w:szCs w:val="21"/>
                    </w:rPr>
                    <w:t>进行</w:t>
                  </w:r>
                </w:p>
              </w:tc>
            </w:tr>
          </w:tbl>
          <w:p>
            <w:pPr>
              <w:autoSpaceDE w:val="0"/>
              <w:autoSpaceDN w:val="0"/>
              <w:adjustRightInd w:val="0"/>
              <w:spacing w:line="360" w:lineRule="auto"/>
              <w:ind w:firstLine="480" w:firstLineChars="200"/>
              <w:jc w:val="left"/>
              <w:rPr>
                <w:rFonts w:hint="eastAsia" w:hAnsi="宋体"/>
                <w:bCs/>
                <w:color w:val="FF0000"/>
                <w:kern w:val="0"/>
                <w:sz w:val="24"/>
              </w:rPr>
            </w:pPr>
          </w:p>
          <w:p>
            <w:pPr>
              <w:autoSpaceDE w:val="0"/>
              <w:autoSpaceDN w:val="0"/>
              <w:adjustRightInd w:val="0"/>
              <w:spacing w:line="360" w:lineRule="auto"/>
              <w:ind w:firstLine="482" w:firstLineChars="200"/>
              <w:jc w:val="left"/>
              <w:rPr>
                <w:rFonts w:hAnsi="宋体"/>
                <w:b/>
                <w:bCs/>
                <w:kern w:val="0"/>
                <w:sz w:val="24"/>
              </w:rPr>
            </w:pPr>
          </w:p>
          <w:p>
            <w:pPr>
              <w:autoSpaceDE w:val="0"/>
              <w:autoSpaceDN w:val="0"/>
              <w:adjustRightInd w:val="0"/>
              <w:spacing w:line="360" w:lineRule="auto"/>
              <w:ind w:firstLine="482" w:firstLineChars="200"/>
              <w:jc w:val="left"/>
              <w:rPr>
                <w:rFonts w:hAnsi="宋体"/>
                <w:b/>
                <w:bCs/>
                <w:kern w:val="0"/>
                <w:sz w:val="24"/>
              </w:rPr>
            </w:pPr>
          </w:p>
          <w:p>
            <w:pPr>
              <w:autoSpaceDE w:val="0"/>
              <w:autoSpaceDN w:val="0"/>
              <w:adjustRightInd w:val="0"/>
              <w:spacing w:line="360" w:lineRule="auto"/>
              <w:ind w:firstLine="482" w:firstLineChars="200"/>
              <w:jc w:val="left"/>
              <w:rPr>
                <w:rFonts w:hAnsi="宋体"/>
                <w:b/>
                <w:bCs/>
                <w:kern w:val="0"/>
                <w:sz w:val="24"/>
              </w:rPr>
            </w:pPr>
          </w:p>
          <w:p>
            <w:pPr>
              <w:autoSpaceDE w:val="0"/>
              <w:autoSpaceDN w:val="0"/>
              <w:adjustRightInd w:val="0"/>
              <w:spacing w:line="360" w:lineRule="auto"/>
              <w:ind w:firstLine="482" w:firstLineChars="200"/>
              <w:jc w:val="left"/>
              <w:rPr>
                <w:rFonts w:hAnsi="宋体"/>
                <w:b/>
                <w:bCs/>
                <w:kern w:val="0"/>
                <w:sz w:val="24"/>
              </w:rPr>
            </w:pPr>
          </w:p>
          <w:p>
            <w:pPr>
              <w:autoSpaceDE w:val="0"/>
              <w:autoSpaceDN w:val="0"/>
              <w:adjustRightInd w:val="0"/>
              <w:spacing w:line="360" w:lineRule="auto"/>
              <w:ind w:firstLine="482" w:firstLineChars="200"/>
              <w:jc w:val="left"/>
              <w:rPr>
                <w:rFonts w:hAnsi="宋体"/>
                <w:b/>
                <w:bCs/>
                <w:kern w:val="0"/>
                <w:sz w:val="24"/>
              </w:rPr>
            </w:pPr>
          </w:p>
          <w:p>
            <w:pPr>
              <w:autoSpaceDE w:val="0"/>
              <w:autoSpaceDN w:val="0"/>
              <w:adjustRightInd w:val="0"/>
              <w:spacing w:line="360" w:lineRule="auto"/>
              <w:ind w:firstLine="482" w:firstLineChars="200"/>
              <w:jc w:val="left"/>
              <w:rPr>
                <w:rFonts w:hAnsi="宋体"/>
                <w:b/>
                <w:bCs/>
                <w:kern w:val="0"/>
                <w:sz w:val="24"/>
              </w:rPr>
            </w:pPr>
          </w:p>
          <w:p>
            <w:pPr>
              <w:autoSpaceDE w:val="0"/>
              <w:autoSpaceDN w:val="0"/>
              <w:adjustRightInd w:val="0"/>
              <w:spacing w:line="360" w:lineRule="auto"/>
              <w:ind w:firstLine="482" w:firstLineChars="200"/>
              <w:jc w:val="left"/>
              <w:rPr>
                <w:rFonts w:hAnsi="宋体"/>
                <w:b/>
                <w:bCs/>
                <w:kern w:val="0"/>
                <w:sz w:val="24"/>
              </w:rPr>
            </w:pPr>
          </w:p>
          <w:p>
            <w:pPr>
              <w:autoSpaceDE w:val="0"/>
              <w:autoSpaceDN w:val="0"/>
              <w:adjustRightInd w:val="0"/>
              <w:spacing w:line="360" w:lineRule="auto"/>
              <w:ind w:firstLine="482" w:firstLineChars="200"/>
              <w:jc w:val="left"/>
              <w:rPr>
                <w:rFonts w:hAnsi="宋体"/>
                <w:b/>
                <w:bCs/>
                <w:kern w:val="0"/>
                <w:sz w:val="24"/>
              </w:rPr>
            </w:pPr>
          </w:p>
          <w:p>
            <w:pPr>
              <w:autoSpaceDE w:val="0"/>
              <w:autoSpaceDN w:val="0"/>
              <w:adjustRightInd w:val="0"/>
              <w:spacing w:line="360" w:lineRule="auto"/>
              <w:ind w:firstLine="482" w:firstLineChars="200"/>
              <w:jc w:val="left"/>
              <w:rPr>
                <w:rFonts w:hAnsi="宋体"/>
                <w:b/>
                <w:bCs/>
                <w:kern w:val="0"/>
                <w:sz w:val="24"/>
              </w:rPr>
            </w:pPr>
            <w:r>
              <w:rPr>
                <w:rFonts w:hAnsi="宋体"/>
                <w:b/>
                <w:bCs/>
                <w:kern w:val="0"/>
                <w:sz w:val="24"/>
              </w:rPr>
              <w:t>3</w:t>
            </w:r>
            <w:r>
              <w:rPr>
                <w:rFonts w:hint="eastAsia" w:hAnsi="宋体"/>
                <w:b/>
                <w:bCs/>
                <w:kern w:val="0"/>
                <w:sz w:val="24"/>
              </w:rPr>
              <w:t>、竣工验收</w:t>
            </w:r>
          </w:p>
          <w:p>
            <w:pPr>
              <w:autoSpaceDE w:val="0"/>
              <w:autoSpaceDN w:val="0"/>
              <w:adjustRightInd w:val="0"/>
              <w:spacing w:line="360" w:lineRule="auto"/>
              <w:ind w:firstLine="480" w:firstLineChars="200"/>
              <w:jc w:val="left"/>
              <w:rPr>
                <w:rFonts w:hint="eastAsia" w:hAnsi="宋体"/>
                <w:bCs/>
                <w:kern w:val="0"/>
                <w:sz w:val="24"/>
              </w:rPr>
            </w:pPr>
            <w:r>
              <w:rPr>
                <w:rFonts w:hint="eastAsia" w:hAnsi="宋体"/>
                <w:bCs/>
                <w:kern w:val="0"/>
                <w:sz w:val="24"/>
              </w:rPr>
              <w:t>项目投产后，建设单位应按照《建设项目竣工环境保护验收管理办法》中的有关规定，及时向有审批权的环保行政主管部门申请对本工程进行环境保护验收。</w:t>
            </w:r>
            <w:r>
              <w:rPr>
                <w:rFonts w:hAnsi="宋体"/>
                <w:bCs/>
                <w:kern w:val="0"/>
                <w:sz w:val="24"/>
              </w:rPr>
              <w:t>环保设施验收一览表</w:t>
            </w:r>
            <w:r>
              <w:rPr>
                <w:rFonts w:hint="eastAsia" w:hAnsi="宋体"/>
                <w:bCs/>
                <w:kern w:val="0"/>
                <w:sz w:val="24"/>
              </w:rPr>
              <w:t>：</w:t>
            </w:r>
          </w:p>
          <w:p>
            <w:pPr>
              <w:autoSpaceDE w:val="0"/>
              <w:autoSpaceDN w:val="0"/>
              <w:adjustRightInd w:val="0"/>
              <w:spacing w:line="360" w:lineRule="auto"/>
              <w:jc w:val="center"/>
              <w:rPr>
                <w:rFonts w:hint="eastAsia" w:hAnsi="宋体"/>
                <w:b/>
                <w:bCs/>
                <w:kern w:val="0"/>
                <w:sz w:val="24"/>
              </w:rPr>
            </w:pPr>
            <w:r>
              <w:rPr>
                <w:rFonts w:hAnsi="宋体"/>
                <w:b/>
                <w:bCs/>
                <w:kern w:val="0"/>
                <w:sz w:val="24"/>
              </w:rPr>
              <w:t>表</w:t>
            </w:r>
            <w:r>
              <w:rPr>
                <w:rFonts w:hint="eastAsia"/>
                <w:b/>
                <w:bCs/>
                <w:kern w:val="0"/>
                <w:sz w:val="24"/>
              </w:rPr>
              <w:t xml:space="preserve">7-8 </w:t>
            </w:r>
            <w:r>
              <w:rPr>
                <w:b/>
                <w:bCs/>
                <w:kern w:val="0"/>
                <w:sz w:val="24"/>
              </w:rPr>
              <w:t xml:space="preserve"> </w:t>
            </w:r>
            <w:r>
              <w:rPr>
                <w:rFonts w:hAnsi="宋体"/>
                <w:b/>
                <w:bCs/>
                <w:kern w:val="0"/>
                <w:sz w:val="24"/>
              </w:rPr>
              <w:t>环保设施验收一览表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939"/>
              <w:gridCol w:w="2551"/>
              <w:gridCol w:w="3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64" w:type="dxa"/>
                  <w:noWrap w:val="0"/>
                  <w:vAlign w:val="center"/>
                </w:tcPr>
                <w:p>
                  <w:pPr>
                    <w:pStyle w:val="84"/>
                    <w:spacing w:line="280" w:lineRule="exact"/>
                    <w:rPr>
                      <w:rFonts w:cs="Times New Roman"/>
                      <w:szCs w:val="21"/>
                    </w:rPr>
                  </w:pPr>
                  <w:r>
                    <w:rPr>
                      <w:rFonts w:hAnsi="宋体" w:cs="Times New Roman"/>
                      <w:szCs w:val="21"/>
                    </w:rPr>
                    <w:t>序号</w:t>
                  </w:r>
                </w:p>
              </w:tc>
              <w:tc>
                <w:tcPr>
                  <w:tcW w:w="1939" w:type="dxa"/>
                  <w:noWrap w:val="0"/>
                  <w:vAlign w:val="center"/>
                </w:tcPr>
                <w:p>
                  <w:pPr>
                    <w:pStyle w:val="84"/>
                    <w:spacing w:line="280" w:lineRule="exact"/>
                    <w:rPr>
                      <w:rFonts w:cs="Times New Roman"/>
                      <w:szCs w:val="21"/>
                    </w:rPr>
                  </w:pPr>
                  <w:r>
                    <w:rPr>
                      <w:rFonts w:hAnsi="宋体" w:cs="Times New Roman"/>
                      <w:szCs w:val="21"/>
                    </w:rPr>
                    <w:t>治理对象</w:t>
                  </w:r>
                </w:p>
              </w:tc>
              <w:tc>
                <w:tcPr>
                  <w:tcW w:w="2551" w:type="dxa"/>
                  <w:noWrap w:val="0"/>
                  <w:vAlign w:val="center"/>
                </w:tcPr>
                <w:p>
                  <w:pPr>
                    <w:pStyle w:val="84"/>
                    <w:spacing w:line="280" w:lineRule="exact"/>
                    <w:rPr>
                      <w:rFonts w:cs="Times New Roman"/>
                      <w:szCs w:val="21"/>
                    </w:rPr>
                  </w:pPr>
                  <w:r>
                    <w:rPr>
                      <w:rFonts w:hAnsi="宋体" w:cs="Times New Roman"/>
                      <w:szCs w:val="21"/>
                    </w:rPr>
                    <w:t>防治措施</w:t>
                  </w:r>
                </w:p>
              </w:tc>
              <w:tc>
                <w:tcPr>
                  <w:tcW w:w="3746" w:type="dxa"/>
                  <w:noWrap w:val="0"/>
                  <w:vAlign w:val="center"/>
                </w:tcPr>
                <w:p>
                  <w:pPr>
                    <w:pStyle w:val="84"/>
                    <w:spacing w:line="280" w:lineRule="exact"/>
                    <w:rPr>
                      <w:rFonts w:cs="Times New Roman"/>
                      <w:szCs w:val="21"/>
                    </w:rPr>
                  </w:pPr>
                  <w:r>
                    <w:rPr>
                      <w:rFonts w:hAnsi="宋体" w:cs="Times New Roman"/>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30" w:hRule="atLeast"/>
                <w:jc w:val="center"/>
              </w:trPr>
              <w:tc>
                <w:tcPr>
                  <w:tcW w:w="764" w:type="dxa"/>
                  <w:vMerge w:val="restart"/>
                  <w:noWrap w:val="0"/>
                  <w:vAlign w:val="center"/>
                </w:tcPr>
                <w:p>
                  <w:pPr>
                    <w:pStyle w:val="84"/>
                    <w:spacing w:line="280" w:lineRule="exact"/>
                    <w:rPr>
                      <w:rFonts w:cs="Times New Roman"/>
                      <w:szCs w:val="21"/>
                    </w:rPr>
                  </w:pPr>
                  <w:r>
                    <w:rPr>
                      <w:rFonts w:hint="eastAsia" w:cs="Times New Roman"/>
                      <w:szCs w:val="21"/>
                    </w:rPr>
                    <w:t>1</w:t>
                  </w:r>
                </w:p>
              </w:tc>
              <w:tc>
                <w:tcPr>
                  <w:tcW w:w="1939" w:type="dxa"/>
                  <w:noWrap w:val="0"/>
                  <w:vAlign w:val="center"/>
                </w:tcPr>
                <w:p>
                  <w:pPr>
                    <w:pStyle w:val="84"/>
                    <w:spacing w:line="280" w:lineRule="exact"/>
                    <w:rPr>
                      <w:rFonts w:cs="Times New Roman"/>
                      <w:szCs w:val="21"/>
                    </w:rPr>
                  </w:pPr>
                  <w:r>
                    <w:rPr>
                      <w:rFonts w:hint="eastAsia" w:hAnsi="宋体" w:cs="Times New Roman"/>
                      <w:szCs w:val="21"/>
                    </w:rPr>
                    <w:t>污水</w:t>
                  </w:r>
                </w:p>
              </w:tc>
              <w:tc>
                <w:tcPr>
                  <w:tcW w:w="2551" w:type="dxa"/>
                  <w:noWrap w:val="0"/>
                  <w:vAlign w:val="center"/>
                </w:tcPr>
                <w:p>
                  <w:pPr>
                    <w:pStyle w:val="84"/>
                    <w:spacing w:line="280" w:lineRule="exact"/>
                    <w:rPr>
                      <w:rFonts w:cs="Times New Roman"/>
                      <w:szCs w:val="21"/>
                    </w:rPr>
                  </w:pPr>
                  <w:r>
                    <w:rPr>
                      <w:rFonts w:cs="Times New Roman"/>
                      <w:szCs w:val="21"/>
                    </w:rPr>
                    <w:t>270</w:t>
                  </w:r>
                  <w:r>
                    <w:rPr>
                      <w:rFonts w:hint="eastAsia" w:cs="Times New Roman"/>
                      <w:szCs w:val="21"/>
                    </w:rPr>
                    <w:t>m</w:t>
                  </w:r>
                  <w:r>
                    <w:rPr>
                      <w:rFonts w:hint="eastAsia" w:cs="Times New Roman"/>
                      <w:szCs w:val="21"/>
                      <w:vertAlign w:val="superscript"/>
                    </w:rPr>
                    <w:t>3</w:t>
                  </w:r>
                  <w:r>
                    <w:rPr>
                      <w:rFonts w:hint="eastAsia" w:cs="Times New Roman"/>
                      <w:szCs w:val="21"/>
                    </w:rPr>
                    <w:t>的化粪池（南区</w:t>
                  </w:r>
                  <w:r>
                    <w:rPr>
                      <w:rFonts w:cs="Times New Roman"/>
                      <w:szCs w:val="21"/>
                    </w:rPr>
                    <w:t>18</w:t>
                  </w:r>
                  <w:r>
                    <w:rPr>
                      <w:rFonts w:hint="eastAsia" w:cs="Times New Roman"/>
                      <w:szCs w:val="21"/>
                    </w:rPr>
                    <w:t>0 m</w:t>
                  </w:r>
                  <w:r>
                    <w:rPr>
                      <w:rFonts w:hint="eastAsia" w:cs="Times New Roman"/>
                      <w:szCs w:val="21"/>
                      <w:vertAlign w:val="superscript"/>
                    </w:rPr>
                    <w:t>3</w:t>
                  </w:r>
                  <w:r>
                    <w:rPr>
                      <w:rFonts w:hint="eastAsia" w:cs="Times New Roman"/>
                      <w:szCs w:val="21"/>
                    </w:rPr>
                    <w:t>，</w:t>
                  </w:r>
                  <w:r>
                    <w:rPr>
                      <w:rFonts w:cs="Times New Roman"/>
                      <w:szCs w:val="21"/>
                    </w:rPr>
                    <w:t>北区90</w:t>
                  </w:r>
                  <w:r>
                    <w:rPr>
                      <w:rFonts w:hint="eastAsia" w:cs="Times New Roman"/>
                      <w:szCs w:val="21"/>
                    </w:rPr>
                    <w:t xml:space="preserve"> m</w:t>
                  </w:r>
                  <w:r>
                    <w:rPr>
                      <w:rFonts w:hint="eastAsia" w:cs="Times New Roman"/>
                      <w:szCs w:val="21"/>
                      <w:vertAlign w:val="superscript"/>
                    </w:rPr>
                    <w:t>3</w:t>
                  </w:r>
                  <w:r>
                    <w:rPr>
                      <w:rFonts w:hint="eastAsia" w:cs="Times New Roman"/>
                      <w:szCs w:val="21"/>
                    </w:rPr>
                    <w:t>）</w:t>
                  </w:r>
                </w:p>
              </w:tc>
              <w:tc>
                <w:tcPr>
                  <w:tcW w:w="3746" w:type="dxa"/>
                  <w:noWrap w:val="0"/>
                  <w:vAlign w:val="center"/>
                </w:tcPr>
                <w:p>
                  <w:pPr>
                    <w:pStyle w:val="84"/>
                    <w:spacing w:line="280" w:lineRule="exact"/>
                    <w:rPr>
                      <w:rFonts w:cs="Times New Roman"/>
                      <w:szCs w:val="21"/>
                    </w:rPr>
                  </w:pPr>
                  <w:r>
                    <w:rPr>
                      <w:rFonts w:hint="eastAsia" w:hAnsi="宋体"/>
                      <w:szCs w:val="21"/>
                    </w:rPr>
                    <w:t>处理后排入市政污水管网，最终进入维西县污水处理厂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35" w:hRule="atLeast"/>
                <w:jc w:val="center"/>
              </w:trPr>
              <w:tc>
                <w:tcPr>
                  <w:tcW w:w="764" w:type="dxa"/>
                  <w:vMerge w:val="continue"/>
                  <w:noWrap w:val="0"/>
                  <w:vAlign w:val="center"/>
                </w:tcPr>
                <w:p>
                  <w:pPr>
                    <w:pStyle w:val="84"/>
                    <w:spacing w:line="280" w:lineRule="exact"/>
                    <w:rPr>
                      <w:rFonts w:hint="eastAsia" w:cs="Times New Roman"/>
                      <w:szCs w:val="21"/>
                    </w:rPr>
                  </w:pPr>
                </w:p>
              </w:tc>
              <w:tc>
                <w:tcPr>
                  <w:tcW w:w="1939" w:type="dxa"/>
                  <w:noWrap w:val="0"/>
                  <w:vAlign w:val="center"/>
                </w:tcPr>
                <w:p>
                  <w:pPr>
                    <w:pStyle w:val="84"/>
                    <w:spacing w:line="280" w:lineRule="exact"/>
                    <w:rPr>
                      <w:rFonts w:hint="eastAsia" w:hAnsi="宋体" w:cs="Times New Roman"/>
                      <w:szCs w:val="21"/>
                    </w:rPr>
                  </w:pPr>
                  <w:r>
                    <w:rPr>
                      <w:rFonts w:hint="eastAsia" w:hAnsi="宋体" w:cs="Times New Roman"/>
                      <w:szCs w:val="21"/>
                    </w:rPr>
                    <w:t>中水</w:t>
                  </w:r>
                </w:p>
              </w:tc>
              <w:tc>
                <w:tcPr>
                  <w:tcW w:w="2551" w:type="dxa"/>
                  <w:noWrap w:val="0"/>
                  <w:vAlign w:val="center"/>
                </w:tcPr>
                <w:p>
                  <w:pPr>
                    <w:pStyle w:val="84"/>
                    <w:spacing w:line="280" w:lineRule="exact"/>
                    <w:rPr>
                      <w:rFonts w:hint="eastAsia" w:cs="Times New Roman"/>
                      <w:szCs w:val="21"/>
                    </w:rPr>
                  </w:pPr>
                  <w:r>
                    <w:rPr>
                      <w:rFonts w:hint="eastAsia" w:cs="Times New Roman"/>
                      <w:szCs w:val="21"/>
                    </w:rPr>
                    <w:t>1</w:t>
                  </w:r>
                  <w:r>
                    <w:rPr>
                      <w:rFonts w:cs="Times New Roman"/>
                      <w:szCs w:val="21"/>
                    </w:rPr>
                    <w:t>2</w:t>
                  </w:r>
                  <w:r>
                    <w:rPr>
                      <w:rFonts w:hint="eastAsia" w:cs="Times New Roman"/>
                      <w:szCs w:val="21"/>
                    </w:rPr>
                    <w:t>0 m</w:t>
                  </w:r>
                  <w:r>
                    <w:rPr>
                      <w:rFonts w:hint="eastAsia" w:cs="Times New Roman"/>
                      <w:szCs w:val="21"/>
                      <w:vertAlign w:val="superscript"/>
                    </w:rPr>
                    <w:t>3</w:t>
                  </w:r>
                  <w:r>
                    <w:rPr>
                      <w:rFonts w:hint="eastAsia" w:cs="Times New Roman"/>
                      <w:szCs w:val="21"/>
                    </w:rPr>
                    <w:t>中水</w:t>
                  </w:r>
                  <w:r>
                    <w:rPr>
                      <w:rFonts w:cs="Times New Roman"/>
                      <w:szCs w:val="21"/>
                    </w:rPr>
                    <w:t>处理站</w:t>
                  </w:r>
                </w:p>
              </w:tc>
              <w:tc>
                <w:tcPr>
                  <w:tcW w:w="3746" w:type="dxa"/>
                  <w:noWrap w:val="0"/>
                  <w:vAlign w:val="center"/>
                </w:tcPr>
                <w:p>
                  <w:pPr>
                    <w:pStyle w:val="84"/>
                    <w:spacing w:line="280" w:lineRule="exact"/>
                    <w:rPr>
                      <w:rFonts w:hint="eastAsia" w:hAnsi="宋体"/>
                      <w:szCs w:val="21"/>
                    </w:rPr>
                  </w:pPr>
                  <w:r>
                    <w:rPr>
                      <w:rFonts w:hint="eastAsia" w:hAnsi="宋体"/>
                      <w:szCs w:val="21"/>
                    </w:rPr>
                    <w:t>处理后</w:t>
                  </w:r>
                  <w:r>
                    <w:rPr>
                      <w:rFonts w:hAnsi="宋体"/>
                      <w:szCs w:val="21"/>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64" w:type="dxa"/>
                  <w:noWrap w:val="0"/>
                  <w:vAlign w:val="center"/>
                </w:tcPr>
                <w:p>
                  <w:pPr>
                    <w:pStyle w:val="84"/>
                    <w:spacing w:line="280" w:lineRule="exact"/>
                    <w:rPr>
                      <w:rFonts w:cs="Times New Roman"/>
                      <w:szCs w:val="21"/>
                    </w:rPr>
                  </w:pPr>
                  <w:r>
                    <w:rPr>
                      <w:rFonts w:hint="eastAsia" w:cs="Times New Roman"/>
                      <w:szCs w:val="21"/>
                    </w:rPr>
                    <w:t>2</w:t>
                  </w:r>
                </w:p>
              </w:tc>
              <w:tc>
                <w:tcPr>
                  <w:tcW w:w="1939" w:type="dxa"/>
                  <w:noWrap w:val="0"/>
                  <w:vAlign w:val="center"/>
                </w:tcPr>
                <w:p>
                  <w:pPr>
                    <w:pStyle w:val="84"/>
                    <w:spacing w:line="280" w:lineRule="exact"/>
                    <w:rPr>
                      <w:rFonts w:cs="Times New Roman"/>
                      <w:szCs w:val="21"/>
                    </w:rPr>
                  </w:pPr>
                  <w:r>
                    <w:rPr>
                      <w:rFonts w:hAnsi="宋体"/>
                      <w:szCs w:val="21"/>
                    </w:rPr>
                    <w:t>设备、汽车运行噪声</w:t>
                  </w:r>
                </w:p>
              </w:tc>
              <w:tc>
                <w:tcPr>
                  <w:tcW w:w="2551" w:type="dxa"/>
                  <w:noWrap w:val="0"/>
                  <w:vAlign w:val="center"/>
                </w:tcPr>
                <w:p>
                  <w:pPr>
                    <w:pStyle w:val="84"/>
                    <w:spacing w:line="280" w:lineRule="exact"/>
                    <w:rPr>
                      <w:rFonts w:cs="Times New Roman"/>
                      <w:szCs w:val="21"/>
                    </w:rPr>
                  </w:pPr>
                  <w:r>
                    <w:rPr>
                      <w:rFonts w:hint="eastAsia" w:hAnsi="宋体" w:cs="Times New Roman"/>
                      <w:szCs w:val="21"/>
                    </w:rPr>
                    <w:t>选用低噪声设备，</w:t>
                  </w:r>
                  <w:r>
                    <w:rPr>
                      <w:rFonts w:hAnsi="宋体"/>
                      <w:bCs/>
                      <w:szCs w:val="21"/>
                    </w:rPr>
                    <w:t>车辆进站时减速、禁止鸣笛</w:t>
                  </w:r>
                </w:p>
              </w:tc>
              <w:tc>
                <w:tcPr>
                  <w:tcW w:w="3746" w:type="dxa"/>
                  <w:noWrap w:val="0"/>
                  <w:vAlign w:val="center"/>
                </w:tcPr>
                <w:p>
                  <w:pPr>
                    <w:pStyle w:val="84"/>
                    <w:spacing w:line="280" w:lineRule="exact"/>
                    <w:rPr>
                      <w:rFonts w:cs="Times New Roman"/>
                      <w:szCs w:val="21"/>
                    </w:rPr>
                  </w:pPr>
                  <w:r>
                    <w:rPr>
                      <w:rFonts w:hint="eastAsia"/>
                      <w:bCs/>
                      <w:sz w:val="24"/>
                    </w:rPr>
                    <w:t>《社会生活环境噪声排放标准》（GB22337-2008）</w:t>
                  </w:r>
                  <w:r>
                    <w:rPr>
                      <w:rFonts w:cs="Times New Roman"/>
                      <w:szCs w:val="21"/>
                    </w:rPr>
                    <w:t>2</w:t>
                  </w:r>
                  <w:r>
                    <w:rPr>
                      <w:rFonts w:hAnsi="宋体" w:cs="Times New Roman"/>
                      <w:szCs w:val="21"/>
                    </w:rPr>
                    <w:t>类</w:t>
                  </w:r>
                  <w:r>
                    <w:rPr>
                      <w:rFonts w:hint="eastAsia" w:hAnsi="宋体" w:cs="Times New Roman"/>
                      <w:szCs w:val="21"/>
                    </w:rPr>
                    <w:t>和4类</w:t>
                  </w:r>
                  <w:r>
                    <w:rPr>
                      <w:rFonts w:hAnsi="宋体" w:cs="Times New Roman"/>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764" w:type="dxa"/>
                  <w:noWrap w:val="0"/>
                  <w:vAlign w:val="center"/>
                </w:tcPr>
                <w:p>
                  <w:pPr>
                    <w:pStyle w:val="84"/>
                    <w:spacing w:line="280" w:lineRule="exact"/>
                    <w:rPr>
                      <w:rFonts w:cs="Times New Roman"/>
                      <w:szCs w:val="21"/>
                    </w:rPr>
                  </w:pPr>
                  <w:r>
                    <w:rPr>
                      <w:rFonts w:hint="eastAsia" w:cs="Times New Roman"/>
                      <w:szCs w:val="21"/>
                    </w:rPr>
                    <w:t>3</w:t>
                  </w:r>
                </w:p>
              </w:tc>
              <w:tc>
                <w:tcPr>
                  <w:tcW w:w="1939" w:type="dxa"/>
                  <w:noWrap w:val="0"/>
                  <w:vAlign w:val="center"/>
                </w:tcPr>
                <w:p>
                  <w:pPr>
                    <w:pStyle w:val="84"/>
                    <w:spacing w:line="280" w:lineRule="exact"/>
                    <w:rPr>
                      <w:rFonts w:cs="Times New Roman"/>
                      <w:szCs w:val="21"/>
                    </w:rPr>
                  </w:pPr>
                  <w:r>
                    <w:rPr>
                      <w:rFonts w:hint="eastAsia" w:hAnsi="宋体" w:cs="Times New Roman"/>
                      <w:szCs w:val="21"/>
                    </w:rPr>
                    <w:t>扬尘、噪声、生态</w:t>
                  </w:r>
                </w:p>
              </w:tc>
              <w:tc>
                <w:tcPr>
                  <w:tcW w:w="2551" w:type="dxa"/>
                  <w:noWrap w:val="0"/>
                  <w:vAlign w:val="center"/>
                </w:tcPr>
                <w:p>
                  <w:pPr>
                    <w:pStyle w:val="84"/>
                    <w:spacing w:line="280" w:lineRule="exact"/>
                    <w:rPr>
                      <w:rFonts w:hint="eastAsia"/>
                      <w:kern w:val="0"/>
                      <w:szCs w:val="21"/>
                    </w:rPr>
                  </w:pPr>
                  <w:r>
                    <w:rPr>
                      <w:rFonts w:hAnsi="宋体" w:cs="Times New Roman"/>
                      <w:szCs w:val="21"/>
                    </w:rPr>
                    <w:t>绿化</w:t>
                  </w:r>
                  <w:r>
                    <w:rPr>
                      <w:rFonts w:hint="eastAsia" w:hAnsi="宋体" w:cs="Times New Roman"/>
                      <w:szCs w:val="21"/>
                    </w:rPr>
                    <w:t>面积</w:t>
                  </w:r>
                  <w:r>
                    <w:rPr>
                      <w:rFonts w:hint="eastAsia"/>
                      <w:kern w:val="0"/>
                      <w:szCs w:val="21"/>
                    </w:rPr>
                    <w:t>1056.17 m</w:t>
                  </w:r>
                  <w:r>
                    <w:rPr>
                      <w:rFonts w:hint="eastAsia"/>
                      <w:kern w:val="0"/>
                      <w:szCs w:val="21"/>
                      <w:vertAlign w:val="superscript"/>
                    </w:rPr>
                    <w:t>2</w:t>
                  </w:r>
                  <w:r>
                    <w:rPr>
                      <w:rFonts w:hint="eastAsia"/>
                      <w:kern w:val="0"/>
                      <w:szCs w:val="21"/>
                    </w:rPr>
                    <w:t>，</w:t>
                  </w:r>
                </w:p>
                <w:p>
                  <w:pPr>
                    <w:pStyle w:val="84"/>
                    <w:spacing w:line="280" w:lineRule="exact"/>
                    <w:rPr>
                      <w:rFonts w:cs="Times New Roman"/>
                      <w:szCs w:val="21"/>
                    </w:rPr>
                  </w:pPr>
                  <w:r>
                    <w:rPr>
                      <w:rFonts w:hint="eastAsia" w:hAnsi="宋体" w:cs="Times New Roman"/>
                      <w:szCs w:val="21"/>
                    </w:rPr>
                    <w:t>绿化率10.25%</w:t>
                  </w:r>
                </w:p>
              </w:tc>
              <w:tc>
                <w:tcPr>
                  <w:tcW w:w="3746" w:type="dxa"/>
                  <w:noWrap w:val="0"/>
                  <w:vAlign w:val="center"/>
                </w:tcPr>
                <w:p>
                  <w:pPr>
                    <w:pStyle w:val="84"/>
                    <w:spacing w:line="280" w:lineRule="exact"/>
                    <w:rPr>
                      <w:rFonts w:cs="Times New Roman"/>
                      <w:szCs w:val="21"/>
                    </w:rPr>
                  </w:pPr>
                  <w:r>
                    <w:rPr>
                      <w:rFonts w:hAnsi="宋体" w:cs="Times New Roman"/>
                      <w:szCs w:val="21"/>
                    </w:rPr>
                    <w:t>厂区与其周围生态环境无明显差异</w:t>
                  </w:r>
                </w:p>
              </w:tc>
            </w:tr>
          </w:tbl>
          <w:p>
            <w:pPr>
              <w:autoSpaceDE w:val="0"/>
              <w:autoSpaceDN w:val="0"/>
              <w:adjustRightInd w:val="0"/>
              <w:spacing w:line="360" w:lineRule="auto"/>
              <w:ind w:firstLine="480" w:firstLineChars="200"/>
              <w:jc w:val="left"/>
              <w:rPr>
                <w:bCs/>
                <w:color w:val="FF0000"/>
                <w:sz w:val="24"/>
              </w:rPr>
            </w:pPr>
          </w:p>
        </w:tc>
      </w:tr>
    </w:tbl>
    <w:p>
      <w:pPr>
        <w:pStyle w:val="3"/>
        <w:keepNext w:val="0"/>
        <w:pageBreakBefore/>
        <w:widowControl/>
        <w:autoSpaceDE w:val="0"/>
        <w:autoSpaceDN w:val="0"/>
        <w:adjustRightInd w:val="0"/>
        <w:jc w:val="left"/>
        <w:rPr>
          <w:b/>
          <w:spacing w:val="20"/>
          <w:kern w:val="0"/>
          <w:sz w:val="32"/>
          <w:szCs w:val="30"/>
        </w:rPr>
      </w:pPr>
      <w:bookmarkStart w:id="32" w:name="_Toc57972434"/>
      <w:r>
        <w:rPr>
          <w:rFonts w:hint="eastAsia" w:hAnsi="宋体"/>
          <w:b/>
          <w:spacing w:val="20"/>
          <w:kern w:val="0"/>
          <w:sz w:val="32"/>
          <w:szCs w:val="30"/>
        </w:rPr>
        <w:t xml:space="preserve">表八 </w:t>
      </w:r>
      <w:r>
        <w:rPr>
          <w:rFonts w:hAnsi="宋体"/>
          <w:b/>
          <w:spacing w:val="20"/>
          <w:kern w:val="0"/>
          <w:sz w:val="32"/>
          <w:szCs w:val="30"/>
        </w:rPr>
        <w:t>建设项目拟采取的防治措施及预期治理效果</w:t>
      </w:r>
      <w:bookmarkEnd w:id="32"/>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9"/>
        <w:gridCol w:w="456"/>
        <w:gridCol w:w="1505"/>
        <w:gridCol w:w="1254"/>
        <w:gridCol w:w="3118"/>
        <w:gridCol w:w="2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noWrap w:val="0"/>
            <w:vAlign w:val="center"/>
          </w:tcPr>
          <w:p>
            <w:pPr>
              <w:jc w:val="center"/>
              <w:rPr>
                <w:sz w:val="24"/>
              </w:rPr>
            </w:pPr>
          </w:p>
        </w:tc>
        <w:tc>
          <w:tcPr>
            <w:tcW w:w="1961" w:type="dxa"/>
            <w:gridSpan w:val="2"/>
            <w:noWrap w:val="0"/>
            <w:vAlign w:val="center"/>
          </w:tcPr>
          <w:p>
            <w:pPr>
              <w:jc w:val="center"/>
              <w:rPr>
                <w:sz w:val="24"/>
              </w:rPr>
            </w:pPr>
            <w:r>
              <w:rPr>
                <w:sz w:val="24"/>
              </w:rPr>
              <w:t>排放源</w:t>
            </w:r>
          </w:p>
          <w:p>
            <w:pPr>
              <w:jc w:val="center"/>
              <w:rPr>
                <w:sz w:val="24"/>
              </w:rPr>
            </w:pPr>
            <w:r>
              <w:rPr>
                <w:sz w:val="24"/>
              </w:rPr>
              <w:t>（编号）</w:t>
            </w:r>
          </w:p>
        </w:tc>
        <w:tc>
          <w:tcPr>
            <w:tcW w:w="1254" w:type="dxa"/>
            <w:noWrap w:val="0"/>
            <w:vAlign w:val="center"/>
          </w:tcPr>
          <w:p>
            <w:pPr>
              <w:jc w:val="center"/>
              <w:rPr>
                <w:sz w:val="24"/>
              </w:rPr>
            </w:pPr>
            <w:r>
              <w:rPr>
                <w:sz w:val="24"/>
              </w:rPr>
              <w:t>污染物名称</w:t>
            </w:r>
          </w:p>
        </w:tc>
        <w:tc>
          <w:tcPr>
            <w:tcW w:w="3118" w:type="dxa"/>
            <w:noWrap w:val="0"/>
            <w:vAlign w:val="center"/>
          </w:tcPr>
          <w:p>
            <w:pPr>
              <w:jc w:val="center"/>
              <w:rPr>
                <w:sz w:val="24"/>
              </w:rPr>
            </w:pPr>
            <w:r>
              <w:rPr>
                <w:sz w:val="24"/>
              </w:rPr>
              <w:t>防治措施</w:t>
            </w:r>
          </w:p>
        </w:tc>
        <w:tc>
          <w:tcPr>
            <w:tcW w:w="2468" w:type="dxa"/>
            <w:noWrap w:val="0"/>
            <w:vAlign w:val="center"/>
          </w:tcPr>
          <w:p>
            <w:pPr>
              <w:jc w:val="center"/>
              <w:rPr>
                <w:sz w:val="24"/>
              </w:rPr>
            </w:pPr>
            <w:r>
              <w:rPr>
                <w:sz w:val="24"/>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restart"/>
            <w:noWrap w:val="0"/>
            <w:vAlign w:val="center"/>
          </w:tcPr>
          <w:p>
            <w:pPr>
              <w:jc w:val="center"/>
              <w:rPr>
                <w:sz w:val="24"/>
              </w:rPr>
            </w:pPr>
            <w:r>
              <w:rPr>
                <w:sz w:val="24"/>
              </w:rPr>
              <w:t>大</w:t>
            </w:r>
          </w:p>
          <w:p>
            <w:pPr>
              <w:jc w:val="center"/>
              <w:rPr>
                <w:sz w:val="24"/>
              </w:rPr>
            </w:pPr>
            <w:r>
              <w:rPr>
                <w:sz w:val="24"/>
              </w:rPr>
              <w:t>气</w:t>
            </w:r>
          </w:p>
          <w:p>
            <w:pPr>
              <w:jc w:val="center"/>
              <w:rPr>
                <w:sz w:val="24"/>
              </w:rPr>
            </w:pPr>
            <w:r>
              <w:rPr>
                <w:sz w:val="24"/>
              </w:rPr>
              <w:t>污</w:t>
            </w:r>
          </w:p>
          <w:p>
            <w:pPr>
              <w:jc w:val="center"/>
              <w:rPr>
                <w:sz w:val="24"/>
              </w:rPr>
            </w:pPr>
            <w:r>
              <w:rPr>
                <w:sz w:val="24"/>
              </w:rPr>
              <w:t>染</w:t>
            </w:r>
          </w:p>
          <w:p>
            <w:pPr>
              <w:jc w:val="center"/>
              <w:rPr>
                <w:sz w:val="24"/>
              </w:rPr>
            </w:pPr>
            <w:r>
              <w:rPr>
                <w:sz w:val="24"/>
              </w:rPr>
              <w:t>物</w:t>
            </w:r>
          </w:p>
        </w:tc>
        <w:tc>
          <w:tcPr>
            <w:tcW w:w="456" w:type="dxa"/>
            <w:vMerge w:val="restart"/>
            <w:tcBorders>
              <w:right w:val="single" w:color="auto" w:sz="4" w:space="0"/>
            </w:tcBorders>
            <w:noWrap w:val="0"/>
            <w:vAlign w:val="center"/>
          </w:tcPr>
          <w:p>
            <w:pPr>
              <w:jc w:val="center"/>
              <w:rPr>
                <w:sz w:val="24"/>
              </w:rPr>
            </w:pPr>
            <w:r>
              <w:rPr>
                <w:sz w:val="24"/>
              </w:rPr>
              <w:t>施工期</w:t>
            </w:r>
          </w:p>
        </w:tc>
        <w:tc>
          <w:tcPr>
            <w:tcW w:w="1505" w:type="dxa"/>
            <w:tcBorders>
              <w:left w:val="single" w:color="auto" w:sz="4" w:space="0"/>
            </w:tcBorders>
            <w:noWrap w:val="0"/>
            <w:vAlign w:val="center"/>
          </w:tcPr>
          <w:p>
            <w:pPr>
              <w:jc w:val="center"/>
              <w:rPr>
                <w:sz w:val="24"/>
              </w:rPr>
            </w:pPr>
            <w:r>
              <w:rPr>
                <w:sz w:val="24"/>
              </w:rPr>
              <w:t>施工场地</w:t>
            </w:r>
          </w:p>
        </w:tc>
        <w:tc>
          <w:tcPr>
            <w:tcW w:w="1254" w:type="dxa"/>
            <w:noWrap w:val="0"/>
            <w:vAlign w:val="center"/>
          </w:tcPr>
          <w:p>
            <w:pPr>
              <w:jc w:val="center"/>
              <w:rPr>
                <w:sz w:val="24"/>
              </w:rPr>
            </w:pPr>
            <w:r>
              <w:rPr>
                <w:sz w:val="24"/>
              </w:rPr>
              <w:t>扬尘</w:t>
            </w:r>
          </w:p>
        </w:tc>
        <w:tc>
          <w:tcPr>
            <w:tcW w:w="3118" w:type="dxa"/>
            <w:noWrap w:val="0"/>
            <w:vAlign w:val="center"/>
          </w:tcPr>
          <w:p>
            <w:pPr>
              <w:jc w:val="center"/>
              <w:rPr>
                <w:sz w:val="24"/>
              </w:rPr>
            </w:pPr>
            <w:r>
              <w:rPr>
                <w:sz w:val="24"/>
              </w:rPr>
              <w:t>定期洒水降尘、物料封闭运输</w:t>
            </w:r>
          </w:p>
        </w:tc>
        <w:tc>
          <w:tcPr>
            <w:tcW w:w="2468" w:type="dxa"/>
            <w:noWrap w:val="0"/>
            <w:vAlign w:val="center"/>
          </w:tcPr>
          <w:p>
            <w:pPr>
              <w:jc w:val="center"/>
              <w:rPr>
                <w:sz w:val="24"/>
              </w:rPr>
            </w:pPr>
            <w:r>
              <w:rPr>
                <w:sz w:val="24"/>
              </w:rPr>
              <w:t>低于GB16297-1996中无组织排放限值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continue"/>
            <w:noWrap w:val="0"/>
            <w:vAlign w:val="center"/>
          </w:tcPr>
          <w:p>
            <w:pPr>
              <w:jc w:val="center"/>
              <w:rPr>
                <w:sz w:val="24"/>
              </w:rPr>
            </w:pPr>
          </w:p>
        </w:tc>
        <w:tc>
          <w:tcPr>
            <w:tcW w:w="456" w:type="dxa"/>
            <w:vMerge w:val="continue"/>
            <w:tcBorders>
              <w:right w:val="single" w:color="auto" w:sz="4" w:space="0"/>
            </w:tcBorders>
            <w:noWrap w:val="0"/>
            <w:vAlign w:val="center"/>
          </w:tcPr>
          <w:p>
            <w:pPr>
              <w:jc w:val="center"/>
              <w:rPr>
                <w:sz w:val="24"/>
              </w:rPr>
            </w:pPr>
          </w:p>
        </w:tc>
        <w:tc>
          <w:tcPr>
            <w:tcW w:w="1505" w:type="dxa"/>
            <w:tcBorders>
              <w:left w:val="single" w:color="auto" w:sz="4" w:space="0"/>
            </w:tcBorders>
            <w:noWrap w:val="0"/>
            <w:vAlign w:val="center"/>
          </w:tcPr>
          <w:p>
            <w:pPr>
              <w:jc w:val="center"/>
              <w:rPr>
                <w:kern w:val="0"/>
                <w:sz w:val="24"/>
              </w:rPr>
            </w:pPr>
            <w:r>
              <w:rPr>
                <w:kern w:val="0"/>
                <w:sz w:val="24"/>
              </w:rPr>
              <w:t>燃油废气</w:t>
            </w:r>
          </w:p>
        </w:tc>
        <w:tc>
          <w:tcPr>
            <w:tcW w:w="1254" w:type="dxa"/>
            <w:noWrap w:val="0"/>
            <w:vAlign w:val="center"/>
          </w:tcPr>
          <w:p>
            <w:pPr>
              <w:jc w:val="center"/>
              <w:rPr>
                <w:kern w:val="0"/>
                <w:sz w:val="24"/>
              </w:rPr>
            </w:pPr>
            <w:r>
              <w:rPr>
                <w:kern w:val="0"/>
                <w:sz w:val="24"/>
              </w:rPr>
              <w:t>CO、NO</w:t>
            </w:r>
            <w:r>
              <w:rPr>
                <w:kern w:val="0"/>
                <w:sz w:val="24"/>
                <w:vertAlign w:val="subscript"/>
              </w:rPr>
              <w:t>X</w:t>
            </w:r>
          </w:p>
        </w:tc>
        <w:tc>
          <w:tcPr>
            <w:tcW w:w="3118" w:type="dxa"/>
            <w:noWrap w:val="0"/>
            <w:vAlign w:val="center"/>
          </w:tcPr>
          <w:p>
            <w:pPr>
              <w:jc w:val="center"/>
              <w:rPr>
                <w:sz w:val="24"/>
              </w:rPr>
            </w:pPr>
            <w:r>
              <w:rPr>
                <w:sz w:val="24"/>
              </w:rPr>
              <w:t>加强车辆维护保养</w:t>
            </w:r>
          </w:p>
        </w:tc>
        <w:tc>
          <w:tcPr>
            <w:tcW w:w="2468" w:type="dxa"/>
            <w:noWrap w:val="0"/>
            <w:vAlign w:val="center"/>
          </w:tcPr>
          <w:p>
            <w:pPr>
              <w:jc w:val="center"/>
              <w:rPr>
                <w:sz w:val="24"/>
              </w:rPr>
            </w:pPr>
            <w:r>
              <w:rPr>
                <w:sz w:val="24"/>
              </w:rPr>
              <w:t>对外环境影响较小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continue"/>
            <w:noWrap w:val="0"/>
            <w:vAlign w:val="center"/>
          </w:tcPr>
          <w:p>
            <w:pPr>
              <w:jc w:val="center"/>
              <w:rPr>
                <w:sz w:val="24"/>
              </w:rPr>
            </w:pPr>
          </w:p>
        </w:tc>
        <w:tc>
          <w:tcPr>
            <w:tcW w:w="456" w:type="dxa"/>
            <w:vMerge w:val="continue"/>
            <w:tcBorders>
              <w:right w:val="single" w:color="auto" w:sz="4" w:space="0"/>
            </w:tcBorders>
            <w:noWrap w:val="0"/>
            <w:vAlign w:val="center"/>
          </w:tcPr>
          <w:p>
            <w:pPr>
              <w:jc w:val="center"/>
              <w:rPr>
                <w:sz w:val="24"/>
              </w:rPr>
            </w:pPr>
          </w:p>
        </w:tc>
        <w:tc>
          <w:tcPr>
            <w:tcW w:w="1505" w:type="dxa"/>
            <w:tcBorders>
              <w:left w:val="single" w:color="auto" w:sz="4" w:space="0"/>
            </w:tcBorders>
            <w:noWrap w:val="0"/>
            <w:vAlign w:val="center"/>
          </w:tcPr>
          <w:p>
            <w:pPr>
              <w:jc w:val="center"/>
              <w:rPr>
                <w:kern w:val="0"/>
                <w:sz w:val="24"/>
              </w:rPr>
            </w:pPr>
            <w:r>
              <w:rPr>
                <w:kern w:val="0"/>
                <w:sz w:val="24"/>
              </w:rPr>
              <w:t>装修废气</w:t>
            </w:r>
          </w:p>
        </w:tc>
        <w:tc>
          <w:tcPr>
            <w:tcW w:w="1254" w:type="dxa"/>
            <w:noWrap w:val="0"/>
            <w:vAlign w:val="center"/>
          </w:tcPr>
          <w:p>
            <w:pPr>
              <w:jc w:val="center"/>
              <w:rPr>
                <w:kern w:val="0"/>
                <w:sz w:val="24"/>
              </w:rPr>
            </w:pPr>
            <w:r>
              <w:rPr>
                <w:kern w:val="0"/>
                <w:sz w:val="24"/>
              </w:rPr>
              <w:t>甲醛、二甲苯</w:t>
            </w:r>
          </w:p>
        </w:tc>
        <w:tc>
          <w:tcPr>
            <w:tcW w:w="3118" w:type="dxa"/>
            <w:noWrap w:val="0"/>
            <w:vAlign w:val="center"/>
          </w:tcPr>
          <w:p>
            <w:pPr>
              <w:jc w:val="center"/>
              <w:rPr>
                <w:sz w:val="24"/>
              </w:rPr>
            </w:pPr>
            <w:r>
              <w:rPr>
                <w:sz w:val="24"/>
              </w:rPr>
              <w:t>加强室内通风换气</w:t>
            </w:r>
          </w:p>
        </w:tc>
        <w:tc>
          <w:tcPr>
            <w:tcW w:w="2468" w:type="dxa"/>
            <w:noWrap w:val="0"/>
            <w:vAlign w:val="center"/>
          </w:tcPr>
          <w:p>
            <w:pPr>
              <w:jc w:val="center"/>
              <w:rPr>
                <w:sz w:val="24"/>
              </w:rPr>
            </w:pPr>
            <w:r>
              <w:rPr>
                <w:sz w:val="24"/>
              </w:rPr>
              <w:t>对外环境影响较小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693" w:hRule="atLeast"/>
        </w:trPr>
        <w:tc>
          <w:tcPr>
            <w:tcW w:w="579" w:type="dxa"/>
            <w:vMerge w:val="continue"/>
            <w:tcBorders>
              <w:bottom w:val="single" w:color="auto" w:sz="6" w:space="0"/>
            </w:tcBorders>
            <w:noWrap w:val="0"/>
            <w:vAlign w:val="center"/>
          </w:tcPr>
          <w:p>
            <w:pPr>
              <w:jc w:val="center"/>
              <w:rPr>
                <w:sz w:val="24"/>
              </w:rPr>
            </w:pPr>
          </w:p>
        </w:tc>
        <w:tc>
          <w:tcPr>
            <w:tcW w:w="456" w:type="dxa"/>
            <w:tcBorders>
              <w:bottom w:val="single" w:color="auto" w:sz="6" w:space="0"/>
              <w:right w:val="single" w:color="auto" w:sz="4" w:space="0"/>
            </w:tcBorders>
            <w:noWrap w:val="0"/>
            <w:vAlign w:val="center"/>
          </w:tcPr>
          <w:p>
            <w:pPr>
              <w:jc w:val="center"/>
              <w:rPr>
                <w:sz w:val="24"/>
              </w:rPr>
            </w:pPr>
            <w:r>
              <w:rPr>
                <w:sz w:val="24"/>
              </w:rPr>
              <w:t>营运期</w:t>
            </w:r>
          </w:p>
        </w:tc>
        <w:tc>
          <w:tcPr>
            <w:tcW w:w="1505" w:type="dxa"/>
            <w:tcBorders>
              <w:left w:val="single" w:color="auto" w:sz="4" w:space="0"/>
              <w:bottom w:val="single" w:color="auto" w:sz="6" w:space="0"/>
            </w:tcBorders>
            <w:noWrap w:val="0"/>
            <w:vAlign w:val="center"/>
          </w:tcPr>
          <w:p>
            <w:pPr>
              <w:jc w:val="center"/>
              <w:rPr>
                <w:sz w:val="24"/>
              </w:rPr>
            </w:pPr>
            <w:r>
              <w:rPr>
                <w:sz w:val="24"/>
              </w:rPr>
              <w:t>生活区、</w:t>
            </w:r>
            <w:r>
              <w:rPr>
                <w:rFonts w:hint="eastAsia"/>
                <w:sz w:val="24"/>
              </w:rPr>
              <w:t>商业区</w:t>
            </w:r>
          </w:p>
        </w:tc>
        <w:tc>
          <w:tcPr>
            <w:tcW w:w="1254" w:type="dxa"/>
            <w:tcBorders>
              <w:bottom w:val="single" w:color="auto" w:sz="6" w:space="0"/>
            </w:tcBorders>
            <w:noWrap w:val="0"/>
            <w:vAlign w:val="center"/>
          </w:tcPr>
          <w:p>
            <w:pPr>
              <w:rPr>
                <w:sz w:val="24"/>
              </w:rPr>
            </w:pPr>
            <w:r>
              <w:rPr>
                <w:rFonts w:hint="eastAsia"/>
                <w:sz w:val="24"/>
              </w:rPr>
              <w:t>恶臭</w:t>
            </w:r>
            <w:r>
              <w:rPr>
                <w:sz w:val="24"/>
              </w:rPr>
              <w:t>；</w:t>
            </w:r>
          </w:p>
          <w:p>
            <w:pPr>
              <w:rPr>
                <w:sz w:val="24"/>
              </w:rPr>
            </w:pPr>
            <w:r>
              <w:rPr>
                <w:rFonts w:hint="eastAsia"/>
                <w:sz w:val="24"/>
              </w:rPr>
              <w:t>扬尘</w:t>
            </w:r>
          </w:p>
        </w:tc>
        <w:tc>
          <w:tcPr>
            <w:tcW w:w="3118" w:type="dxa"/>
            <w:tcBorders>
              <w:bottom w:val="single" w:color="auto" w:sz="6" w:space="0"/>
            </w:tcBorders>
            <w:noWrap w:val="0"/>
            <w:vAlign w:val="center"/>
          </w:tcPr>
          <w:p>
            <w:pPr>
              <w:jc w:val="center"/>
              <w:rPr>
                <w:sz w:val="24"/>
              </w:rPr>
            </w:pPr>
            <w:r>
              <w:rPr>
                <w:sz w:val="24"/>
              </w:rPr>
              <w:t>控制车速、洒水降尘、自然扩散、稀释</w:t>
            </w:r>
          </w:p>
        </w:tc>
        <w:tc>
          <w:tcPr>
            <w:tcW w:w="2468" w:type="dxa"/>
            <w:noWrap w:val="0"/>
            <w:vAlign w:val="center"/>
          </w:tcPr>
          <w:p>
            <w:pPr>
              <w:rPr>
                <w:sz w:val="24"/>
              </w:rPr>
            </w:pPr>
            <w:r>
              <w:rPr>
                <w:rFonts w:hint="eastAsia"/>
                <w:sz w:val="24"/>
                <w:lang w:val="zh-CN"/>
              </w:rPr>
              <w:t>恶臭</w:t>
            </w:r>
            <w:r>
              <w:rPr>
                <w:sz w:val="24"/>
              </w:rPr>
              <w:t>厂界达GB18918—2002表4中</w:t>
            </w:r>
            <w:r>
              <w:rPr>
                <w:rFonts w:hint="eastAsia"/>
                <w:sz w:val="24"/>
              </w:rPr>
              <w:t>二</w:t>
            </w:r>
            <w:r>
              <w:rPr>
                <w:sz w:val="24"/>
              </w:rPr>
              <w:t>级标准</w:t>
            </w:r>
            <w:r>
              <w:rPr>
                <w:rFonts w:hint="eastAsia"/>
                <w:sz w:val="24"/>
              </w:rPr>
              <w:t>，扬尘</w:t>
            </w:r>
            <w:r>
              <w:rPr>
                <w:sz w:val="24"/>
              </w:rPr>
              <w:t>低于GB16297-1996中无组织排放限值</w:t>
            </w: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restart"/>
            <w:noWrap w:val="0"/>
            <w:vAlign w:val="center"/>
          </w:tcPr>
          <w:p>
            <w:pPr>
              <w:jc w:val="center"/>
              <w:rPr>
                <w:sz w:val="24"/>
              </w:rPr>
            </w:pPr>
            <w:r>
              <w:rPr>
                <w:sz w:val="24"/>
              </w:rPr>
              <w:t>水</w:t>
            </w:r>
          </w:p>
          <w:p>
            <w:pPr>
              <w:jc w:val="center"/>
              <w:rPr>
                <w:sz w:val="24"/>
              </w:rPr>
            </w:pPr>
            <w:r>
              <w:rPr>
                <w:sz w:val="24"/>
              </w:rPr>
              <w:t>污</w:t>
            </w:r>
          </w:p>
          <w:p>
            <w:pPr>
              <w:jc w:val="center"/>
              <w:rPr>
                <w:sz w:val="24"/>
              </w:rPr>
            </w:pPr>
            <w:r>
              <w:rPr>
                <w:sz w:val="24"/>
              </w:rPr>
              <w:t>染</w:t>
            </w:r>
          </w:p>
          <w:p>
            <w:pPr>
              <w:jc w:val="center"/>
              <w:rPr>
                <w:sz w:val="24"/>
              </w:rPr>
            </w:pPr>
            <w:r>
              <w:rPr>
                <w:sz w:val="24"/>
              </w:rPr>
              <w:t>物</w:t>
            </w:r>
          </w:p>
        </w:tc>
        <w:tc>
          <w:tcPr>
            <w:tcW w:w="456" w:type="dxa"/>
            <w:vMerge w:val="restart"/>
            <w:tcBorders>
              <w:right w:val="single" w:color="auto" w:sz="4" w:space="0"/>
            </w:tcBorders>
            <w:noWrap w:val="0"/>
            <w:vAlign w:val="center"/>
          </w:tcPr>
          <w:p>
            <w:pPr>
              <w:jc w:val="center"/>
              <w:rPr>
                <w:sz w:val="24"/>
              </w:rPr>
            </w:pPr>
            <w:r>
              <w:rPr>
                <w:sz w:val="24"/>
              </w:rPr>
              <w:t>施工期</w:t>
            </w:r>
          </w:p>
        </w:tc>
        <w:tc>
          <w:tcPr>
            <w:tcW w:w="1505" w:type="dxa"/>
            <w:tcBorders>
              <w:left w:val="single" w:color="auto" w:sz="4" w:space="0"/>
            </w:tcBorders>
            <w:noWrap w:val="0"/>
            <w:vAlign w:val="center"/>
          </w:tcPr>
          <w:p>
            <w:pPr>
              <w:jc w:val="center"/>
              <w:rPr>
                <w:kern w:val="0"/>
                <w:sz w:val="24"/>
              </w:rPr>
            </w:pPr>
            <w:r>
              <w:rPr>
                <w:kern w:val="0"/>
                <w:sz w:val="24"/>
              </w:rPr>
              <w:t>施工废水</w:t>
            </w:r>
          </w:p>
        </w:tc>
        <w:tc>
          <w:tcPr>
            <w:tcW w:w="1254" w:type="dxa"/>
            <w:noWrap w:val="0"/>
            <w:vAlign w:val="center"/>
          </w:tcPr>
          <w:p>
            <w:pPr>
              <w:ind w:left="480" w:hanging="480" w:hangingChars="200"/>
              <w:jc w:val="center"/>
              <w:rPr>
                <w:sz w:val="24"/>
              </w:rPr>
            </w:pPr>
            <w:r>
              <w:rPr>
                <w:sz w:val="24"/>
              </w:rPr>
              <w:t>SS</w:t>
            </w:r>
          </w:p>
        </w:tc>
        <w:tc>
          <w:tcPr>
            <w:tcW w:w="3118" w:type="dxa"/>
            <w:vMerge w:val="restart"/>
            <w:noWrap w:val="0"/>
            <w:vAlign w:val="center"/>
          </w:tcPr>
          <w:p>
            <w:pPr>
              <w:jc w:val="center"/>
              <w:rPr>
                <w:bCs/>
                <w:sz w:val="24"/>
              </w:rPr>
            </w:pPr>
            <w:r>
              <w:rPr>
                <w:bCs/>
                <w:sz w:val="24"/>
              </w:rPr>
              <w:t>经沉淀处理后回用于生产</w:t>
            </w:r>
          </w:p>
        </w:tc>
        <w:tc>
          <w:tcPr>
            <w:tcW w:w="2468" w:type="dxa"/>
            <w:vMerge w:val="restart"/>
            <w:noWrap w:val="0"/>
            <w:vAlign w:val="center"/>
          </w:tcPr>
          <w:p>
            <w:pPr>
              <w:jc w:val="center"/>
              <w:rPr>
                <w:bCs/>
                <w:sz w:val="24"/>
              </w:rPr>
            </w:pPr>
            <w:r>
              <w:rPr>
                <w:bCs/>
                <w:sz w:val="24"/>
              </w:rPr>
              <w:t>废水不外排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continue"/>
            <w:noWrap w:val="0"/>
            <w:vAlign w:val="center"/>
          </w:tcPr>
          <w:p>
            <w:pPr>
              <w:jc w:val="center"/>
              <w:rPr>
                <w:sz w:val="24"/>
              </w:rPr>
            </w:pPr>
          </w:p>
        </w:tc>
        <w:tc>
          <w:tcPr>
            <w:tcW w:w="456" w:type="dxa"/>
            <w:vMerge w:val="continue"/>
            <w:tcBorders>
              <w:right w:val="single" w:color="auto" w:sz="4" w:space="0"/>
            </w:tcBorders>
            <w:noWrap w:val="0"/>
            <w:vAlign w:val="center"/>
          </w:tcPr>
          <w:p>
            <w:pPr>
              <w:jc w:val="center"/>
              <w:rPr>
                <w:sz w:val="24"/>
              </w:rPr>
            </w:pPr>
          </w:p>
        </w:tc>
        <w:tc>
          <w:tcPr>
            <w:tcW w:w="1505" w:type="dxa"/>
            <w:tcBorders>
              <w:left w:val="single" w:color="auto" w:sz="4" w:space="0"/>
            </w:tcBorders>
            <w:noWrap w:val="0"/>
            <w:vAlign w:val="center"/>
          </w:tcPr>
          <w:p>
            <w:pPr>
              <w:ind w:left="480" w:hanging="480" w:hangingChars="200"/>
              <w:jc w:val="center"/>
              <w:rPr>
                <w:sz w:val="24"/>
              </w:rPr>
            </w:pPr>
            <w:r>
              <w:rPr>
                <w:sz w:val="24"/>
              </w:rPr>
              <w:t>生活污水</w:t>
            </w:r>
          </w:p>
        </w:tc>
        <w:tc>
          <w:tcPr>
            <w:tcW w:w="1254" w:type="dxa"/>
            <w:noWrap w:val="0"/>
            <w:vAlign w:val="center"/>
          </w:tcPr>
          <w:p>
            <w:pPr>
              <w:ind w:left="480" w:hanging="480" w:hangingChars="200"/>
              <w:jc w:val="center"/>
              <w:rPr>
                <w:sz w:val="24"/>
              </w:rPr>
            </w:pPr>
            <w:r>
              <w:rPr>
                <w:sz w:val="24"/>
              </w:rPr>
              <w:t>SS、COD</w:t>
            </w:r>
          </w:p>
        </w:tc>
        <w:tc>
          <w:tcPr>
            <w:tcW w:w="3118" w:type="dxa"/>
            <w:vMerge w:val="continue"/>
            <w:noWrap w:val="0"/>
            <w:vAlign w:val="center"/>
          </w:tcPr>
          <w:p>
            <w:pPr>
              <w:jc w:val="center"/>
              <w:rPr>
                <w:bCs/>
                <w:sz w:val="24"/>
              </w:rPr>
            </w:pPr>
          </w:p>
        </w:tc>
        <w:tc>
          <w:tcPr>
            <w:tcW w:w="2468" w:type="dxa"/>
            <w:vMerge w:val="continue"/>
            <w:noWrap w:val="0"/>
            <w:vAlign w:val="center"/>
          </w:tcPr>
          <w:p>
            <w:pPr>
              <w:jc w:val="center"/>
              <w:rPr>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continue"/>
            <w:noWrap w:val="0"/>
            <w:vAlign w:val="center"/>
          </w:tcPr>
          <w:p>
            <w:pPr>
              <w:jc w:val="center"/>
              <w:rPr>
                <w:sz w:val="24"/>
              </w:rPr>
            </w:pPr>
          </w:p>
        </w:tc>
        <w:tc>
          <w:tcPr>
            <w:tcW w:w="456" w:type="dxa"/>
            <w:tcBorders>
              <w:right w:val="single" w:color="auto" w:sz="4" w:space="0"/>
            </w:tcBorders>
            <w:noWrap w:val="0"/>
            <w:vAlign w:val="center"/>
          </w:tcPr>
          <w:p>
            <w:pPr>
              <w:jc w:val="center"/>
              <w:rPr>
                <w:sz w:val="24"/>
              </w:rPr>
            </w:pPr>
            <w:r>
              <w:rPr>
                <w:sz w:val="24"/>
              </w:rPr>
              <w:t>营运期</w:t>
            </w:r>
          </w:p>
        </w:tc>
        <w:tc>
          <w:tcPr>
            <w:tcW w:w="1505" w:type="dxa"/>
            <w:tcBorders>
              <w:left w:val="single" w:color="auto" w:sz="4" w:space="0"/>
            </w:tcBorders>
            <w:noWrap w:val="0"/>
            <w:vAlign w:val="center"/>
          </w:tcPr>
          <w:p>
            <w:pPr>
              <w:jc w:val="center"/>
              <w:rPr>
                <w:sz w:val="24"/>
              </w:rPr>
            </w:pPr>
            <w:r>
              <w:rPr>
                <w:rFonts w:hint="eastAsia"/>
                <w:bCs/>
                <w:sz w:val="24"/>
              </w:rPr>
              <w:t>生活、商业</w:t>
            </w:r>
            <w:r>
              <w:rPr>
                <w:bCs/>
                <w:sz w:val="24"/>
              </w:rPr>
              <w:t>污水</w:t>
            </w:r>
          </w:p>
        </w:tc>
        <w:tc>
          <w:tcPr>
            <w:tcW w:w="1254" w:type="dxa"/>
            <w:noWrap w:val="0"/>
            <w:vAlign w:val="center"/>
          </w:tcPr>
          <w:p>
            <w:pPr>
              <w:jc w:val="center"/>
              <w:rPr>
                <w:bCs/>
                <w:sz w:val="24"/>
              </w:rPr>
            </w:pPr>
            <w:r>
              <w:rPr>
                <w:bCs/>
                <w:sz w:val="24"/>
              </w:rPr>
              <w:t>COD、SS、NH</w:t>
            </w:r>
            <w:r>
              <w:rPr>
                <w:bCs/>
                <w:sz w:val="24"/>
                <w:vertAlign w:val="subscript"/>
              </w:rPr>
              <w:t>3</w:t>
            </w:r>
            <w:r>
              <w:rPr>
                <w:bCs/>
                <w:sz w:val="24"/>
              </w:rPr>
              <w:t>-N、动植物油</w:t>
            </w:r>
          </w:p>
        </w:tc>
        <w:tc>
          <w:tcPr>
            <w:tcW w:w="3118" w:type="dxa"/>
            <w:noWrap w:val="0"/>
            <w:vAlign w:val="center"/>
          </w:tcPr>
          <w:p>
            <w:pPr>
              <w:pStyle w:val="108"/>
              <w:adjustRightInd/>
              <w:spacing w:before="0"/>
              <w:textAlignment w:val="auto"/>
              <w:rPr>
                <w:rFonts w:ascii="Times New Roman"/>
                <w:bCs/>
                <w:kern w:val="2"/>
                <w:szCs w:val="24"/>
              </w:rPr>
            </w:pPr>
            <w:r>
              <w:rPr>
                <w:rFonts w:ascii="Times New Roman"/>
                <w:szCs w:val="24"/>
              </w:rPr>
              <w:t>经化粪池处理后</w:t>
            </w:r>
            <w:r>
              <w:rPr>
                <w:rFonts w:hint="eastAsia" w:ascii="Times New Roman"/>
                <w:szCs w:val="24"/>
              </w:rPr>
              <w:t>排入市政污水管网</w:t>
            </w:r>
          </w:p>
        </w:tc>
        <w:tc>
          <w:tcPr>
            <w:tcW w:w="2468" w:type="dxa"/>
            <w:noWrap w:val="0"/>
            <w:vAlign w:val="center"/>
          </w:tcPr>
          <w:p>
            <w:pPr>
              <w:jc w:val="center"/>
              <w:rPr>
                <w:bCs/>
                <w:sz w:val="24"/>
              </w:rPr>
            </w:pPr>
            <w:r>
              <w:rPr>
                <w:sz w:val="24"/>
              </w:rPr>
              <w:t>对外环境影响较小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restart"/>
            <w:noWrap w:val="0"/>
            <w:vAlign w:val="center"/>
          </w:tcPr>
          <w:p>
            <w:pPr>
              <w:jc w:val="center"/>
              <w:rPr>
                <w:sz w:val="24"/>
              </w:rPr>
            </w:pPr>
            <w:r>
              <w:rPr>
                <w:sz w:val="24"/>
              </w:rPr>
              <w:t>固</w:t>
            </w:r>
          </w:p>
          <w:p>
            <w:pPr>
              <w:jc w:val="center"/>
              <w:rPr>
                <w:sz w:val="24"/>
              </w:rPr>
            </w:pPr>
            <w:r>
              <w:rPr>
                <w:sz w:val="24"/>
              </w:rPr>
              <w:t>体</w:t>
            </w:r>
          </w:p>
          <w:p>
            <w:pPr>
              <w:jc w:val="center"/>
              <w:rPr>
                <w:sz w:val="24"/>
              </w:rPr>
            </w:pPr>
            <w:r>
              <w:rPr>
                <w:sz w:val="24"/>
              </w:rPr>
              <w:t>废</w:t>
            </w:r>
          </w:p>
          <w:p>
            <w:pPr>
              <w:jc w:val="center"/>
              <w:rPr>
                <w:sz w:val="24"/>
              </w:rPr>
            </w:pPr>
            <w:r>
              <w:rPr>
                <w:sz w:val="24"/>
              </w:rPr>
              <w:t>弃</w:t>
            </w:r>
          </w:p>
          <w:p>
            <w:pPr>
              <w:jc w:val="center"/>
              <w:rPr>
                <w:sz w:val="24"/>
              </w:rPr>
            </w:pPr>
            <w:r>
              <w:rPr>
                <w:sz w:val="24"/>
              </w:rPr>
              <w:t>物</w:t>
            </w:r>
          </w:p>
        </w:tc>
        <w:tc>
          <w:tcPr>
            <w:tcW w:w="456" w:type="dxa"/>
            <w:vMerge w:val="restart"/>
            <w:tcBorders>
              <w:right w:val="single" w:color="auto" w:sz="4" w:space="0"/>
            </w:tcBorders>
            <w:noWrap w:val="0"/>
            <w:vAlign w:val="center"/>
          </w:tcPr>
          <w:p>
            <w:pPr>
              <w:jc w:val="center"/>
              <w:rPr>
                <w:sz w:val="24"/>
              </w:rPr>
            </w:pPr>
            <w:r>
              <w:rPr>
                <w:sz w:val="24"/>
              </w:rPr>
              <w:t>施工期</w:t>
            </w:r>
          </w:p>
        </w:tc>
        <w:tc>
          <w:tcPr>
            <w:tcW w:w="1505" w:type="dxa"/>
            <w:vMerge w:val="restart"/>
            <w:tcBorders>
              <w:left w:val="single" w:color="auto" w:sz="4" w:space="0"/>
            </w:tcBorders>
            <w:noWrap w:val="0"/>
            <w:vAlign w:val="center"/>
          </w:tcPr>
          <w:p>
            <w:pPr>
              <w:jc w:val="center"/>
              <w:rPr>
                <w:kern w:val="0"/>
                <w:sz w:val="24"/>
              </w:rPr>
            </w:pPr>
            <w:r>
              <w:rPr>
                <w:kern w:val="0"/>
                <w:sz w:val="24"/>
              </w:rPr>
              <w:t>工地</w:t>
            </w:r>
          </w:p>
        </w:tc>
        <w:tc>
          <w:tcPr>
            <w:tcW w:w="1254" w:type="dxa"/>
            <w:noWrap w:val="0"/>
            <w:vAlign w:val="center"/>
          </w:tcPr>
          <w:p>
            <w:pPr>
              <w:jc w:val="center"/>
              <w:rPr>
                <w:kern w:val="0"/>
                <w:sz w:val="24"/>
              </w:rPr>
            </w:pPr>
            <w:r>
              <w:rPr>
                <w:kern w:val="0"/>
                <w:sz w:val="24"/>
              </w:rPr>
              <w:t>建筑垃圾</w:t>
            </w:r>
          </w:p>
        </w:tc>
        <w:tc>
          <w:tcPr>
            <w:tcW w:w="3118" w:type="dxa"/>
            <w:noWrap w:val="0"/>
            <w:vAlign w:val="center"/>
          </w:tcPr>
          <w:p>
            <w:pPr>
              <w:autoSpaceDE w:val="0"/>
              <w:autoSpaceDN w:val="0"/>
              <w:adjustRightInd w:val="0"/>
              <w:spacing w:line="360" w:lineRule="auto"/>
              <w:jc w:val="center"/>
              <w:rPr>
                <w:kern w:val="0"/>
                <w:sz w:val="24"/>
              </w:rPr>
            </w:pPr>
            <w:r>
              <w:rPr>
                <w:rFonts w:hint="eastAsia"/>
                <w:kern w:val="0"/>
                <w:sz w:val="24"/>
              </w:rPr>
              <w:t>运至指定地点</w:t>
            </w:r>
          </w:p>
        </w:tc>
        <w:tc>
          <w:tcPr>
            <w:tcW w:w="2468" w:type="dxa"/>
            <w:vMerge w:val="restart"/>
            <w:noWrap w:val="0"/>
            <w:vAlign w:val="center"/>
          </w:tcPr>
          <w:p>
            <w:pPr>
              <w:jc w:val="center"/>
              <w:rPr>
                <w:bCs/>
                <w:sz w:val="24"/>
              </w:rPr>
            </w:pPr>
            <w:r>
              <w:rPr>
                <w:bCs/>
                <w:sz w:val="24"/>
              </w:rPr>
              <w:t>固废处置率100%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31" w:hRule="atLeast"/>
        </w:trPr>
        <w:tc>
          <w:tcPr>
            <w:tcW w:w="579" w:type="dxa"/>
            <w:vMerge w:val="continue"/>
            <w:noWrap w:val="0"/>
            <w:vAlign w:val="center"/>
          </w:tcPr>
          <w:p>
            <w:pPr>
              <w:jc w:val="center"/>
              <w:rPr>
                <w:sz w:val="24"/>
              </w:rPr>
            </w:pPr>
          </w:p>
        </w:tc>
        <w:tc>
          <w:tcPr>
            <w:tcW w:w="456" w:type="dxa"/>
            <w:vMerge w:val="continue"/>
            <w:tcBorders>
              <w:right w:val="single" w:color="auto" w:sz="4" w:space="0"/>
            </w:tcBorders>
            <w:noWrap w:val="0"/>
            <w:vAlign w:val="center"/>
          </w:tcPr>
          <w:p>
            <w:pPr>
              <w:jc w:val="center"/>
              <w:rPr>
                <w:sz w:val="24"/>
              </w:rPr>
            </w:pPr>
          </w:p>
        </w:tc>
        <w:tc>
          <w:tcPr>
            <w:tcW w:w="1505" w:type="dxa"/>
            <w:vMerge w:val="continue"/>
            <w:tcBorders>
              <w:left w:val="single" w:color="auto" w:sz="4" w:space="0"/>
            </w:tcBorders>
            <w:noWrap w:val="0"/>
            <w:vAlign w:val="center"/>
          </w:tcPr>
          <w:p>
            <w:pPr>
              <w:jc w:val="center"/>
              <w:rPr>
                <w:kern w:val="0"/>
                <w:sz w:val="24"/>
              </w:rPr>
            </w:pPr>
          </w:p>
        </w:tc>
        <w:tc>
          <w:tcPr>
            <w:tcW w:w="1254" w:type="dxa"/>
            <w:noWrap w:val="0"/>
            <w:vAlign w:val="center"/>
          </w:tcPr>
          <w:p>
            <w:pPr>
              <w:jc w:val="center"/>
              <w:rPr>
                <w:kern w:val="0"/>
                <w:sz w:val="24"/>
              </w:rPr>
            </w:pPr>
            <w:r>
              <w:rPr>
                <w:kern w:val="0"/>
                <w:sz w:val="24"/>
              </w:rPr>
              <w:t>生活垃圾</w:t>
            </w:r>
          </w:p>
        </w:tc>
        <w:tc>
          <w:tcPr>
            <w:tcW w:w="3118" w:type="dxa"/>
            <w:noWrap w:val="0"/>
            <w:vAlign w:val="center"/>
          </w:tcPr>
          <w:p>
            <w:pPr>
              <w:jc w:val="center"/>
              <w:rPr>
                <w:sz w:val="24"/>
              </w:rPr>
            </w:pPr>
            <w:r>
              <w:rPr>
                <w:sz w:val="24"/>
              </w:rPr>
              <w:t>集中收集后，统一清运处理</w:t>
            </w:r>
          </w:p>
        </w:tc>
        <w:tc>
          <w:tcPr>
            <w:tcW w:w="2468" w:type="dxa"/>
            <w:vMerge w:val="continue"/>
            <w:noWrap w:val="0"/>
            <w:vAlign w:val="center"/>
          </w:tcPr>
          <w:p>
            <w:pPr>
              <w:jc w:val="center"/>
              <w:rPr>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continue"/>
            <w:noWrap w:val="0"/>
            <w:vAlign w:val="center"/>
          </w:tcPr>
          <w:p>
            <w:pPr>
              <w:jc w:val="center"/>
              <w:rPr>
                <w:sz w:val="24"/>
              </w:rPr>
            </w:pPr>
          </w:p>
        </w:tc>
        <w:tc>
          <w:tcPr>
            <w:tcW w:w="456" w:type="dxa"/>
            <w:vMerge w:val="restart"/>
            <w:tcBorders>
              <w:right w:val="single" w:color="auto" w:sz="4" w:space="0"/>
            </w:tcBorders>
            <w:noWrap w:val="0"/>
            <w:vAlign w:val="center"/>
          </w:tcPr>
          <w:p>
            <w:pPr>
              <w:widowControl/>
              <w:jc w:val="center"/>
              <w:rPr>
                <w:kern w:val="0"/>
                <w:sz w:val="24"/>
              </w:rPr>
            </w:pPr>
            <w:r>
              <w:rPr>
                <w:kern w:val="0"/>
                <w:sz w:val="24"/>
              </w:rPr>
              <w:t>营运期</w:t>
            </w:r>
          </w:p>
        </w:tc>
        <w:tc>
          <w:tcPr>
            <w:tcW w:w="1505" w:type="dxa"/>
            <w:tcBorders>
              <w:left w:val="single" w:color="auto" w:sz="4" w:space="0"/>
            </w:tcBorders>
            <w:noWrap w:val="0"/>
            <w:vAlign w:val="center"/>
          </w:tcPr>
          <w:p>
            <w:pPr>
              <w:jc w:val="center"/>
              <w:rPr>
                <w:sz w:val="24"/>
              </w:rPr>
            </w:pPr>
            <w:r>
              <w:rPr>
                <w:sz w:val="24"/>
              </w:rPr>
              <w:t>生活区</w:t>
            </w:r>
          </w:p>
        </w:tc>
        <w:tc>
          <w:tcPr>
            <w:tcW w:w="1254" w:type="dxa"/>
            <w:noWrap w:val="0"/>
            <w:vAlign w:val="center"/>
          </w:tcPr>
          <w:p>
            <w:pPr>
              <w:rPr>
                <w:sz w:val="24"/>
              </w:rPr>
            </w:pPr>
            <w:r>
              <w:rPr>
                <w:sz w:val="24"/>
              </w:rPr>
              <w:t>生活垃圾</w:t>
            </w:r>
          </w:p>
        </w:tc>
        <w:tc>
          <w:tcPr>
            <w:tcW w:w="3118" w:type="dxa"/>
            <w:vMerge w:val="restart"/>
            <w:noWrap w:val="0"/>
            <w:vAlign w:val="center"/>
          </w:tcPr>
          <w:p>
            <w:pPr>
              <w:jc w:val="center"/>
              <w:rPr>
                <w:sz w:val="24"/>
              </w:rPr>
            </w:pPr>
            <w:r>
              <w:rPr>
                <w:sz w:val="24"/>
              </w:rPr>
              <w:t>委托环卫部门清运处理</w:t>
            </w:r>
          </w:p>
        </w:tc>
        <w:tc>
          <w:tcPr>
            <w:tcW w:w="2468" w:type="dxa"/>
            <w:vMerge w:val="restart"/>
            <w:noWrap w:val="0"/>
            <w:vAlign w:val="center"/>
          </w:tcPr>
          <w:p>
            <w:pPr>
              <w:jc w:val="center"/>
              <w:rPr>
                <w:bCs/>
                <w:sz w:val="24"/>
              </w:rPr>
            </w:pPr>
            <w:r>
              <w:rPr>
                <w:bCs/>
                <w:sz w:val="24"/>
              </w:rPr>
              <w:t>固废处置率100%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continue"/>
            <w:noWrap w:val="0"/>
            <w:vAlign w:val="center"/>
          </w:tcPr>
          <w:p>
            <w:pPr>
              <w:jc w:val="center"/>
              <w:rPr>
                <w:sz w:val="24"/>
              </w:rPr>
            </w:pPr>
          </w:p>
        </w:tc>
        <w:tc>
          <w:tcPr>
            <w:tcW w:w="456" w:type="dxa"/>
            <w:vMerge w:val="continue"/>
            <w:tcBorders>
              <w:right w:val="single" w:color="auto" w:sz="4" w:space="0"/>
            </w:tcBorders>
            <w:noWrap w:val="0"/>
            <w:vAlign w:val="center"/>
          </w:tcPr>
          <w:p>
            <w:pPr>
              <w:widowControl/>
              <w:jc w:val="center"/>
              <w:rPr>
                <w:kern w:val="0"/>
                <w:sz w:val="24"/>
              </w:rPr>
            </w:pPr>
          </w:p>
        </w:tc>
        <w:tc>
          <w:tcPr>
            <w:tcW w:w="1505" w:type="dxa"/>
            <w:tcBorders>
              <w:left w:val="single" w:color="auto" w:sz="4" w:space="0"/>
            </w:tcBorders>
            <w:noWrap w:val="0"/>
            <w:vAlign w:val="center"/>
          </w:tcPr>
          <w:p>
            <w:pPr>
              <w:jc w:val="center"/>
              <w:rPr>
                <w:sz w:val="24"/>
              </w:rPr>
            </w:pPr>
            <w:r>
              <w:rPr>
                <w:sz w:val="24"/>
              </w:rPr>
              <w:t>商铺</w:t>
            </w:r>
          </w:p>
        </w:tc>
        <w:tc>
          <w:tcPr>
            <w:tcW w:w="1254" w:type="dxa"/>
            <w:noWrap w:val="0"/>
            <w:vAlign w:val="center"/>
          </w:tcPr>
          <w:p>
            <w:pPr>
              <w:jc w:val="center"/>
              <w:rPr>
                <w:sz w:val="24"/>
              </w:rPr>
            </w:pPr>
            <w:r>
              <w:rPr>
                <w:rFonts w:hint="eastAsia"/>
                <w:sz w:val="24"/>
              </w:rPr>
              <w:t>商业</w:t>
            </w:r>
            <w:r>
              <w:rPr>
                <w:sz w:val="24"/>
              </w:rPr>
              <w:t>垃圾</w:t>
            </w:r>
          </w:p>
        </w:tc>
        <w:tc>
          <w:tcPr>
            <w:tcW w:w="3118" w:type="dxa"/>
            <w:vMerge w:val="continue"/>
            <w:noWrap w:val="0"/>
            <w:vAlign w:val="center"/>
          </w:tcPr>
          <w:p>
            <w:pPr>
              <w:jc w:val="center"/>
              <w:rPr>
                <w:sz w:val="24"/>
              </w:rPr>
            </w:pPr>
          </w:p>
        </w:tc>
        <w:tc>
          <w:tcPr>
            <w:tcW w:w="2468" w:type="dxa"/>
            <w:vMerge w:val="continue"/>
            <w:noWrap w:val="0"/>
            <w:vAlign w:val="center"/>
          </w:tcPr>
          <w:p>
            <w:pPr>
              <w:jc w:val="center"/>
              <w:rPr>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continue"/>
            <w:noWrap w:val="0"/>
            <w:vAlign w:val="center"/>
          </w:tcPr>
          <w:p>
            <w:pPr>
              <w:jc w:val="center"/>
              <w:rPr>
                <w:sz w:val="24"/>
              </w:rPr>
            </w:pPr>
          </w:p>
        </w:tc>
        <w:tc>
          <w:tcPr>
            <w:tcW w:w="456" w:type="dxa"/>
            <w:vMerge w:val="continue"/>
            <w:tcBorders>
              <w:right w:val="single" w:color="auto" w:sz="4" w:space="0"/>
            </w:tcBorders>
            <w:noWrap w:val="0"/>
            <w:vAlign w:val="center"/>
          </w:tcPr>
          <w:p>
            <w:pPr>
              <w:widowControl/>
              <w:jc w:val="center"/>
              <w:rPr>
                <w:kern w:val="0"/>
                <w:sz w:val="24"/>
              </w:rPr>
            </w:pPr>
          </w:p>
        </w:tc>
        <w:tc>
          <w:tcPr>
            <w:tcW w:w="1505" w:type="dxa"/>
            <w:tcBorders>
              <w:left w:val="single" w:color="auto" w:sz="4" w:space="0"/>
            </w:tcBorders>
            <w:noWrap w:val="0"/>
            <w:vAlign w:val="center"/>
          </w:tcPr>
          <w:p>
            <w:pPr>
              <w:jc w:val="center"/>
              <w:rPr>
                <w:sz w:val="24"/>
              </w:rPr>
            </w:pPr>
            <w:r>
              <w:rPr>
                <w:sz w:val="24"/>
              </w:rPr>
              <w:t>污水处理设备</w:t>
            </w:r>
          </w:p>
        </w:tc>
        <w:tc>
          <w:tcPr>
            <w:tcW w:w="1254" w:type="dxa"/>
            <w:noWrap w:val="0"/>
            <w:vAlign w:val="center"/>
          </w:tcPr>
          <w:p>
            <w:pPr>
              <w:jc w:val="center"/>
              <w:rPr>
                <w:sz w:val="24"/>
              </w:rPr>
            </w:pPr>
            <w:r>
              <w:rPr>
                <w:sz w:val="24"/>
              </w:rPr>
              <w:t>污泥</w:t>
            </w:r>
          </w:p>
        </w:tc>
        <w:tc>
          <w:tcPr>
            <w:tcW w:w="3118" w:type="dxa"/>
            <w:noWrap w:val="0"/>
            <w:vAlign w:val="center"/>
          </w:tcPr>
          <w:p>
            <w:pPr>
              <w:jc w:val="center"/>
              <w:rPr>
                <w:sz w:val="24"/>
              </w:rPr>
            </w:pPr>
            <w:r>
              <w:rPr>
                <w:rFonts w:hint="eastAsia"/>
                <w:sz w:val="24"/>
              </w:rPr>
              <w:t>委托相关部门清运处理</w:t>
            </w:r>
          </w:p>
        </w:tc>
        <w:tc>
          <w:tcPr>
            <w:tcW w:w="2468" w:type="dxa"/>
            <w:vMerge w:val="continue"/>
            <w:noWrap w:val="0"/>
            <w:vAlign w:val="center"/>
          </w:tcPr>
          <w:p>
            <w:pPr>
              <w:jc w:val="center"/>
              <w:rPr>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restart"/>
            <w:noWrap w:val="0"/>
            <w:vAlign w:val="center"/>
          </w:tcPr>
          <w:p>
            <w:pPr>
              <w:jc w:val="center"/>
              <w:rPr>
                <w:sz w:val="24"/>
              </w:rPr>
            </w:pPr>
            <w:r>
              <w:rPr>
                <w:sz w:val="24"/>
              </w:rPr>
              <w:t>噪</w:t>
            </w:r>
          </w:p>
          <w:p>
            <w:pPr>
              <w:jc w:val="center"/>
              <w:rPr>
                <w:sz w:val="24"/>
              </w:rPr>
            </w:pPr>
            <w:r>
              <w:rPr>
                <w:sz w:val="24"/>
              </w:rPr>
              <w:t>声</w:t>
            </w:r>
          </w:p>
        </w:tc>
        <w:tc>
          <w:tcPr>
            <w:tcW w:w="456" w:type="dxa"/>
            <w:tcBorders>
              <w:right w:val="single" w:color="auto" w:sz="4" w:space="0"/>
            </w:tcBorders>
            <w:noWrap w:val="0"/>
            <w:vAlign w:val="center"/>
          </w:tcPr>
          <w:p>
            <w:pPr>
              <w:jc w:val="center"/>
              <w:rPr>
                <w:sz w:val="24"/>
              </w:rPr>
            </w:pPr>
            <w:r>
              <w:rPr>
                <w:sz w:val="24"/>
              </w:rPr>
              <w:t>施工期</w:t>
            </w:r>
          </w:p>
        </w:tc>
        <w:tc>
          <w:tcPr>
            <w:tcW w:w="1505" w:type="dxa"/>
            <w:tcBorders>
              <w:left w:val="single" w:color="auto" w:sz="4" w:space="0"/>
            </w:tcBorders>
            <w:noWrap w:val="0"/>
            <w:vAlign w:val="center"/>
          </w:tcPr>
          <w:p>
            <w:pPr>
              <w:jc w:val="center"/>
              <w:rPr>
                <w:sz w:val="24"/>
              </w:rPr>
            </w:pPr>
            <w:r>
              <w:rPr>
                <w:sz w:val="24"/>
              </w:rPr>
              <w:t>机械设备</w:t>
            </w:r>
          </w:p>
        </w:tc>
        <w:tc>
          <w:tcPr>
            <w:tcW w:w="1254" w:type="dxa"/>
            <w:noWrap w:val="0"/>
            <w:vAlign w:val="center"/>
          </w:tcPr>
          <w:p>
            <w:pPr>
              <w:jc w:val="center"/>
              <w:rPr>
                <w:sz w:val="24"/>
              </w:rPr>
            </w:pPr>
            <w:r>
              <w:rPr>
                <w:sz w:val="24"/>
              </w:rPr>
              <w:t>机械噪声</w:t>
            </w:r>
          </w:p>
        </w:tc>
        <w:tc>
          <w:tcPr>
            <w:tcW w:w="3118" w:type="dxa"/>
            <w:noWrap w:val="0"/>
            <w:vAlign w:val="center"/>
          </w:tcPr>
          <w:p>
            <w:pPr>
              <w:jc w:val="center"/>
              <w:rPr>
                <w:bCs/>
                <w:sz w:val="24"/>
              </w:rPr>
            </w:pPr>
            <w:r>
              <w:rPr>
                <w:bCs/>
                <w:sz w:val="24"/>
              </w:rPr>
              <w:t>加强维护，选用低噪声设备</w:t>
            </w:r>
          </w:p>
        </w:tc>
        <w:tc>
          <w:tcPr>
            <w:tcW w:w="2468" w:type="dxa"/>
            <w:noWrap w:val="0"/>
            <w:vAlign w:val="center"/>
          </w:tcPr>
          <w:p>
            <w:pPr>
              <w:jc w:val="center"/>
              <w:rPr>
                <w:bCs/>
                <w:sz w:val="24"/>
              </w:rPr>
            </w:pPr>
            <w:r>
              <w:rPr>
                <w:sz w:val="24"/>
              </w:rPr>
              <w:t>达到《建筑施工场界环境噪声排放标准》（GB12523-2011）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continue"/>
            <w:noWrap w:val="0"/>
            <w:vAlign w:val="center"/>
          </w:tcPr>
          <w:p>
            <w:pPr>
              <w:jc w:val="center"/>
              <w:rPr>
                <w:sz w:val="24"/>
              </w:rPr>
            </w:pPr>
          </w:p>
        </w:tc>
        <w:tc>
          <w:tcPr>
            <w:tcW w:w="456" w:type="dxa"/>
            <w:vMerge w:val="restart"/>
            <w:tcBorders>
              <w:right w:val="single" w:color="auto" w:sz="4" w:space="0"/>
            </w:tcBorders>
            <w:noWrap w:val="0"/>
            <w:vAlign w:val="center"/>
          </w:tcPr>
          <w:p>
            <w:pPr>
              <w:jc w:val="center"/>
              <w:rPr>
                <w:sz w:val="24"/>
              </w:rPr>
            </w:pPr>
            <w:r>
              <w:rPr>
                <w:sz w:val="24"/>
              </w:rPr>
              <w:t>营运期</w:t>
            </w:r>
          </w:p>
        </w:tc>
        <w:tc>
          <w:tcPr>
            <w:tcW w:w="1505" w:type="dxa"/>
            <w:tcBorders>
              <w:left w:val="single" w:color="auto" w:sz="4" w:space="0"/>
            </w:tcBorders>
            <w:noWrap w:val="0"/>
            <w:vAlign w:val="center"/>
          </w:tcPr>
          <w:p>
            <w:pPr>
              <w:jc w:val="center"/>
              <w:rPr>
                <w:bCs/>
                <w:sz w:val="24"/>
              </w:rPr>
            </w:pPr>
            <w:r>
              <w:rPr>
                <w:bCs/>
                <w:sz w:val="24"/>
              </w:rPr>
              <w:t>项目区</w:t>
            </w:r>
          </w:p>
        </w:tc>
        <w:tc>
          <w:tcPr>
            <w:tcW w:w="1254" w:type="dxa"/>
            <w:noWrap w:val="0"/>
            <w:vAlign w:val="center"/>
          </w:tcPr>
          <w:p>
            <w:pPr>
              <w:pStyle w:val="108"/>
              <w:spacing w:before="0"/>
              <w:rPr>
                <w:rFonts w:ascii="Times New Roman"/>
                <w:bCs/>
                <w:szCs w:val="24"/>
              </w:rPr>
            </w:pPr>
            <w:r>
              <w:rPr>
                <w:rFonts w:ascii="Times New Roman"/>
                <w:szCs w:val="24"/>
              </w:rPr>
              <w:t>设备、汽车运行噪声</w:t>
            </w:r>
          </w:p>
        </w:tc>
        <w:tc>
          <w:tcPr>
            <w:tcW w:w="3118" w:type="dxa"/>
            <w:noWrap w:val="0"/>
            <w:vAlign w:val="center"/>
          </w:tcPr>
          <w:p>
            <w:pPr>
              <w:jc w:val="center"/>
              <w:rPr>
                <w:bCs/>
                <w:sz w:val="24"/>
              </w:rPr>
            </w:pPr>
            <w:r>
              <w:rPr>
                <w:bCs/>
                <w:sz w:val="24"/>
              </w:rPr>
              <w:t>低噪声设备，车辆进站时减速、禁止鸣笛</w:t>
            </w:r>
          </w:p>
        </w:tc>
        <w:tc>
          <w:tcPr>
            <w:tcW w:w="2468" w:type="dxa"/>
            <w:vMerge w:val="restart"/>
            <w:noWrap w:val="0"/>
            <w:vAlign w:val="center"/>
          </w:tcPr>
          <w:p>
            <w:pPr>
              <w:jc w:val="center"/>
              <w:rPr>
                <w:bCs/>
                <w:sz w:val="24"/>
              </w:rPr>
            </w:pPr>
            <w:r>
              <w:rPr>
                <w:bCs/>
                <w:sz w:val="24"/>
              </w:rPr>
              <w:t>达到</w:t>
            </w:r>
            <w:r>
              <w:rPr>
                <w:rFonts w:hint="eastAsia"/>
                <w:bCs/>
                <w:sz w:val="24"/>
              </w:rPr>
              <w:t>《社会生活环境噪声排放标准》（GB22337-2008）</w:t>
            </w:r>
            <w:r>
              <w:rPr>
                <w:bCs/>
                <w:sz w:val="24"/>
              </w:rPr>
              <w:t>中2类</w:t>
            </w:r>
            <w:r>
              <w:rPr>
                <w:rFonts w:hint="eastAsia"/>
                <w:bCs/>
                <w:sz w:val="24"/>
              </w:rPr>
              <w:t>和4类</w:t>
            </w:r>
            <w:r>
              <w:rPr>
                <w:bCs/>
                <w:sz w:val="24"/>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rPr>
        <w:tc>
          <w:tcPr>
            <w:tcW w:w="579" w:type="dxa"/>
            <w:vMerge w:val="continue"/>
            <w:noWrap w:val="0"/>
            <w:vAlign w:val="center"/>
          </w:tcPr>
          <w:p>
            <w:pPr>
              <w:jc w:val="center"/>
              <w:rPr>
                <w:color w:val="FF0000"/>
                <w:sz w:val="24"/>
              </w:rPr>
            </w:pPr>
          </w:p>
        </w:tc>
        <w:tc>
          <w:tcPr>
            <w:tcW w:w="456" w:type="dxa"/>
            <w:vMerge w:val="continue"/>
            <w:tcBorders>
              <w:right w:val="single" w:color="auto" w:sz="4" w:space="0"/>
            </w:tcBorders>
            <w:noWrap w:val="0"/>
            <w:vAlign w:val="center"/>
          </w:tcPr>
          <w:p>
            <w:pPr>
              <w:jc w:val="center"/>
              <w:rPr>
                <w:color w:val="FF0000"/>
                <w:sz w:val="24"/>
              </w:rPr>
            </w:pPr>
          </w:p>
        </w:tc>
        <w:tc>
          <w:tcPr>
            <w:tcW w:w="1505" w:type="dxa"/>
            <w:tcBorders>
              <w:left w:val="single" w:color="auto" w:sz="4" w:space="0"/>
            </w:tcBorders>
            <w:noWrap w:val="0"/>
            <w:vAlign w:val="center"/>
          </w:tcPr>
          <w:p>
            <w:pPr>
              <w:jc w:val="center"/>
              <w:rPr>
                <w:sz w:val="24"/>
              </w:rPr>
            </w:pPr>
            <w:r>
              <w:rPr>
                <w:sz w:val="24"/>
              </w:rPr>
              <w:t>商</w:t>
            </w:r>
            <w:r>
              <w:rPr>
                <w:rFonts w:hint="eastAsia"/>
                <w:sz w:val="24"/>
              </w:rPr>
              <w:t>铺</w:t>
            </w:r>
          </w:p>
        </w:tc>
        <w:tc>
          <w:tcPr>
            <w:tcW w:w="1254" w:type="dxa"/>
            <w:noWrap w:val="0"/>
            <w:vAlign w:val="center"/>
          </w:tcPr>
          <w:p>
            <w:pPr>
              <w:jc w:val="center"/>
              <w:rPr>
                <w:sz w:val="24"/>
              </w:rPr>
            </w:pPr>
            <w:r>
              <w:rPr>
                <w:sz w:val="24"/>
              </w:rPr>
              <w:t>商业噪声</w:t>
            </w:r>
          </w:p>
        </w:tc>
        <w:tc>
          <w:tcPr>
            <w:tcW w:w="3118" w:type="dxa"/>
            <w:noWrap w:val="0"/>
            <w:vAlign w:val="center"/>
          </w:tcPr>
          <w:p>
            <w:pPr>
              <w:jc w:val="center"/>
              <w:rPr>
                <w:sz w:val="24"/>
              </w:rPr>
            </w:pPr>
            <w:r>
              <w:rPr>
                <w:sz w:val="24"/>
              </w:rPr>
              <w:t>控制夜间营业时间</w:t>
            </w:r>
          </w:p>
        </w:tc>
        <w:tc>
          <w:tcPr>
            <w:tcW w:w="2468" w:type="dxa"/>
            <w:vMerge w:val="continue"/>
            <w:noWrap w:val="0"/>
            <w:vAlign w:val="center"/>
          </w:tcPr>
          <w:p>
            <w:pPr>
              <w:jc w:val="center"/>
              <w:rPr>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3446" w:hRule="atLeast"/>
        </w:trPr>
        <w:tc>
          <w:tcPr>
            <w:tcW w:w="9380" w:type="dxa"/>
            <w:gridSpan w:val="6"/>
            <w:noWrap w:val="0"/>
            <w:vAlign w:val="top"/>
          </w:tcPr>
          <w:p>
            <w:pPr>
              <w:spacing w:before="156" w:beforeLines="50" w:after="156" w:afterLines="50"/>
              <w:rPr>
                <w:b/>
                <w:sz w:val="24"/>
              </w:rPr>
            </w:pPr>
            <w:r>
              <w:rPr>
                <w:b/>
                <w:sz w:val="24"/>
              </w:rPr>
              <w:t>生态保护措施及预期效果：</w:t>
            </w:r>
          </w:p>
          <w:p>
            <w:pPr>
              <w:pStyle w:val="29"/>
              <w:spacing w:before="0" w:beforeLines="0" w:line="360" w:lineRule="auto"/>
              <w:rPr>
                <w:color w:val="auto"/>
              </w:rPr>
            </w:pPr>
            <w:r>
              <w:rPr>
                <w:rFonts w:hint="eastAsia"/>
                <w:color w:val="auto"/>
              </w:rPr>
              <w:t>根据项目建设特点和当地的自然条件，并结合各分区的具体情况，在水土保持方案的编制原则和工程水土流失防治目标的指导下，按照“预防为主、全面规划、综合防治、因地制宜、加强管理、生态优先、注重效益”的水土流失治理方针，坚持工程措施与生物措施相结合，采取拦挡措施、截排水措施、土地整治、植物防护、临时措施和管理要求等措施进行综合治理。</w:t>
            </w:r>
          </w:p>
          <w:p>
            <w:pPr>
              <w:pStyle w:val="29"/>
              <w:spacing w:before="0" w:beforeLines="0" w:line="360" w:lineRule="auto"/>
              <w:rPr>
                <w:color w:val="auto"/>
              </w:rPr>
            </w:pPr>
            <w:r>
              <w:rPr>
                <w:rFonts w:hint="eastAsia"/>
                <w:color w:val="auto"/>
              </w:rPr>
              <w:t>项目绿化工程采用的绿化树种选用树形美观的观赏性植物。考虑到维西地区的气候特殊性，在树种选择方面，以乡土树种为主。</w:t>
            </w:r>
          </w:p>
          <w:p>
            <w:pPr>
              <w:pStyle w:val="29"/>
              <w:spacing w:before="0" w:beforeLines="0" w:line="360" w:lineRule="auto"/>
              <w:rPr>
                <w:color w:val="FF0000"/>
              </w:rPr>
            </w:pPr>
            <w:r>
              <w:rPr>
                <w:color w:val="auto"/>
              </w:rPr>
              <w:t>总之，整个项目实施后使该地生态环境得到一定恢复和补偿，对环境起到一定调节作用，也为居民</w:t>
            </w:r>
            <w:r>
              <w:rPr>
                <w:rFonts w:hint="eastAsia"/>
                <w:color w:val="auto"/>
              </w:rPr>
              <w:t>、顾客</w:t>
            </w:r>
            <w:r>
              <w:rPr>
                <w:color w:val="auto"/>
              </w:rPr>
              <w:t>营造一个优美的环境。因此，运营期对生态环境的影响总的来说，是有利影响大于不利影响。</w:t>
            </w:r>
          </w:p>
        </w:tc>
      </w:tr>
    </w:tbl>
    <w:p>
      <w:pPr>
        <w:pStyle w:val="3"/>
        <w:keepNext w:val="0"/>
        <w:pageBreakBefore/>
        <w:widowControl/>
        <w:autoSpaceDE w:val="0"/>
        <w:autoSpaceDN w:val="0"/>
        <w:adjustRightInd w:val="0"/>
        <w:jc w:val="left"/>
        <w:rPr>
          <w:b/>
          <w:spacing w:val="20"/>
          <w:kern w:val="0"/>
          <w:sz w:val="32"/>
          <w:szCs w:val="30"/>
        </w:rPr>
      </w:pPr>
      <w:bookmarkStart w:id="33" w:name="_Toc57972435"/>
      <w:r>
        <w:rPr>
          <w:rFonts w:hint="eastAsia" w:hAnsi="宋体"/>
          <w:b/>
          <w:spacing w:val="20"/>
          <w:kern w:val="0"/>
          <w:sz w:val="32"/>
          <w:szCs w:val="30"/>
        </w:rPr>
        <w:t xml:space="preserve">表九 </w:t>
      </w:r>
      <w:r>
        <w:rPr>
          <w:rFonts w:hAnsi="宋体"/>
          <w:b/>
          <w:spacing w:val="20"/>
          <w:kern w:val="0"/>
          <w:sz w:val="32"/>
          <w:szCs w:val="30"/>
        </w:rPr>
        <w:t>结论与建议</w:t>
      </w:r>
      <w:bookmarkEnd w:id="33"/>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4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jc w:val="center"/>
        </w:trPr>
        <w:tc>
          <w:tcPr>
            <w:tcW w:w="9448" w:type="dxa"/>
            <w:noWrap w:val="0"/>
            <w:vAlign w:val="top"/>
          </w:tcPr>
          <w:p>
            <w:pPr>
              <w:numPr>
                <w:ilvl w:val="0"/>
                <w:numId w:val="1"/>
              </w:numPr>
              <w:spacing w:line="360" w:lineRule="auto"/>
              <w:rPr>
                <w:rFonts w:hint="eastAsia"/>
                <w:b/>
                <w:bCs/>
                <w:sz w:val="24"/>
              </w:rPr>
            </w:pPr>
            <w:r>
              <w:rPr>
                <w:b/>
                <w:bCs/>
                <w:sz w:val="24"/>
              </w:rPr>
              <w:t>结论</w:t>
            </w:r>
          </w:p>
          <w:p>
            <w:pPr>
              <w:spacing w:line="360" w:lineRule="auto"/>
              <w:ind w:firstLine="480"/>
              <w:rPr>
                <w:sz w:val="24"/>
              </w:rPr>
            </w:pPr>
            <w:r>
              <w:rPr>
                <w:rFonts w:hAnsi="宋体"/>
                <w:sz w:val="24"/>
              </w:rPr>
              <w:t>通过对该项目所在区域的环境质量现状评价以及对项目工程分析；各时段的环境影响分析；拟采取的对策措施分析。本评价得出以下结论：</w:t>
            </w:r>
          </w:p>
          <w:p>
            <w:pPr>
              <w:spacing w:line="360" w:lineRule="auto"/>
              <w:ind w:firstLine="482" w:firstLineChars="200"/>
              <w:rPr>
                <w:b/>
                <w:sz w:val="24"/>
              </w:rPr>
            </w:pPr>
            <w:r>
              <w:rPr>
                <w:b/>
                <w:sz w:val="24"/>
              </w:rPr>
              <w:t>1、项目概况</w:t>
            </w:r>
          </w:p>
          <w:p>
            <w:pPr>
              <w:spacing w:line="360" w:lineRule="auto"/>
              <w:ind w:firstLine="480" w:firstLineChars="200"/>
              <w:rPr>
                <w:color w:val="FF0000"/>
                <w:sz w:val="24"/>
              </w:rPr>
            </w:pPr>
            <w:r>
              <w:rPr>
                <w:rFonts w:hint="eastAsia" w:hAnsi="宋体"/>
                <w:sz w:val="24"/>
              </w:rPr>
              <w:t>拟建维西县老城区农贸市场综合体建设项目云南省迪庆藏族自治州维西县县城中部，挟持在念萨街（南侧）、顺城南路（北侧）、头道河（东侧）、白鹤路（西侧）之间，地理位置中心坐标：东经99°17′08.1″、北纬27°11′00.27″，行政区划隶属保和镇辖。目前项目的用地上有</w:t>
            </w:r>
            <w:r>
              <w:rPr>
                <w:rFonts w:hAnsi="宋体"/>
                <w:sz w:val="24"/>
              </w:rPr>
              <w:t>部分建筑，拆除后即可</w:t>
            </w:r>
            <w:r>
              <w:rPr>
                <w:rFonts w:hint="eastAsia" w:hAnsi="宋体"/>
                <w:sz w:val="24"/>
              </w:rPr>
              <w:t>满足项目的建设条件。项目建设内容包括：农贸市场、配套综合业务用房、农贸市场回迁安置用房、地下停车库、室外配套及头道河提升工程等。项目建设规模：本项目规划总用地面积40916.43㎡（61.37亩），总建筑面积66816.13㎡（其中地上总建筑面积52607.03㎡，地下建筑面积14209.10㎡）。</w:t>
            </w:r>
          </w:p>
          <w:p>
            <w:pPr>
              <w:spacing w:line="360" w:lineRule="auto"/>
              <w:ind w:firstLine="482" w:firstLineChars="200"/>
              <w:rPr>
                <w:rFonts w:hint="eastAsia" w:hAnsi="宋体"/>
                <w:b/>
                <w:sz w:val="24"/>
              </w:rPr>
            </w:pPr>
            <w:r>
              <w:rPr>
                <w:rFonts w:hint="eastAsia" w:hAnsi="宋体"/>
                <w:b/>
                <w:sz w:val="24"/>
              </w:rPr>
              <w:t>2、工程分析结论</w:t>
            </w:r>
          </w:p>
          <w:p>
            <w:pPr>
              <w:spacing w:line="360" w:lineRule="auto"/>
              <w:ind w:firstLine="480" w:firstLineChars="200"/>
              <w:rPr>
                <w:rFonts w:hint="eastAsia" w:hAnsi="宋体"/>
                <w:sz w:val="24"/>
              </w:rPr>
            </w:pPr>
            <w:r>
              <w:rPr>
                <w:rFonts w:hAnsi="宋体"/>
                <w:sz w:val="24"/>
              </w:rPr>
              <w:t>根据工程分析核算，本项目营运期间产生的污水为162.67m</w:t>
            </w:r>
            <w:r>
              <w:rPr>
                <w:rFonts w:hAnsi="宋体"/>
                <w:sz w:val="24"/>
                <w:vertAlign w:val="superscript"/>
              </w:rPr>
              <w:t>3</w:t>
            </w:r>
            <w:r>
              <w:rPr>
                <w:rFonts w:hAnsi="宋体"/>
                <w:sz w:val="24"/>
              </w:rPr>
              <w:t>/d，废水经化粪池处理</w:t>
            </w:r>
            <w:r>
              <w:rPr>
                <w:rFonts w:hint="eastAsia" w:hAnsi="宋体"/>
                <w:sz w:val="24"/>
              </w:rPr>
              <w:t>后</w:t>
            </w:r>
            <w:r>
              <w:rPr>
                <w:rFonts w:hAnsi="宋体"/>
                <w:sz w:val="24"/>
              </w:rPr>
              <w:t>，</w:t>
            </w:r>
            <w:r>
              <w:rPr>
                <w:rFonts w:hint="eastAsia" w:hAnsi="宋体"/>
                <w:sz w:val="24"/>
              </w:rPr>
              <w:t>达到《污水综合排放标准》（GB8978-1996）表4三级标准和</w:t>
            </w:r>
            <w:r>
              <w:rPr>
                <w:rFonts w:hAnsi="宋体"/>
                <w:sz w:val="24"/>
              </w:rPr>
              <w:t>《</w:t>
            </w:r>
            <w:r>
              <w:rPr>
                <w:rFonts w:hint="eastAsia" w:hAnsi="宋体"/>
                <w:sz w:val="24"/>
              </w:rPr>
              <w:t>污水排入城镇下水道水质标准</w:t>
            </w:r>
            <w:r>
              <w:rPr>
                <w:rFonts w:hAnsi="宋体"/>
                <w:sz w:val="24"/>
              </w:rPr>
              <w:t>》</w:t>
            </w:r>
            <w:r>
              <w:rPr>
                <w:rFonts w:hint="eastAsia" w:hAnsi="宋体"/>
                <w:sz w:val="24"/>
              </w:rPr>
              <w:t>（</w:t>
            </w:r>
            <w:r>
              <w:rPr>
                <w:rFonts w:hint="eastAsia"/>
                <w:sz w:val="24"/>
              </w:rPr>
              <w:t>CJ343-2010）</w:t>
            </w:r>
            <w:r>
              <w:rPr>
                <w:rFonts w:hAnsi="宋体"/>
                <w:sz w:val="24"/>
              </w:rPr>
              <w:t>表</w:t>
            </w:r>
            <w:r>
              <w:rPr>
                <w:rFonts w:hint="eastAsia"/>
                <w:sz w:val="24"/>
              </w:rPr>
              <w:t>1中B</w:t>
            </w:r>
            <w:r>
              <w:rPr>
                <w:rFonts w:hint="eastAsia" w:hAnsi="宋体"/>
                <w:sz w:val="24"/>
              </w:rPr>
              <w:t>等</w:t>
            </w:r>
            <w:r>
              <w:rPr>
                <w:rFonts w:hAnsi="宋体"/>
                <w:sz w:val="24"/>
              </w:rPr>
              <w:t>级标准后，</w:t>
            </w:r>
            <w:r>
              <w:rPr>
                <w:rFonts w:hint="eastAsia" w:hAnsi="宋体"/>
                <w:sz w:val="24"/>
              </w:rPr>
              <w:t>进入市政污水管网，最终进入维西县污水处理厂处理。</w:t>
            </w:r>
          </w:p>
          <w:p>
            <w:pPr>
              <w:spacing w:line="360" w:lineRule="auto"/>
              <w:ind w:firstLine="480" w:firstLineChars="200"/>
              <w:rPr>
                <w:rFonts w:hint="eastAsia" w:hAnsi="宋体"/>
                <w:sz w:val="24"/>
              </w:rPr>
            </w:pPr>
            <w:r>
              <w:rPr>
                <w:rFonts w:hint="eastAsia" w:hAnsi="宋体"/>
                <w:sz w:val="24"/>
              </w:rPr>
              <w:t>营运期废气主要为汽车尾气、备用发电机废气、化粪池、垃圾收集点臭味等，主要为无组织排放。</w:t>
            </w:r>
          </w:p>
          <w:p>
            <w:pPr>
              <w:spacing w:line="360" w:lineRule="auto"/>
              <w:ind w:firstLine="480" w:firstLineChars="200"/>
              <w:rPr>
                <w:rFonts w:hint="eastAsia" w:hAnsi="宋体"/>
                <w:sz w:val="24"/>
              </w:rPr>
            </w:pPr>
            <w:r>
              <w:rPr>
                <w:rFonts w:hint="eastAsia" w:hAnsi="宋体"/>
                <w:sz w:val="24"/>
              </w:rPr>
              <w:t>营运期噪声主要为</w:t>
            </w:r>
            <w:r>
              <w:rPr>
                <w:rFonts w:hAnsi="宋体"/>
                <w:sz w:val="24"/>
              </w:rPr>
              <w:t>进出车辆交通噪声</w:t>
            </w:r>
            <w:r>
              <w:rPr>
                <w:rFonts w:hint="eastAsia" w:hAnsi="宋体"/>
                <w:sz w:val="24"/>
              </w:rPr>
              <w:t>、备用发电机噪声、</w:t>
            </w:r>
            <w:r>
              <w:rPr>
                <w:rFonts w:hAnsi="宋体"/>
                <w:sz w:val="24"/>
              </w:rPr>
              <w:t>垃圾</w:t>
            </w:r>
            <w:r>
              <w:rPr>
                <w:rFonts w:hint="eastAsia" w:hAnsi="宋体"/>
                <w:sz w:val="24"/>
              </w:rPr>
              <w:t>清运</w:t>
            </w:r>
            <w:r>
              <w:rPr>
                <w:rFonts w:hAnsi="宋体"/>
                <w:sz w:val="24"/>
              </w:rPr>
              <w:t>噪声</w:t>
            </w:r>
            <w:r>
              <w:rPr>
                <w:rFonts w:hint="eastAsia" w:hAnsi="宋体"/>
                <w:sz w:val="24"/>
              </w:rPr>
              <w:t>、</w:t>
            </w:r>
            <w:r>
              <w:rPr>
                <w:rFonts w:hAnsi="宋体"/>
                <w:sz w:val="24"/>
              </w:rPr>
              <w:t>商铺人群活动时产生的噪声等。</w:t>
            </w:r>
            <w:r>
              <w:rPr>
                <w:rFonts w:hint="eastAsia" w:hAnsi="宋体"/>
                <w:sz w:val="24"/>
              </w:rPr>
              <w:t>源强55~85dB（A）。</w:t>
            </w:r>
          </w:p>
          <w:p>
            <w:pPr>
              <w:spacing w:line="360" w:lineRule="auto"/>
              <w:ind w:firstLine="480" w:firstLineChars="200"/>
              <w:rPr>
                <w:rFonts w:hAnsi="宋体"/>
                <w:sz w:val="24"/>
              </w:rPr>
            </w:pPr>
            <w:r>
              <w:rPr>
                <w:rFonts w:hint="eastAsia" w:hAnsi="宋体"/>
                <w:sz w:val="24"/>
              </w:rPr>
              <w:t>营运期固体废物主要为商铺垃圾、生活垃圾，产生量</w:t>
            </w:r>
            <w:r>
              <w:rPr>
                <w:rFonts w:hAnsi="宋体"/>
                <w:sz w:val="24"/>
              </w:rPr>
              <w:t>1468.44t/a</w:t>
            </w:r>
            <w:r>
              <w:rPr>
                <w:rFonts w:hint="eastAsia" w:hAnsi="宋体"/>
                <w:sz w:val="24"/>
              </w:rPr>
              <w:t>，污泥产生量</w:t>
            </w:r>
            <w:r>
              <w:rPr>
                <w:rFonts w:hAnsi="宋体"/>
                <w:sz w:val="24"/>
              </w:rPr>
              <w:t>8</w:t>
            </w:r>
            <w:r>
              <w:rPr>
                <w:rFonts w:hint="eastAsia" w:hAnsi="宋体"/>
                <w:sz w:val="24"/>
              </w:rPr>
              <w:t>t/a。</w:t>
            </w:r>
            <w:r>
              <w:rPr>
                <w:rFonts w:hAnsi="宋体"/>
                <w:sz w:val="24"/>
              </w:rPr>
              <w:t>生活垃圾</w:t>
            </w:r>
            <w:r>
              <w:rPr>
                <w:rFonts w:hint="eastAsia" w:hAnsi="宋体"/>
                <w:sz w:val="24"/>
              </w:rPr>
              <w:t>、商铺垃圾</w:t>
            </w:r>
            <w:r>
              <w:rPr>
                <w:rFonts w:hAnsi="宋体"/>
                <w:sz w:val="24"/>
              </w:rPr>
              <w:t>分散收集，统一送至垃圾收集</w:t>
            </w:r>
            <w:r>
              <w:rPr>
                <w:rFonts w:hint="eastAsia" w:hAnsi="宋体"/>
                <w:sz w:val="24"/>
              </w:rPr>
              <w:t>点</w:t>
            </w:r>
            <w:r>
              <w:rPr>
                <w:rFonts w:hAnsi="宋体"/>
                <w:sz w:val="24"/>
              </w:rPr>
              <w:t>临时</w:t>
            </w:r>
            <w:r>
              <w:rPr>
                <w:rFonts w:hint="eastAsia" w:hAnsi="宋体"/>
                <w:sz w:val="24"/>
              </w:rPr>
              <w:t>堆放，</w:t>
            </w:r>
            <w:r>
              <w:rPr>
                <w:rFonts w:hAnsi="宋体"/>
                <w:sz w:val="24"/>
              </w:rPr>
              <w:t>委托</w:t>
            </w:r>
            <w:r>
              <w:rPr>
                <w:rFonts w:hint="eastAsia" w:hAnsi="宋体"/>
                <w:sz w:val="24"/>
              </w:rPr>
              <w:t>维西</w:t>
            </w:r>
            <w:r>
              <w:rPr>
                <w:rFonts w:hAnsi="宋体"/>
                <w:sz w:val="24"/>
              </w:rPr>
              <w:t>县</w:t>
            </w:r>
            <w:r>
              <w:rPr>
                <w:rFonts w:hint="eastAsia" w:hAnsi="宋体"/>
                <w:sz w:val="24"/>
              </w:rPr>
              <w:t>环卫部门</w:t>
            </w:r>
            <w:r>
              <w:rPr>
                <w:rFonts w:hAnsi="宋体"/>
                <w:sz w:val="24"/>
              </w:rPr>
              <w:t>清运处理；化粪池污泥</w:t>
            </w:r>
            <w:r>
              <w:rPr>
                <w:rFonts w:hint="eastAsia" w:hAnsi="宋体"/>
                <w:sz w:val="24"/>
              </w:rPr>
              <w:t>定期清掏收集后清运处理</w:t>
            </w:r>
            <w:r>
              <w:rPr>
                <w:rFonts w:hAnsi="宋体"/>
                <w:sz w:val="24"/>
              </w:rPr>
              <w:t>；固体废物处置率100%。</w:t>
            </w:r>
          </w:p>
          <w:p>
            <w:pPr>
              <w:spacing w:line="360" w:lineRule="auto"/>
              <w:ind w:firstLine="482" w:firstLineChars="200"/>
              <w:rPr>
                <w:rFonts w:hint="eastAsia" w:hAnsi="宋体"/>
                <w:b/>
                <w:sz w:val="24"/>
              </w:rPr>
            </w:pPr>
            <w:r>
              <w:rPr>
                <w:rFonts w:hint="eastAsia" w:hAnsi="宋体"/>
                <w:b/>
                <w:sz w:val="24"/>
              </w:rPr>
              <w:t>3、环境质量现状评价结论</w:t>
            </w:r>
          </w:p>
          <w:p>
            <w:pPr>
              <w:spacing w:line="360" w:lineRule="auto"/>
              <w:ind w:firstLine="480" w:firstLineChars="200"/>
              <w:rPr>
                <w:rFonts w:hAnsi="宋体"/>
                <w:sz w:val="24"/>
              </w:rPr>
            </w:pPr>
            <w:r>
              <w:rPr>
                <w:rFonts w:hint="eastAsia" w:hAnsi="宋体"/>
                <w:sz w:val="24"/>
              </w:rPr>
              <w:t>（1）</w:t>
            </w:r>
            <w:r>
              <w:rPr>
                <w:rFonts w:hAnsi="宋体"/>
                <w:sz w:val="24"/>
              </w:rPr>
              <w:t>环境空气质量状况：</w:t>
            </w:r>
          </w:p>
          <w:p>
            <w:pPr>
              <w:spacing w:line="360" w:lineRule="auto"/>
              <w:ind w:firstLine="480" w:firstLineChars="200"/>
              <w:rPr>
                <w:rFonts w:hint="eastAsia" w:hAnsi="宋体"/>
                <w:sz w:val="24"/>
              </w:rPr>
            </w:pPr>
            <w:r>
              <w:rPr>
                <w:rFonts w:hAnsi="宋体"/>
                <w:sz w:val="24"/>
              </w:rPr>
              <w:t>项目位于</w:t>
            </w:r>
            <w:r>
              <w:rPr>
                <w:rFonts w:hint="eastAsia" w:hAnsi="宋体"/>
                <w:sz w:val="24"/>
              </w:rPr>
              <w:t>维西县保和镇，根据</w:t>
            </w:r>
            <w:r>
              <w:rPr>
                <w:rFonts w:hAnsi="宋体"/>
                <w:sz w:val="24"/>
              </w:rPr>
              <w:t>现场调查，评价区内无大型的工业污染源。</w:t>
            </w:r>
            <w:r>
              <w:rPr>
                <w:rFonts w:hint="eastAsia"/>
                <w:sz w:val="24"/>
              </w:rPr>
              <w:t>项目所在区域执行GB3095-2012</w:t>
            </w:r>
            <w:r>
              <w:rPr>
                <w:sz w:val="24"/>
              </w:rPr>
              <w:t>《环境空气质量标准》</w:t>
            </w:r>
            <w:r>
              <w:rPr>
                <w:rFonts w:hint="eastAsia"/>
                <w:sz w:val="24"/>
              </w:rPr>
              <w:t>中的</w:t>
            </w:r>
            <w:r>
              <w:rPr>
                <w:sz w:val="24"/>
              </w:rPr>
              <w:t>二级标准</w:t>
            </w:r>
            <w:r>
              <w:rPr>
                <w:rFonts w:hint="eastAsia"/>
                <w:sz w:val="24"/>
              </w:rPr>
              <w:t>。</w:t>
            </w:r>
            <w:r>
              <w:rPr>
                <w:rFonts w:hint="eastAsia" w:cs="Arial"/>
                <w:sz w:val="24"/>
              </w:rPr>
              <w:t>根据《2019年迪庆州环境状况公报》，维西县总采样天数为339天，优为274天，良为65天；优良率100%，达到或优于二级天数比例100%</w:t>
            </w:r>
            <w:r>
              <w:rPr>
                <w:rFonts w:hint="eastAsia"/>
                <w:sz w:val="24"/>
              </w:rPr>
              <w:t>。环评认为项目所在区域空气环境质量能满足GB3095-2012</w:t>
            </w:r>
            <w:r>
              <w:rPr>
                <w:sz w:val="24"/>
              </w:rPr>
              <w:t>《环境空气质量标准》</w:t>
            </w:r>
            <w:r>
              <w:rPr>
                <w:rFonts w:hint="eastAsia"/>
                <w:sz w:val="24"/>
              </w:rPr>
              <w:t>中的</w:t>
            </w:r>
            <w:r>
              <w:rPr>
                <w:sz w:val="24"/>
              </w:rPr>
              <w:t>二级标准，为达标区</w:t>
            </w:r>
            <w:r>
              <w:rPr>
                <w:rFonts w:hint="eastAsia"/>
                <w:sz w:val="24"/>
              </w:rPr>
              <w:t>。</w:t>
            </w:r>
          </w:p>
          <w:p>
            <w:pPr>
              <w:spacing w:line="360" w:lineRule="auto"/>
              <w:ind w:firstLine="480" w:firstLineChars="200"/>
              <w:rPr>
                <w:rFonts w:hAnsi="宋体"/>
                <w:sz w:val="24"/>
              </w:rPr>
            </w:pPr>
            <w:r>
              <w:rPr>
                <w:rFonts w:hAnsi="宋体"/>
                <w:sz w:val="24"/>
              </w:rPr>
              <w:t>（2）水环境质量状况：</w:t>
            </w:r>
          </w:p>
          <w:p>
            <w:pPr>
              <w:spacing w:line="360" w:lineRule="auto"/>
              <w:ind w:firstLine="480" w:firstLineChars="200"/>
              <w:rPr>
                <w:rFonts w:hint="eastAsia" w:hAnsi="宋体"/>
                <w:sz w:val="24"/>
              </w:rPr>
            </w:pPr>
            <w:r>
              <w:rPr>
                <w:rFonts w:hint="eastAsia" w:hAnsi="宋体"/>
                <w:sz w:val="24"/>
              </w:rPr>
              <w:t>参考《云南省地表水水环境功能区划》（</w:t>
            </w:r>
            <w:r>
              <w:rPr>
                <w:rFonts w:hAnsi="宋体"/>
                <w:sz w:val="24"/>
              </w:rPr>
              <w:t>2010~2020</w:t>
            </w:r>
            <w:r>
              <w:rPr>
                <w:rFonts w:hint="eastAsia" w:hAnsi="宋体"/>
                <w:sz w:val="24"/>
              </w:rPr>
              <w:t>），头道河源头</w:t>
            </w:r>
            <w:r>
              <w:rPr>
                <w:rFonts w:hAnsi="宋体"/>
                <w:sz w:val="24"/>
              </w:rPr>
              <w:t>-</w:t>
            </w:r>
            <w:r>
              <w:rPr>
                <w:rFonts w:hint="eastAsia" w:hAnsi="宋体"/>
                <w:sz w:val="24"/>
              </w:rPr>
              <w:t>入永春河口，水环境功能为饮用一级、农业用水，执行《地表水环境质量标准》（</w:t>
            </w:r>
            <w:r>
              <w:rPr>
                <w:rFonts w:hAnsi="宋体"/>
                <w:sz w:val="24"/>
              </w:rPr>
              <w:t>GB3838-2002</w:t>
            </w:r>
            <w:r>
              <w:rPr>
                <w:rFonts w:hint="eastAsia" w:hAnsi="宋体"/>
                <w:sz w:val="24"/>
              </w:rPr>
              <w:t>）</w:t>
            </w:r>
            <w:r>
              <w:rPr>
                <w:rFonts w:hAnsi="宋体"/>
                <w:sz w:val="24"/>
              </w:rPr>
              <w:fldChar w:fldCharType="begin"/>
            </w:r>
            <w:r>
              <w:rPr>
                <w:rFonts w:hAnsi="宋体"/>
                <w:sz w:val="24"/>
              </w:rPr>
              <w:instrText xml:space="preserve"> </w:instrText>
            </w:r>
            <w:r>
              <w:rPr>
                <w:rFonts w:hint="eastAsia" w:hAnsi="宋体"/>
                <w:sz w:val="24"/>
              </w:rPr>
              <w:instrText xml:space="preserve">= 2 \* ROMAN</w:instrText>
            </w:r>
            <w:r>
              <w:rPr>
                <w:rFonts w:hAnsi="宋体"/>
                <w:sz w:val="24"/>
              </w:rPr>
              <w:instrText xml:space="preserve"> </w:instrText>
            </w:r>
            <w:r>
              <w:rPr>
                <w:rFonts w:hAnsi="宋体"/>
                <w:sz w:val="24"/>
              </w:rPr>
              <w:fldChar w:fldCharType="separate"/>
            </w:r>
            <w:r>
              <w:rPr>
                <w:rFonts w:hAnsi="宋体"/>
                <w:sz w:val="24"/>
              </w:rPr>
              <w:t>II</w:t>
            </w:r>
            <w:r>
              <w:rPr>
                <w:rFonts w:hAnsi="宋体"/>
                <w:sz w:val="24"/>
              </w:rPr>
              <w:fldChar w:fldCharType="end"/>
            </w:r>
            <w:r>
              <w:rPr>
                <w:rFonts w:hint="eastAsia" w:hAnsi="宋体"/>
                <w:sz w:val="24"/>
              </w:rPr>
              <w:t>类水质标准；二道河源头</w:t>
            </w:r>
            <w:r>
              <w:rPr>
                <w:rFonts w:hAnsi="宋体"/>
                <w:sz w:val="24"/>
              </w:rPr>
              <w:t>-</w:t>
            </w:r>
            <w:r>
              <w:rPr>
                <w:rFonts w:hint="eastAsia" w:hAnsi="宋体"/>
                <w:sz w:val="24"/>
              </w:rPr>
              <w:t>入永春河口，水功环境能为饮用一级，执行《地表水环境质量标准》（</w:t>
            </w:r>
            <w:r>
              <w:rPr>
                <w:rFonts w:hAnsi="宋体"/>
                <w:sz w:val="24"/>
              </w:rPr>
              <w:t>GB3838-2002</w:t>
            </w:r>
            <w:r>
              <w:rPr>
                <w:rFonts w:hint="eastAsia" w:hAnsi="宋体"/>
                <w:sz w:val="24"/>
              </w:rPr>
              <w:t>）</w:t>
            </w:r>
            <w:r>
              <w:rPr>
                <w:rFonts w:hAnsi="宋体"/>
                <w:sz w:val="24"/>
              </w:rPr>
              <w:fldChar w:fldCharType="begin"/>
            </w:r>
            <w:r>
              <w:rPr>
                <w:rFonts w:hAnsi="宋体"/>
                <w:sz w:val="24"/>
              </w:rPr>
              <w:instrText xml:space="preserve"> </w:instrText>
            </w:r>
            <w:r>
              <w:rPr>
                <w:rFonts w:hint="eastAsia" w:hAnsi="宋体"/>
                <w:sz w:val="24"/>
              </w:rPr>
              <w:instrText xml:space="preserve">= 2 \* ROMAN</w:instrText>
            </w:r>
            <w:r>
              <w:rPr>
                <w:rFonts w:hAnsi="宋体"/>
                <w:sz w:val="24"/>
              </w:rPr>
              <w:instrText xml:space="preserve"> </w:instrText>
            </w:r>
            <w:r>
              <w:rPr>
                <w:rFonts w:hAnsi="宋体"/>
                <w:sz w:val="24"/>
              </w:rPr>
              <w:fldChar w:fldCharType="separate"/>
            </w:r>
            <w:r>
              <w:rPr>
                <w:rFonts w:hAnsi="宋体"/>
                <w:sz w:val="24"/>
              </w:rPr>
              <w:t>II</w:t>
            </w:r>
            <w:r>
              <w:rPr>
                <w:rFonts w:hAnsi="宋体"/>
                <w:sz w:val="24"/>
              </w:rPr>
              <w:fldChar w:fldCharType="end"/>
            </w:r>
            <w:r>
              <w:rPr>
                <w:rFonts w:hint="eastAsia" w:hAnsi="宋体"/>
                <w:sz w:val="24"/>
              </w:rPr>
              <w:t>类水质标准；永春河源头</w:t>
            </w:r>
            <w:r>
              <w:rPr>
                <w:rFonts w:hAnsi="宋体"/>
                <w:sz w:val="24"/>
              </w:rPr>
              <w:t>-</w:t>
            </w:r>
            <w:r>
              <w:rPr>
                <w:rFonts w:hint="eastAsia" w:hAnsi="宋体"/>
                <w:sz w:val="24"/>
              </w:rPr>
              <w:t>入澜沧江口地表水功能为农业用水、工业用水，执行《地表水环境质量标准》（</w:t>
            </w:r>
            <w:r>
              <w:rPr>
                <w:rFonts w:hAnsi="宋体"/>
                <w:sz w:val="24"/>
              </w:rPr>
              <w:t>GB3838-2002</w:t>
            </w:r>
            <w:r>
              <w:rPr>
                <w:rFonts w:hint="eastAsia" w:hAnsi="宋体"/>
                <w:sz w:val="24"/>
              </w:rPr>
              <w:t>）Ⅳ类水质标准。</w:t>
            </w:r>
          </w:p>
          <w:p>
            <w:pPr>
              <w:spacing w:line="360" w:lineRule="auto"/>
              <w:ind w:firstLine="480" w:firstLineChars="200"/>
              <w:rPr>
                <w:rFonts w:hAnsi="宋体"/>
                <w:sz w:val="24"/>
              </w:rPr>
            </w:pPr>
            <w:r>
              <w:rPr>
                <w:rFonts w:hint="eastAsia" w:hAnsi="宋体"/>
                <w:sz w:val="24"/>
              </w:rPr>
              <w:t>（3）</w:t>
            </w:r>
            <w:r>
              <w:rPr>
                <w:rFonts w:hAnsi="宋体"/>
                <w:sz w:val="24"/>
              </w:rPr>
              <w:t>声环境质量状况：</w:t>
            </w:r>
          </w:p>
          <w:p>
            <w:pPr>
              <w:spacing w:line="360" w:lineRule="auto"/>
              <w:ind w:firstLine="480" w:firstLineChars="200"/>
              <w:rPr>
                <w:rFonts w:hAnsi="宋体"/>
                <w:sz w:val="24"/>
              </w:rPr>
            </w:pPr>
            <w:r>
              <w:rPr>
                <w:rFonts w:hAnsi="宋体"/>
                <w:sz w:val="24"/>
              </w:rPr>
              <w:t>项目位于</w:t>
            </w:r>
            <w:r>
              <w:rPr>
                <w:rFonts w:hint="eastAsia" w:hAnsi="宋体"/>
                <w:sz w:val="24"/>
              </w:rPr>
              <w:t>维西县保和镇，根据</w:t>
            </w:r>
            <w:r>
              <w:rPr>
                <w:rFonts w:hAnsi="宋体"/>
                <w:sz w:val="24"/>
              </w:rPr>
              <w:t>现场调查，评价区内无</w:t>
            </w:r>
            <w:r>
              <w:rPr>
                <w:rFonts w:hint="eastAsia" w:hAnsi="宋体"/>
                <w:sz w:val="24"/>
              </w:rPr>
              <w:t>噪声</w:t>
            </w:r>
            <w:r>
              <w:rPr>
                <w:rFonts w:hAnsi="宋体"/>
                <w:sz w:val="24"/>
              </w:rPr>
              <w:t>污染源</w:t>
            </w:r>
            <w:r>
              <w:rPr>
                <w:rFonts w:hint="eastAsia" w:hAnsi="宋体"/>
                <w:sz w:val="24"/>
              </w:rPr>
              <w:t>，</w:t>
            </w:r>
            <w:r>
              <w:rPr>
                <w:rFonts w:hAnsi="宋体"/>
                <w:sz w:val="24"/>
              </w:rPr>
              <w:t>主要噪声来源于</w:t>
            </w:r>
            <w:r>
              <w:rPr>
                <w:rFonts w:hint="eastAsia" w:hAnsi="宋体"/>
                <w:sz w:val="24"/>
              </w:rPr>
              <w:t>城市</w:t>
            </w:r>
            <w:r>
              <w:rPr>
                <w:rFonts w:hAnsi="宋体"/>
                <w:sz w:val="24"/>
              </w:rPr>
              <w:t>交通干道交通噪声</w:t>
            </w:r>
            <w:r>
              <w:rPr>
                <w:rFonts w:hint="eastAsia" w:hAnsi="宋体"/>
                <w:sz w:val="24"/>
              </w:rPr>
              <w:t>和</w:t>
            </w:r>
            <w:r>
              <w:rPr>
                <w:rFonts w:hAnsi="宋体"/>
                <w:sz w:val="24"/>
              </w:rPr>
              <w:t>附近</w:t>
            </w:r>
            <w:r>
              <w:rPr>
                <w:rFonts w:hint="eastAsia" w:hAnsi="宋体"/>
                <w:sz w:val="24"/>
              </w:rPr>
              <w:t>超市居民</w:t>
            </w:r>
            <w:r>
              <w:rPr>
                <w:rFonts w:hAnsi="宋体"/>
                <w:sz w:val="24"/>
              </w:rPr>
              <w:t>的生活噪声。</w:t>
            </w:r>
            <w:r>
              <w:rPr>
                <w:rFonts w:hint="eastAsia"/>
                <w:sz w:val="24"/>
              </w:rPr>
              <w:t>项目所在区域道路</w:t>
            </w:r>
            <w:r>
              <w:rPr>
                <w:sz w:val="24"/>
              </w:rPr>
              <w:t>两侧执行</w:t>
            </w:r>
            <w:r>
              <w:rPr>
                <w:rFonts w:hint="eastAsia"/>
                <w:sz w:val="24"/>
              </w:rPr>
              <w:t>《声环境质量标准》</w:t>
            </w:r>
            <w:r>
              <w:rPr>
                <w:rFonts w:hAnsi="宋体"/>
                <w:sz w:val="24"/>
              </w:rPr>
              <w:t>（GB3096-2008）</w:t>
            </w:r>
            <w:r>
              <w:rPr>
                <w:rFonts w:hint="eastAsia"/>
                <w:sz w:val="24"/>
              </w:rPr>
              <w:t>中的4</w:t>
            </w:r>
            <w:r>
              <w:rPr>
                <w:sz w:val="24"/>
              </w:rPr>
              <w:t>a类标准</w:t>
            </w:r>
            <w:r>
              <w:rPr>
                <w:rFonts w:hint="eastAsia"/>
                <w:sz w:val="24"/>
              </w:rPr>
              <w:t>，</w:t>
            </w:r>
            <w:r>
              <w:rPr>
                <w:sz w:val="24"/>
              </w:rPr>
              <w:t>其他区域执行</w:t>
            </w:r>
            <w:r>
              <w:rPr>
                <w:rFonts w:hint="eastAsia"/>
                <w:sz w:val="24"/>
              </w:rPr>
              <w:t>2类</w:t>
            </w:r>
            <w:r>
              <w:rPr>
                <w:sz w:val="24"/>
              </w:rPr>
              <w:t>标准。</w:t>
            </w:r>
          </w:p>
          <w:p>
            <w:pPr>
              <w:spacing w:line="360" w:lineRule="auto"/>
              <w:ind w:firstLine="480" w:firstLineChars="200"/>
              <w:rPr>
                <w:rFonts w:hAnsi="宋体"/>
                <w:sz w:val="24"/>
              </w:rPr>
            </w:pPr>
            <w:r>
              <w:rPr>
                <w:rFonts w:hint="eastAsia" w:hAnsi="宋体"/>
                <w:sz w:val="24"/>
              </w:rPr>
              <w:t>（4）</w:t>
            </w:r>
            <w:r>
              <w:rPr>
                <w:rFonts w:hAnsi="宋体"/>
                <w:sz w:val="24"/>
              </w:rPr>
              <w:t>生态环境质量状况：</w:t>
            </w:r>
          </w:p>
          <w:p>
            <w:pPr>
              <w:spacing w:line="360" w:lineRule="auto"/>
              <w:ind w:firstLine="480" w:firstLineChars="200"/>
              <w:rPr>
                <w:rFonts w:hAnsi="宋体"/>
                <w:sz w:val="24"/>
              </w:rPr>
            </w:pPr>
            <w:r>
              <w:rPr>
                <w:rFonts w:hint="eastAsia" w:hAnsi="宋体"/>
                <w:sz w:val="24"/>
              </w:rPr>
              <w:t>评价区域位于城镇内，</w:t>
            </w:r>
            <w:r>
              <w:rPr>
                <w:rFonts w:hAnsi="宋体"/>
                <w:sz w:val="24"/>
              </w:rPr>
              <w:t>随着城市化进程的加快，建设</w:t>
            </w:r>
            <w:r>
              <w:rPr>
                <w:rFonts w:hint="eastAsia" w:hAnsi="宋体"/>
                <w:sz w:val="24"/>
              </w:rPr>
              <w:t>用</w:t>
            </w:r>
            <w:r>
              <w:rPr>
                <w:rFonts w:hAnsi="宋体"/>
                <w:sz w:val="24"/>
              </w:rPr>
              <w:t>地周围土地利用形势正从农业生态系统为主向城市生态系统转变过程中</w:t>
            </w:r>
            <w:r>
              <w:rPr>
                <w:rFonts w:hint="eastAsia" w:hAnsi="宋体"/>
                <w:sz w:val="24"/>
              </w:rPr>
              <w:t>。人类活动频繁，已不具备野生动物良好的栖息条件。根据现场调查，项目区周围现主要植被类型主要为荒地，植被覆盖率低，生态环境脆弱，生态调节能力较差。</w:t>
            </w:r>
          </w:p>
          <w:p>
            <w:pPr>
              <w:spacing w:line="360" w:lineRule="auto"/>
              <w:ind w:firstLine="482" w:firstLineChars="200"/>
              <w:rPr>
                <w:rFonts w:hint="eastAsia" w:hAnsi="宋体"/>
                <w:b/>
                <w:sz w:val="24"/>
              </w:rPr>
            </w:pPr>
            <w:r>
              <w:rPr>
                <w:rFonts w:hint="eastAsia" w:hAnsi="宋体"/>
                <w:b/>
                <w:sz w:val="24"/>
              </w:rPr>
              <w:t>4、环境影响分析结论</w:t>
            </w:r>
          </w:p>
          <w:p>
            <w:pPr>
              <w:spacing w:line="360" w:lineRule="auto"/>
              <w:ind w:firstLine="480" w:firstLineChars="200"/>
              <w:rPr>
                <w:rFonts w:hint="eastAsia" w:hAnsi="宋体"/>
                <w:sz w:val="24"/>
              </w:rPr>
            </w:pPr>
            <w:r>
              <w:rPr>
                <w:rFonts w:hint="eastAsia" w:hAnsi="宋体"/>
                <w:sz w:val="24"/>
              </w:rPr>
              <w:t>（1）环境空气</w:t>
            </w:r>
          </w:p>
          <w:p>
            <w:pPr>
              <w:spacing w:line="360" w:lineRule="auto"/>
              <w:ind w:firstLine="480" w:firstLineChars="200"/>
              <w:rPr>
                <w:rFonts w:hint="eastAsia" w:hAnsi="宋体"/>
                <w:sz w:val="24"/>
              </w:rPr>
            </w:pPr>
            <w:r>
              <w:rPr>
                <w:rFonts w:hint="eastAsia" w:hAnsi="宋体"/>
                <w:sz w:val="24"/>
              </w:rPr>
              <w:t>①</w:t>
            </w:r>
            <w:r>
              <w:rPr>
                <w:rFonts w:hAnsi="宋体"/>
                <w:sz w:val="24"/>
              </w:rPr>
              <w:t>施工期：施工期影响大气环境的废气排放源主要为交通运输产生的道路扬尘、汽车尾气和挖掘机、推土机外排废气。只要加强管理、切实落实好相关措施，施工场地扬尘对环境的影响将会大大降低，同时其对环境的影响也将随施工的结束而消失。</w:t>
            </w:r>
          </w:p>
          <w:p>
            <w:pPr>
              <w:spacing w:line="360" w:lineRule="auto"/>
              <w:ind w:firstLine="480" w:firstLineChars="200"/>
              <w:rPr>
                <w:rFonts w:hAnsi="宋体"/>
                <w:sz w:val="24"/>
              </w:rPr>
            </w:pPr>
            <w:r>
              <w:rPr>
                <w:rFonts w:hint="eastAsia" w:hAnsi="宋体"/>
                <w:sz w:val="24"/>
              </w:rPr>
              <w:t>②营运期：</w:t>
            </w:r>
            <w:r>
              <w:rPr>
                <w:rFonts w:hAnsi="新宋体" w:eastAsia="新宋体"/>
                <w:sz w:val="24"/>
              </w:rPr>
              <w:t>项目运营期空气污染主要源于汽车尾气</w:t>
            </w:r>
            <w:r>
              <w:rPr>
                <w:rFonts w:hint="eastAsia" w:hAnsi="新宋体" w:eastAsia="新宋体"/>
                <w:sz w:val="24"/>
              </w:rPr>
              <w:t>，其次为垃圾收集点、化粪池、臭味</w:t>
            </w:r>
            <w:r>
              <w:rPr>
                <w:rFonts w:hAnsi="新宋体" w:eastAsia="新宋体"/>
                <w:sz w:val="24"/>
              </w:rPr>
              <w:t>。</w:t>
            </w:r>
            <w:r>
              <w:rPr>
                <w:rFonts w:hint="eastAsia" w:hAnsi="新宋体" w:eastAsia="新宋体"/>
                <w:sz w:val="24"/>
              </w:rPr>
              <w:t>项目区内</w:t>
            </w:r>
            <w:r>
              <w:rPr>
                <w:rFonts w:hAnsi="新宋体" w:eastAsia="新宋体"/>
                <w:sz w:val="24"/>
              </w:rPr>
              <w:t>车辆排放尾气的时间短，而且国家对汽车尾气排放有严格的规定，汽车尾气对环境的影响可以接受。同时设计中采取的大面积绿化将会使项目区域的环境空气得到一定的净化。</w:t>
            </w:r>
            <w:r>
              <w:rPr>
                <w:rFonts w:hint="eastAsia" w:hAnsi="新宋体" w:eastAsia="新宋体"/>
                <w:sz w:val="24"/>
              </w:rPr>
              <w:t>垃圾收集点、中水处理站臭味产生量较小，采取减缓措施后，对环境影响较小。</w:t>
            </w:r>
          </w:p>
          <w:p>
            <w:pPr>
              <w:adjustRightInd w:val="0"/>
              <w:spacing w:line="360" w:lineRule="auto"/>
              <w:ind w:firstLine="480" w:firstLineChars="200"/>
              <w:rPr>
                <w:rFonts w:hint="eastAsia" w:hAnsi="新宋体" w:eastAsia="新宋体"/>
                <w:sz w:val="24"/>
              </w:rPr>
            </w:pPr>
            <w:r>
              <w:rPr>
                <w:rFonts w:hAnsi="新宋体" w:eastAsia="新宋体"/>
                <w:sz w:val="24"/>
              </w:rPr>
              <w:t>总的来说，通过采取必要的措施后，项目</w:t>
            </w:r>
            <w:r>
              <w:rPr>
                <w:rFonts w:hint="eastAsia" w:hAnsi="新宋体" w:eastAsia="新宋体"/>
                <w:sz w:val="24"/>
              </w:rPr>
              <w:t>营运期</w:t>
            </w:r>
            <w:r>
              <w:rPr>
                <w:rFonts w:hAnsi="新宋体" w:eastAsia="新宋体"/>
                <w:sz w:val="24"/>
              </w:rPr>
              <w:t>对环境空气的影响可以接受，不会降低当地空气环境质量。</w:t>
            </w:r>
          </w:p>
          <w:p>
            <w:pPr>
              <w:adjustRightInd w:val="0"/>
              <w:spacing w:line="360" w:lineRule="auto"/>
              <w:rPr>
                <w:rFonts w:hint="eastAsia" w:hAnsi="新宋体" w:eastAsia="新宋体"/>
                <w:sz w:val="24"/>
              </w:rPr>
            </w:pPr>
          </w:p>
          <w:p>
            <w:pPr>
              <w:spacing w:line="360" w:lineRule="auto"/>
              <w:ind w:firstLine="480" w:firstLineChars="200"/>
              <w:rPr>
                <w:rFonts w:hint="eastAsia"/>
                <w:sz w:val="24"/>
              </w:rPr>
            </w:pPr>
            <w:r>
              <w:rPr>
                <w:rFonts w:hint="eastAsia"/>
                <w:sz w:val="24"/>
              </w:rPr>
              <w:t>（2）水环境</w:t>
            </w:r>
          </w:p>
          <w:p>
            <w:pPr>
              <w:spacing w:line="360" w:lineRule="auto"/>
              <w:ind w:firstLine="480" w:firstLineChars="200"/>
              <w:rPr>
                <w:rFonts w:hint="eastAsia" w:hAnsi="宋体"/>
                <w:sz w:val="24"/>
              </w:rPr>
            </w:pPr>
            <w:r>
              <w:rPr>
                <w:rFonts w:hint="eastAsia" w:hAnsi="宋体"/>
                <w:sz w:val="24"/>
              </w:rPr>
              <w:t>①</w:t>
            </w:r>
            <w:r>
              <w:rPr>
                <w:rFonts w:hAnsi="宋体"/>
                <w:sz w:val="24"/>
              </w:rPr>
              <w:t>施工期</w:t>
            </w:r>
            <w:r>
              <w:rPr>
                <w:rFonts w:hint="eastAsia" w:hAnsi="宋体"/>
                <w:sz w:val="24"/>
              </w:rPr>
              <w:t>：</w:t>
            </w:r>
            <w:r>
              <w:rPr>
                <w:rStyle w:val="68"/>
                <w:rFonts w:hint="eastAsia" w:hAnsi="宋体"/>
                <w:sz w:val="24"/>
              </w:rPr>
              <w:t xml:space="preserve"> </w:t>
            </w:r>
            <w:r>
              <w:rPr>
                <w:sz w:val="24"/>
              </w:rPr>
              <w:t>施工过程中产生的</w:t>
            </w:r>
            <w:r>
              <w:rPr>
                <w:rFonts w:hint="eastAsia"/>
                <w:sz w:val="24"/>
              </w:rPr>
              <w:t>基坑涌水、</w:t>
            </w:r>
            <w:r>
              <w:rPr>
                <w:sz w:val="24"/>
              </w:rPr>
              <w:t>施工废水、施工人员生活污水</w:t>
            </w:r>
            <w:r>
              <w:rPr>
                <w:rFonts w:hint="eastAsia"/>
                <w:sz w:val="24"/>
              </w:rPr>
              <w:t>、</w:t>
            </w:r>
            <w:r>
              <w:rPr>
                <w:sz w:val="24"/>
              </w:rPr>
              <w:t>雨季地表径流、</w:t>
            </w:r>
            <w:r>
              <w:rPr>
                <w:rFonts w:hint="eastAsia"/>
                <w:sz w:val="24"/>
              </w:rPr>
              <w:t>施工机械冲洗废水</w:t>
            </w:r>
            <w:r>
              <w:rPr>
                <w:sz w:val="24"/>
              </w:rPr>
              <w:t>等如不进行处理，将会对施工场</w:t>
            </w:r>
            <w:r>
              <w:rPr>
                <w:rFonts w:hint="eastAsia"/>
                <w:sz w:val="24"/>
              </w:rPr>
              <w:t>地的市政管网产生不利影响</w:t>
            </w:r>
            <w:r>
              <w:rPr>
                <w:sz w:val="24"/>
              </w:rPr>
              <w:t>。通过</w:t>
            </w:r>
            <w:r>
              <w:rPr>
                <w:rFonts w:hAnsi="宋体"/>
                <w:sz w:val="24"/>
              </w:rPr>
              <w:t>设置收集沟和临时沉淀池沉淀后回用于施工过程和施工场洒水降尘，不外排；</w:t>
            </w:r>
            <w:r>
              <w:rPr>
                <w:sz w:val="24"/>
              </w:rPr>
              <w:t>施工期</w:t>
            </w:r>
            <w:r>
              <w:rPr>
                <w:rFonts w:hint="eastAsia"/>
                <w:sz w:val="24"/>
              </w:rPr>
              <w:t>废水对周边环境产生的不利影响可以得到控制，产生的影响可以接受</w:t>
            </w:r>
            <w:r>
              <w:rPr>
                <w:sz w:val="24"/>
              </w:rPr>
              <w:t>。</w:t>
            </w:r>
            <w:r>
              <w:rPr>
                <w:rFonts w:hint="eastAsia"/>
                <w:sz w:val="24"/>
              </w:rPr>
              <w:t>施工期通过对头道河岸边施工的围挡，以及河道内的导流工程，减少施工扰动对头道河水质影响。</w:t>
            </w:r>
          </w:p>
          <w:p>
            <w:pPr>
              <w:spacing w:line="360" w:lineRule="auto"/>
              <w:ind w:firstLine="480" w:firstLineChars="200"/>
              <w:rPr>
                <w:rFonts w:hint="eastAsia" w:hAnsi="宋体"/>
                <w:sz w:val="24"/>
              </w:rPr>
            </w:pPr>
            <w:r>
              <w:rPr>
                <w:rFonts w:hint="eastAsia" w:hAnsi="宋体"/>
                <w:sz w:val="24"/>
              </w:rPr>
              <w:t>②营运期：</w:t>
            </w:r>
            <w:r>
              <w:rPr>
                <w:rFonts w:hAnsi="宋体"/>
                <w:sz w:val="24"/>
              </w:rPr>
              <w:t>本项目排水体制实行雨、污分流，雨水采用有组织排水</w:t>
            </w:r>
            <w:r>
              <w:rPr>
                <w:rFonts w:hint="eastAsia" w:hAnsi="宋体"/>
                <w:sz w:val="24"/>
              </w:rPr>
              <w:t>。</w:t>
            </w:r>
          </w:p>
          <w:p>
            <w:pPr>
              <w:spacing w:line="360" w:lineRule="auto"/>
              <w:ind w:firstLine="480" w:firstLineChars="200"/>
              <w:rPr>
                <w:rFonts w:hint="eastAsia" w:hAnsi="宋体"/>
                <w:sz w:val="24"/>
              </w:rPr>
            </w:pPr>
            <w:r>
              <w:rPr>
                <w:rFonts w:hAnsi="宋体"/>
                <w:sz w:val="24"/>
              </w:rPr>
              <w:t>废水经化粪池处理</w:t>
            </w:r>
            <w:r>
              <w:rPr>
                <w:rFonts w:hint="eastAsia" w:hAnsi="宋体"/>
                <w:sz w:val="24"/>
              </w:rPr>
              <w:t>后</w:t>
            </w:r>
            <w:r>
              <w:rPr>
                <w:rFonts w:hAnsi="宋体"/>
                <w:sz w:val="24"/>
              </w:rPr>
              <w:t>，</w:t>
            </w:r>
            <w:r>
              <w:rPr>
                <w:rFonts w:hint="eastAsia" w:hAnsi="宋体"/>
                <w:sz w:val="24"/>
              </w:rPr>
              <w:t>达到《污水综合排放标准》（GB8978-1996）表4三级标准和</w:t>
            </w:r>
            <w:r>
              <w:rPr>
                <w:rFonts w:hAnsi="宋体"/>
                <w:sz w:val="24"/>
              </w:rPr>
              <w:t>《</w:t>
            </w:r>
            <w:r>
              <w:rPr>
                <w:rFonts w:hint="eastAsia" w:hAnsi="宋体"/>
                <w:sz w:val="24"/>
              </w:rPr>
              <w:t>污水排入城镇下水道水质标准</w:t>
            </w:r>
            <w:r>
              <w:rPr>
                <w:rFonts w:hAnsi="宋体"/>
                <w:sz w:val="24"/>
              </w:rPr>
              <w:t>》</w:t>
            </w:r>
            <w:r>
              <w:rPr>
                <w:rFonts w:hint="eastAsia" w:hAnsi="宋体"/>
                <w:sz w:val="24"/>
              </w:rPr>
              <w:t>（</w:t>
            </w:r>
            <w:r>
              <w:rPr>
                <w:rFonts w:hint="eastAsia"/>
                <w:sz w:val="24"/>
              </w:rPr>
              <w:t>CJ343-2010）</w:t>
            </w:r>
            <w:r>
              <w:rPr>
                <w:rFonts w:hAnsi="宋体"/>
                <w:sz w:val="24"/>
              </w:rPr>
              <w:t>表</w:t>
            </w:r>
            <w:r>
              <w:rPr>
                <w:rFonts w:hint="eastAsia"/>
                <w:sz w:val="24"/>
              </w:rPr>
              <w:t>1中B</w:t>
            </w:r>
            <w:r>
              <w:rPr>
                <w:rFonts w:hint="eastAsia" w:hAnsi="宋体"/>
                <w:sz w:val="24"/>
              </w:rPr>
              <w:t>等</w:t>
            </w:r>
            <w:r>
              <w:rPr>
                <w:rFonts w:hAnsi="宋体"/>
                <w:sz w:val="24"/>
              </w:rPr>
              <w:t>级标准后，</w:t>
            </w:r>
            <w:r>
              <w:rPr>
                <w:rFonts w:hint="eastAsia" w:hAnsi="宋体"/>
                <w:sz w:val="24"/>
              </w:rPr>
              <w:t>进入市政污水管网，最终进入维西县污水处理厂处理。运行期，项目不排放废水进入头道河，河道两岸多为景观步行、自行车道路，运行期对头道河基本没有影响。</w:t>
            </w:r>
          </w:p>
          <w:p>
            <w:pPr>
              <w:spacing w:line="360" w:lineRule="auto"/>
              <w:ind w:firstLine="480" w:firstLineChars="200"/>
              <w:rPr>
                <w:rFonts w:hint="eastAsia" w:hAnsi="宋体"/>
                <w:sz w:val="24"/>
              </w:rPr>
            </w:pPr>
            <w:r>
              <w:rPr>
                <w:rFonts w:hint="eastAsia" w:hAnsi="宋体"/>
                <w:sz w:val="24"/>
              </w:rPr>
              <w:t>（3）固体废弃物</w:t>
            </w:r>
          </w:p>
          <w:p>
            <w:pPr>
              <w:spacing w:line="360" w:lineRule="auto"/>
              <w:ind w:firstLine="480" w:firstLineChars="200"/>
              <w:rPr>
                <w:rFonts w:hint="eastAsia" w:hAnsi="宋体"/>
                <w:sz w:val="24"/>
              </w:rPr>
            </w:pPr>
            <w:r>
              <w:rPr>
                <w:rFonts w:hint="eastAsia" w:hAnsi="宋体"/>
                <w:sz w:val="24"/>
              </w:rPr>
              <w:t>①</w:t>
            </w:r>
            <w:r>
              <w:rPr>
                <w:rFonts w:hAnsi="宋体"/>
                <w:sz w:val="24"/>
              </w:rPr>
              <w:t>施工期</w:t>
            </w:r>
            <w:r>
              <w:rPr>
                <w:rFonts w:hint="eastAsia" w:hAnsi="宋体"/>
                <w:sz w:val="24"/>
              </w:rPr>
              <w:t>：</w:t>
            </w:r>
            <w:r>
              <w:rPr>
                <w:rFonts w:hint="eastAsia"/>
                <w:sz w:val="24"/>
              </w:rPr>
              <w:t>本项目施工期产生的土石方全部平衡利用，不产生废弃土石方；废弃建筑材料经集中收集后</w:t>
            </w:r>
            <w:r>
              <w:rPr>
                <w:rFonts w:hint="eastAsia"/>
                <w:sz w:val="24"/>
                <w:szCs w:val="28"/>
              </w:rPr>
              <w:t>运至指定堆放点</w:t>
            </w:r>
            <w:r>
              <w:rPr>
                <w:rFonts w:hint="eastAsia"/>
                <w:sz w:val="24"/>
              </w:rPr>
              <w:t>；对外环境的影响较小。只要加强管理，施工人员产生的生活垃圾</w:t>
            </w:r>
            <w:r>
              <w:rPr>
                <w:rFonts w:hint="eastAsia" w:hAnsi="宋体"/>
                <w:sz w:val="24"/>
              </w:rPr>
              <w:t>集中收集后，请环卫部门及时清运处置。</w:t>
            </w:r>
            <w:r>
              <w:rPr>
                <w:rFonts w:hint="eastAsia"/>
                <w:sz w:val="24"/>
              </w:rPr>
              <w:t>因此本项目施工期固体废弃物对环境的影响可以接受。</w:t>
            </w:r>
          </w:p>
          <w:p>
            <w:pPr>
              <w:spacing w:line="360" w:lineRule="auto"/>
              <w:ind w:firstLine="480" w:firstLineChars="200"/>
              <w:rPr>
                <w:rFonts w:hint="eastAsia" w:hAnsi="宋体"/>
                <w:sz w:val="24"/>
              </w:rPr>
            </w:pPr>
            <w:r>
              <w:rPr>
                <w:rFonts w:hint="eastAsia" w:hAnsi="宋体"/>
                <w:sz w:val="24"/>
              </w:rPr>
              <w:t>②营运期：项目区内</w:t>
            </w:r>
            <w:r>
              <w:rPr>
                <w:rFonts w:hAnsi="宋体"/>
                <w:sz w:val="24"/>
              </w:rPr>
              <w:t>生活垃圾、商业垃圾合计产生量1468.44t/a；</w:t>
            </w:r>
            <w:r>
              <w:rPr>
                <w:rFonts w:hint="eastAsia" w:hAnsi="宋体"/>
                <w:sz w:val="24"/>
              </w:rPr>
              <w:t>该部分垃圾</w:t>
            </w:r>
            <w:r>
              <w:rPr>
                <w:rFonts w:hAnsi="宋体"/>
                <w:sz w:val="24"/>
              </w:rPr>
              <w:t>集中</w:t>
            </w:r>
            <w:r>
              <w:rPr>
                <w:rFonts w:hint="eastAsia" w:hAnsi="宋体"/>
                <w:sz w:val="24"/>
              </w:rPr>
              <w:t>预处理</w:t>
            </w:r>
            <w:r>
              <w:rPr>
                <w:rFonts w:hAnsi="宋体"/>
                <w:sz w:val="24"/>
              </w:rPr>
              <w:t>后委托环卫部门统一清运</w:t>
            </w:r>
            <w:r>
              <w:rPr>
                <w:rFonts w:hint="eastAsia" w:hAnsi="宋体"/>
                <w:sz w:val="24"/>
              </w:rPr>
              <w:t>。</w:t>
            </w:r>
            <w:r>
              <w:rPr>
                <w:rFonts w:hAnsi="宋体"/>
                <w:sz w:val="24"/>
              </w:rPr>
              <w:t>污泥</w:t>
            </w:r>
            <w:r>
              <w:rPr>
                <w:rFonts w:hint="eastAsia" w:hAnsi="宋体"/>
                <w:sz w:val="24"/>
              </w:rPr>
              <w:t>定期清掏收集后清运处理。</w:t>
            </w:r>
          </w:p>
          <w:p>
            <w:pPr>
              <w:spacing w:line="360" w:lineRule="auto"/>
              <w:ind w:firstLine="480" w:firstLineChars="200"/>
              <w:rPr>
                <w:rFonts w:hint="eastAsia" w:hAnsi="宋体"/>
                <w:sz w:val="24"/>
              </w:rPr>
            </w:pPr>
            <w:r>
              <w:rPr>
                <w:rFonts w:hint="eastAsia" w:hAnsi="宋体"/>
                <w:sz w:val="24"/>
              </w:rPr>
              <w:t>（4）噪声</w:t>
            </w:r>
          </w:p>
          <w:p>
            <w:pPr>
              <w:spacing w:line="360" w:lineRule="auto"/>
              <w:ind w:firstLine="480" w:firstLineChars="200"/>
              <w:rPr>
                <w:rFonts w:hint="eastAsia" w:hAnsi="宋体"/>
                <w:sz w:val="24"/>
              </w:rPr>
            </w:pPr>
            <w:r>
              <w:rPr>
                <w:rFonts w:hint="eastAsia" w:hAnsi="宋体"/>
                <w:sz w:val="24"/>
              </w:rPr>
              <w:t>①</w:t>
            </w:r>
            <w:r>
              <w:rPr>
                <w:rFonts w:hAnsi="宋体"/>
                <w:sz w:val="24"/>
              </w:rPr>
              <w:t>施工期</w:t>
            </w:r>
            <w:r>
              <w:rPr>
                <w:rFonts w:hint="eastAsia" w:hAnsi="宋体"/>
                <w:sz w:val="24"/>
              </w:rPr>
              <w:t>：</w:t>
            </w:r>
            <w:r>
              <w:rPr>
                <w:rFonts w:hAnsi="宋体"/>
                <w:sz w:val="24"/>
              </w:rPr>
              <w:t>施工期噪声主要来自不同施工阶段所使用的不同施工机械的非连续性作业噪声。在一般情况下，施工噪声不会超标。</w:t>
            </w:r>
            <w:r>
              <w:rPr>
                <w:sz w:val="24"/>
              </w:rPr>
              <w:t>在基础</w:t>
            </w:r>
            <w:r>
              <w:rPr>
                <w:rFonts w:hint="eastAsia"/>
                <w:sz w:val="24"/>
              </w:rPr>
              <w:t>开挖</w:t>
            </w:r>
            <w:r>
              <w:rPr>
                <w:sz w:val="24"/>
              </w:rPr>
              <w:t>阶段，昼间</w:t>
            </w:r>
            <w:r>
              <w:rPr>
                <w:rFonts w:hint="eastAsia"/>
                <w:sz w:val="24"/>
              </w:rPr>
              <w:t>15</w:t>
            </w:r>
            <w:r>
              <w:rPr>
                <w:sz w:val="24"/>
              </w:rPr>
              <w:t>m、夜间</w:t>
            </w:r>
            <w:r>
              <w:rPr>
                <w:rFonts w:hint="eastAsia"/>
                <w:sz w:val="24"/>
              </w:rPr>
              <w:t>70</w:t>
            </w:r>
            <w:r>
              <w:rPr>
                <w:sz w:val="24"/>
              </w:rPr>
              <w:t>m处的预测值能满足GB12523-2011《建筑施工场界环境噪声排放标准》；在</w:t>
            </w:r>
            <w:r>
              <w:rPr>
                <w:rFonts w:hAnsi="宋体"/>
                <w:sz w:val="24"/>
              </w:rPr>
              <w:t>底板与结构阶段</w:t>
            </w:r>
            <w:r>
              <w:rPr>
                <w:sz w:val="24"/>
              </w:rPr>
              <w:t>，昼间</w:t>
            </w:r>
            <w:r>
              <w:rPr>
                <w:rFonts w:hint="eastAsia"/>
                <w:sz w:val="24"/>
              </w:rPr>
              <w:t>40</w:t>
            </w:r>
            <w:r>
              <w:rPr>
                <w:sz w:val="24"/>
              </w:rPr>
              <w:t>m、夜间</w:t>
            </w:r>
            <w:r>
              <w:rPr>
                <w:rFonts w:hint="eastAsia"/>
                <w:sz w:val="24"/>
              </w:rPr>
              <w:t>200</w:t>
            </w:r>
            <w:r>
              <w:rPr>
                <w:sz w:val="24"/>
              </w:rPr>
              <w:t>m处的预测值能满足GB12523-2011《建筑施工场界环境噪声排放标准》；在</w:t>
            </w:r>
            <w:r>
              <w:rPr>
                <w:rFonts w:hAnsi="宋体"/>
                <w:sz w:val="24"/>
              </w:rPr>
              <w:t>装修安装阶段</w:t>
            </w:r>
            <w:r>
              <w:rPr>
                <w:sz w:val="24"/>
              </w:rPr>
              <w:t>，昼间</w:t>
            </w:r>
            <w:r>
              <w:rPr>
                <w:rFonts w:hint="eastAsia"/>
                <w:sz w:val="24"/>
              </w:rPr>
              <w:t>70</w:t>
            </w:r>
            <w:r>
              <w:rPr>
                <w:sz w:val="24"/>
              </w:rPr>
              <w:t>m、夜间</w:t>
            </w:r>
            <w:r>
              <w:rPr>
                <w:rFonts w:hint="eastAsia"/>
                <w:sz w:val="24"/>
              </w:rPr>
              <w:t>300</w:t>
            </w:r>
            <w:r>
              <w:rPr>
                <w:sz w:val="24"/>
              </w:rPr>
              <w:t>m以外的预测值才能满足GB12523-2011《建筑施工场界环境噪声排放标准》</w:t>
            </w:r>
            <w:r>
              <w:rPr>
                <w:rFonts w:hint="eastAsia"/>
                <w:sz w:val="24"/>
              </w:rPr>
              <w:t>。</w:t>
            </w:r>
            <w:r>
              <w:rPr>
                <w:rFonts w:hAnsi="宋体"/>
                <w:sz w:val="24"/>
              </w:rPr>
              <w:t>本项目敏感点</w:t>
            </w:r>
            <w:r>
              <w:rPr>
                <w:rFonts w:hint="eastAsia" w:hAnsi="宋体"/>
                <w:sz w:val="24"/>
              </w:rPr>
              <w:t>距离较近，施工机械在夜间施工将会对环境敏感点的居民产生较大影响，</w:t>
            </w:r>
            <w:r>
              <w:rPr>
                <w:sz w:val="24"/>
              </w:rPr>
              <w:t>为了最大限度的降低施工噪声对</w:t>
            </w:r>
            <w:r>
              <w:rPr>
                <w:rFonts w:hint="eastAsia"/>
                <w:sz w:val="24"/>
              </w:rPr>
              <w:t>周边敏感目标</w:t>
            </w:r>
            <w:r>
              <w:rPr>
                <w:sz w:val="24"/>
              </w:rPr>
              <w:t>的影响，在施工期，建设方应合理安排工期，</w:t>
            </w:r>
            <w:r>
              <w:rPr>
                <w:rFonts w:hint="eastAsia" w:hAnsi="宋体"/>
                <w:sz w:val="24"/>
              </w:rPr>
              <w:t>避免夜间施工或者高噪声设备尽量远离环境敏感点一侧，</w:t>
            </w:r>
            <w:r>
              <w:rPr>
                <w:sz w:val="24"/>
              </w:rPr>
              <w:t>尽可能采取降噪措施，</w:t>
            </w:r>
            <w:r>
              <w:rPr>
                <w:rFonts w:hint="eastAsia" w:hAnsi="宋体"/>
                <w:sz w:val="24"/>
              </w:rPr>
              <w:t>这样可以减小施工噪声对周围环境的影响。</w:t>
            </w:r>
          </w:p>
          <w:p>
            <w:pPr>
              <w:spacing w:line="360" w:lineRule="auto"/>
              <w:ind w:firstLine="480" w:firstLineChars="200"/>
              <w:rPr>
                <w:rFonts w:hint="eastAsia" w:hAnsi="宋体"/>
                <w:sz w:val="24"/>
              </w:rPr>
            </w:pPr>
            <w:r>
              <w:rPr>
                <w:rFonts w:hint="eastAsia" w:hAnsi="宋体"/>
                <w:sz w:val="24"/>
              </w:rPr>
              <w:t xml:space="preserve">②营运期： </w:t>
            </w:r>
            <w:r>
              <w:rPr>
                <w:rFonts w:hint="eastAsia" w:hAnsi="新宋体" w:eastAsia="新宋体"/>
                <w:sz w:val="24"/>
              </w:rPr>
              <w:t>通过声环境影响预测评价，本项目营运期可能对声环境造成较大影响的为设备噪声，通过严格按规范布局和采取消声隔声措施，通过距离衰减后，项目运行期噪声对周围环境的影响较小。</w:t>
            </w:r>
          </w:p>
          <w:p>
            <w:pPr>
              <w:spacing w:line="360" w:lineRule="auto"/>
              <w:ind w:firstLine="482" w:firstLineChars="200"/>
              <w:rPr>
                <w:rFonts w:hint="eastAsia" w:hAnsi="宋体"/>
                <w:b/>
                <w:sz w:val="24"/>
              </w:rPr>
            </w:pPr>
            <w:r>
              <w:rPr>
                <w:rFonts w:hint="eastAsia" w:hAnsi="宋体"/>
                <w:b/>
                <w:sz w:val="24"/>
              </w:rPr>
              <w:t>5、产业政策和规划符合性结论</w:t>
            </w:r>
          </w:p>
          <w:p>
            <w:pPr>
              <w:adjustRightInd w:val="0"/>
              <w:spacing w:line="360" w:lineRule="auto"/>
              <w:ind w:firstLine="480" w:firstLineChars="200"/>
              <w:rPr>
                <w:rFonts w:hAnsi="新宋体" w:eastAsia="新宋体"/>
                <w:sz w:val="24"/>
              </w:rPr>
            </w:pPr>
            <w:r>
              <w:rPr>
                <w:rFonts w:hAnsi="新宋体" w:eastAsia="新宋体"/>
                <w:sz w:val="24"/>
              </w:rPr>
              <w:t>经查对《产业结构调整指导目录</w:t>
            </w:r>
            <w:r>
              <w:rPr>
                <w:rFonts w:hint="eastAsia" w:hAnsi="新宋体" w:eastAsia="新宋体"/>
                <w:sz w:val="24"/>
              </w:rPr>
              <w:t>（201</w:t>
            </w:r>
            <w:r>
              <w:rPr>
                <w:rFonts w:hAnsi="新宋体" w:eastAsia="新宋体"/>
                <w:sz w:val="24"/>
              </w:rPr>
              <w:t>9</w:t>
            </w:r>
            <w:r>
              <w:rPr>
                <w:rFonts w:hint="eastAsia" w:hAnsi="新宋体" w:eastAsia="新宋体"/>
                <w:sz w:val="24"/>
              </w:rPr>
              <w:t>年本）</w:t>
            </w:r>
            <w:r>
              <w:rPr>
                <w:rFonts w:hAnsi="新宋体" w:eastAsia="新宋体"/>
                <w:sz w:val="24"/>
              </w:rPr>
              <w:t>》，在限制类、淘汰类未见涉及本项目条款，本项目符合《产业结构调整指导目录</w:t>
            </w:r>
            <w:r>
              <w:rPr>
                <w:rFonts w:hint="eastAsia" w:hAnsi="新宋体" w:eastAsia="新宋体"/>
                <w:sz w:val="24"/>
              </w:rPr>
              <w:t>（201</w:t>
            </w:r>
            <w:r>
              <w:rPr>
                <w:rFonts w:hAnsi="新宋体" w:eastAsia="新宋体"/>
                <w:sz w:val="24"/>
              </w:rPr>
              <w:t>9</w:t>
            </w:r>
            <w:r>
              <w:rPr>
                <w:rFonts w:hint="eastAsia" w:hAnsi="新宋体" w:eastAsia="新宋体"/>
                <w:sz w:val="24"/>
              </w:rPr>
              <w:t>年本）</w:t>
            </w:r>
            <w:r>
              <w:rPr>
                <w:rFonts w:hAnsi="新宋体" w:eastAsia="新宋体"/>
                <w:sz w:val="24"/>
              </w:rPr>
              <w:t>》的政策要求。另外，项目建设内容主要为</w:t>
            </w:r>
            <w:r>
              <w:rPr>
                <w:rFonts w:hint="eastAsia" w:hAnsi="新宋体" w:eastAsia="新宋体"/>
                <w:sz w:val="24"/>
              </w:rPr>
              <w:t>农产品交易中心</w:t>
            </w:r>
            <w:r>
              <w:rPr>
                <w:rFonts w:hAnsi="新宋体" w:eastAsia="新宋体"/>
                <w:sz w:val="24"/>
              </w:rPr>
              <w:t>，符合国家相关产业政策要求。</w:t>
            </w:r>
          </w:p>
          <w:p>
            <w:pPr>
              <w:spacing w:line="360" w:lineRule="auto"/>
              <w:ind w:firstLine="480" w:firstLineChars="200"/>
              <w:rPr>
                <w:rFonts w:hint="eastAsia" w:hAnsi="宋体"/>
                <w:sz w:val="24"/>
              </w:rPr>
            </w:pPr>
            <w:r>
              <w:rPr>
                <w:rFonts w:hint="eastAsia" w:hAnsi="宋体"/>
                <w:sz w:val="24"/>
              </w:rPr>
              <w:t>本项目经迪庆州发展和改革委员会批准建设，取得批复。</w:t>
            </w:r>
          </w:p>
          <w:p>
            <w:pPr>
              <w:spacing w:line="360" w:lineRule="auto"/>
              <w:ind w:firstLine="482" w:firstLineChars="200"/>
              <w:rPr>
                <w:rFonts w:hint="eastAsia" w:hAnsi="宋体"/>
                <w:b/>
                <w:sz w:val="24"/>
              </w:rPr>
            </w:pPr>
            <w:r>
              <w:rPr>
                <w:rFonts w:hint="eastAsia" w:hAnsi="宋体"/>
                <w:b/>
                <w:sz w:val="24"/>
              </w:rPr>
              <w:t>6、项目平面布置合理性结论</w:t>
            </w:r>
          </w:p>
          <w:p>
            <w:pPr>
              <w:spacing w:line="360" w:lineRule="auto"/>
              <w:ind w:firstLine="480" w:firstLineChars="200"/>
              <w:rPr>
                <w:rFonts w:hAnsi="宋体"/>
                <w:sz w:val="24"/>
              </w:rPr>
            </w:pPr>
            <w:r>
              <w:rPr>
                <w:rFonts w:hint="eastAsia" w:hAnsi="宋体"/>
                <w:sz w:val="24"/>
              </w:rPr>
              <w:t>道路的布置满足人流、车流、物流顺畅；场内运输安全可靠，并使场地内、外部运输、装卸、贮存形成一个完整的、连续的运输系统；经营管理及维护方便；避免购物人流与车流的平面交叉。</w:t>
            </w:r>
          </w:p>
          <w:p>
            <w:pPr>
              <w:spacing w:line="360" w:lineRule="auto"/>
              <w:ind w:firstLine="480" w:firstLineChars="200"/>
              <w:rPr>
                <w:rFonts w:hAnsi="宋体"/>
                <w:sz w:val="24"/>
              </w:rPr>
            </w:pPr>
            <w:r>
              <w:rPr>
                <w:rFonts w:hint="eastAsia" w:hAnsi="宋体"/>
                <w:sz w:val="24"/>
              </w:rPr>
              <w:t xml:space="preserve">充分利用场区非建筑地段及零星空地进行绿化；满足经营、检修、运输、安全、卫生及防火要求，避免与建筑物、构筑物、地下设施的布置相互影响。 </w:t>
            </w:r>
          </w:p>
          <w:p>
            <w:pPr>
              <w:spacing w:line="360" w:lineRule="auto"/>
              <w:ind w:firstLine="480" w:firstLineChars="200"/>
              <w:rPr>
                <w:rFonts w:hint="eastAsia" w:hAnsi="宋体"/>
                <w:sz w:val="24"/>
              </w:rPr>
            </w:pPr>
            <w:r>
              <w:rPr>
                <w:rFonts w:hint="eastAsia" w:hAnsi="宋体"/>
                <w:sz w:val="24"/>
              </w:rPr>
              <w:t>规划设计的化粪池位置在西角，在主导风向的下风向位置。通过绿化，可降低项目营运期汽车尾气和噪声对环境的影响，且有利于区域景观恢复。</w:t>
            </w:r>
          </w:p>
          <w:p>
            <w:pPr>
              <w:spacing w:line="360" w:lineRule="auto"/>
              <w:ind w:firstLine="480"/>
              <w:rPr>
                <w:rFonts w:hint="eastAsia" w:hAnsi="宋体"/>
                <w:sz w:val="24"/>
              </w:rPr>
            </w:pPr>
            <w:r>
              <w:rPr>
                <w:rFonts w:hint="eastAsia" w:hAnsi="宋体"/>
                <w:sz w:val="24"/>
              </w:rPr>
              <w:t>因此，从环境保护的角度看，本项目平面布置是合理的。</w:t>
            </w:r>
          </w:p>
          <w:p>
            <w:pPr>
              <w:spacing w:line="360" w:lineRule="auto"/>
              <w:ind w:firstLine="482" w:firstLineChars="200"/>
              <w:rPr>
                <w:rFonts w:hint="eastAsia" w:hAnsi="宋体"/>
                <w:b/>
                <w:sz w:val="24"/>
              </w:rPr>
            </w:pPr>
            <w:r>
              <w:rPr>
                <w:rFonts w:hint="eastAsia" w:hAnsi="宋体"/>
                <w:b/>
                <w:sz w:val="24"/>
              </w:rPr>
              <w:t>7、评价总结论</w:t>
            </w:r>
          </w:p>
          <w:p>
            <w:pPr>
              <w:spacing w:line="360" w:lineRule="auto"/>
              <w:ind w:firstLine="480" w:firstLineChars="200"/>
              <w:rPr>
                <w:rFonts w:hAnsi="宋体"/>
                <w:sz w:val="24"/>
              </w:rPr>
            </w:pPr>
            <w:r>
              <w:rPr>
                <w:rFonts w:hAnsi="新宋体" w:eastAsia="新宋体"/>
                <w:sz w:val="24"/>
              </w:rPr>
              <w:t>综上所述，项目建设选址</w:t>
            </w:r>
            <w:r>
              <w:rPr>
                <w:rFonts w:hAnsi="宋体"/>
                <w:sz w:val="24"/>
              </w:rPr>
              <w:t>和总体布局合理。项目的建设对周围环境的影响范围小，影响程度低，不会降低当地环境功能</w:t>
            </w:r>
            <w:r>
              <w:rPr>
                <w:rFonts w:hint="eastAsia" w:hAnsi="宋体"/>
                <w:sz w:val="24"/>
              </w:rPr>
              <w:t>。</w:t>
            </w:r>
            <w:r>
              <w:rPr>
                <w:rFonts w:hAnsi="宋体"/>
                <w:sz w:val="24"/>
              </w:rPr>
              <w:t>项目污水经</w:t>
            </w:r>
            <w:r>
              <w:rPr>
                <w:rFonts w:hint="eastAsia" w:hAnsi="宋体"/>
                <w:sz w:val="24"/>
              </w:rPr>
              <w:t>化粪池处理后排入市政污水管网，最终进入维西</w:t>
            </w:r>
            <w:r>
              <w:rPr>
                <w:rFonts w:hAnsi="宋体"/>
                <w:sz w:val="24"/>
              </w:rPr>
              <w:t>县</w:t>
            </w:r>
            <w:r>
              <w:rPr>
                <w:rFonts w:hint="eastAsia" w:hAnsi="宋体"/>
                <w:sz w:val="24"/>
              </w:rPr>
              <w:t>污水处理厂处理，</w:t>
            </w:r>
            <w:r>
              <w:rPr>
                <w:rFonts w:hAnsi="宋体"/>
                <w:sz w:val="24"/>
              </w:rPr>
              <w:t>对地表水的影响不大，</w:t>
            </w:r>
            <w:r>
              <w:rPr>
                <w:rFonts w:hint="eastAsia" w:hAnsi="宋体"/>
                <w:sz w:val="24"/>
              </w:rPr>
              <w:t>可以</w:t>
            </w:r>
            <w:r>
              <w:rPr>
                <w:rFonts w:hAnsi="宋体"/>
                <w:sz w:val="24"/>
              </w:rPr>
              <w:t>接受</w:t>
            </w:r>
            <w:r>
              <w:rPr>
                <w:rFonts w:hint="eastAsia" w:hAnsi="宋体"/>
                <w:sz w:val="24"/>
              </w:rPr>
              <w:t>。</w:t>
            </w:r>
            <w:r>
              <w:rPr>
                <w:rFonts w:hAnsi="宋体"/>
                <w:sz w:val="24"/>
              </w:rPr>
              <w:t>项目的垃圾等固体废物可得到妥善处置</w:t>
            </w:r>
            <w:r>
              <w:rPr>
                <w:rFonts w:hint="eastAsia" w:hAnsi="宋体"/>
                <w:sz w:val="24"/>
              </w:rPr>
              <w:t>。</w:t>
            </w:r>
            <w:r>
              <w:rPr>
                <w:rFonts w:hAnsi="宋体"/>
                <w:sz w:val="24"/>
              </w:rPr>
              <w:t>对于噪声通过采取有效的防治措施后，</w:t>
            </w:r>
            <w:r>
              <w:rPr>
                <w:rFonts w:hint="eastAsia" w:hAnsi="宋体"/>
                <w:sz w:val="24"/>
              </w:rPr>
              <w:t>厂界噪声可以做到达标排放</w:t>
            </w:r>
            <w:r>
              <w:rPr>
                <w:rFonts w:hAnsi="宋体"/>
                <w:sz w:val="24"/>
              </w:rPr>
              <w:t>。</w:t>
            </w:r>
          </w:p>
          <w:p>
            <w:pPr>
              <w:spacing w:line="360" w:lineRule="auto"/>
              <w:ind w:firstLine="480" w:firstLineChars="200"/>
              <w:rPr>
                <w:rFonts w:hint="eastAsia" w:hAnsi="新宋体" w:eastAsia="新宋体"/>
                <w:sz w:val="24"/>
              </w:rPr>
            </w:pPr>
            <w:r>
              <w:rPr>
                <w:rFonts w:hAnsi="新宋体" w:eastAsia="新宋体"/>
                <w:sz w:val="24"/>
              </w:rPr>
              <w:t>本评价认为，只要建设单位认真落实本评价报告及项目设计</w:t>
            </w:r>
            <w:r>
              <w:rPr>
                <w:rFonts w:hint="eastAsia" w:hAnsi="新宋体" w:eastAsia="新宋体"/>
                <w:sz w:val="24"/>
              </w:rPr>
              <w:t>中提出的相关</w:t>
            </w:r>
            <w:r>
              <w:rPr>
                <w:rFonts w:hAnsi="新宋体" w:eastAsia="新宋体"/>
                <w:sz w:val="24"/>
              </w:rPr>
              <w:t>对策措施及建议，从环境保护的角度来看，该建设项目可行。</w:t>
            </w:r>
          </w:p>
          <w:p>
            <w:pPr>
              <w:spacing w:line="360" w:lineRule="auto"/>
              <w:rPr>
                <w:b/>
                <w:bCs/>
                <w:sz w:val="28"/>
                <w:szCs w:val="28"/>
              </w:rPr>
            </w:pPr>
            <w:r>
              <w:rPr>
                <w:rFonts w:hAnsi="宋体"/>
                <w:b/>
                <w:bCs/>
                <w:sz w:val="28"/>
                <w:szCs w:val="28"/>
              </w:rPr>
              <w:t>二、</w:t>
            </w:r>
            <w:r>
              <w:rPr>
                <w:rFonts w:hint="eastAsia" w:hAnsi="宋体"/>
                <w:b/>
                <w:bCs/>
                <w:sz w:val="28"/>
                <w:szCs w:val="28"/>
              </w:rPr>
              <w:t>对策措施</w:t>
            </w:r>
          </w:p>
          <w:p>
            <w:pPr>
              <w:spacing w:line="360" w:lineRule="auto"/>
              <w:ind w:firstLine="482" w:firstLineChars="200"/>
              <w:rPr>
                <w:rFonts w:hint="eastAsia" w:hAnsi="宋体"/>
                <w:b/>
                <w:sz w:val="24"/>
              </w:rPr>
            </w:pPr>
            <w:r>
              <w:rPr>
                <w:rFonts w:hint="eastAsia" w:hAnsi="宋体"/>
                <w:b/>
                <w:sz w:val="24"/>
              </w:rPr>
              <w:t>1、施工期污染防治措施</w:t>
            </w:r>
          </w:p>
          <w:p>
            <w:pPr>
              <w:spacing w:line="360" w:lineRule="auto"/>
              <w:ind w:firstLine="482" w:firstLineChars="200"/>
              <w:rPr>
                <w:rFonts w:hint="eastAsia" w:hAnsi="宋体"/>
                <w:b/>
                <w:sz w:val="24"/>
              </w:rPr>
            </w:pPr>
            <w:r>
              <w:rPr>
                <w:rFonts w:hint="eastAsia" w:hAnsi="宋体"/>
                <w:b/>
                <w:sz w:val="24"/>
              </w:rPr>
              <w:t>（1）大气污染防治措施</w:t>
            </w:r>
          </w:p>
          <w:p>
            <w:pPr>
              <w:spacing w:line="360" w:lineRule="auto"/>
              <w:ind w:firstLine="480" w:firstLineChars="200"/>
              <w:rPr>
                <w:rFonts w:hint="eastAsia"/>
                <w:sz w:val="24"/>
              </w:rPr>
            </w:pPr>
            <w:r>
              <w:rPr>
                <w:sz w:val="24"/>
              </w:rPr>
              <w:t>①施工场地定期洒水，防止浮土产生，在大风日加大洒水量及洒水次数；开挖土方应集中堆放，缩小粉尘影响范围，及时回填或运走，缩短粉尘影响时间。多余的土方根据水土保持的要求及时回填。</w:t>
            </w:r>
          </w:p>
          <w:p>
            <w:pPr>
              <w:spacing w:line="360" w:lineRule="auto"/>
              <w:ind w:firstLine="480" w:firstLineChars="200"/>
              <w:rPr>
                <w:sz w:val="24"/>
              </w:rPr>
            </w:pPr>
            <w:r>
              <w:rPr>
                <w:sz w:val="24"/>
              </w:rPr>
              <w:t>②加强施工机械的使用管理和保养维修，合理降低使用次数，提高机械使用效率，降低废气排放，减轻燃油动力机械排放的废气对环境空气的影响</w:t>
            </w:r>
            <w:r>
              <w:rPr>
                <w:rFonts w:hint="eastAsia"/>
                <w:sz w:val="24"/>
              </w:rPr>
              <w:t>。</w:t>
            </w:r>
          </w:p>
          <w:p>
            <w:pPr>
              <w:spacing w:line="360" w:lineRule="auto"/>
              <w:ind w:firstLine="480" w:firstLineChars="200"/>
              <w:rPr>
                <w:rFonts w:hint="eastAsia"/>
                <w:sz w:val="24"/>
              </w:rPr>
            </w:pPr>
            <w:r>
              <w:rPr>
                <w:sz w:val="24"/>
              </w:rPr>
              <w:t>③施工道路应保持平整，设立施工道路养护、维修、清扫专职人员，保持道路清洁，运行状态良好。在无雨干燥天气、运输高峰时段，应对施工道路适时洒水。运输车辆进入施工场地应低速行驶，或限速行驶，减少产尘量。</w:t>
            </w:r>
            <w:r>
              <w:rPr>
                <w:rFonts w:hAnsi="宋体"/>
                <w:sz w:val="24"/>
              </w:rPr>
              <w:t>运土车辆应加蓬，严禁超重、超高装载，控制二次扬尘对环境空气的污染。</w:t>
            </w:r>
          </w:p>
          <w:p>
            <w:pPr>
              <w:adjustRightInd w:val="0"/>
              <w:snapToGrid w:val="0"/>
              <w:spacing w:line="360" w:lineRule="auto"/>
              <w:ind w:firstLine="480" w:firstLineChars="200"/>
              <w:rPr>
                <w:rFonts w:hint="eastAsia"/>
                <w:sz w:val="24"/>
              </w:rPr>
            </w:pPr>
            <w:r>
              <w:rPr>
                <w:rFonts w:hint="eastAsia"/>
                <w:sz w:val="24"/>
              </w:rPr>
              <w:t>④</w:t>
            </w:r>
            <w:r>
              <w:rPr>
                <w:rFonts w:hAnsi="宋体"/>
                <w:sz w:val="24"/>
              </w:rPr>
              <w:t>将施工用水泥堆放在库房或临时工棚内，及时清除撒落在地面的水泥，对产生扬尘的施工作业点设洒水装置，抑制粉尘散发和运输中的二次扬尘</w:t>
            </w:r>
            <w:r>
              <w:rPr>
                <w:rFonts w:hint="eastAsia" w:hAnsi="宋体"/>
                <w:sz w:val="24"/>
              </w:rPr>
              <w:t>。</w:t>
            </w:r>
          </w:p>
          <w:p>
            <w:pPr>
              <w:spacing w:line="360" w:lineRule="auto"/>
              <w:ind w:firstLine="480" w:firstLineChars="200"/>
              <w:rPr>
                <w:rFonts w:hint="eastAsia"/>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lang/>
              </w:rPr>
              <w:t>⑤</w:t>
            </w:r>
            <w:r>
              <w:rPr>
                <w:sz w:val="24"/>
              </w:rPr>
              <w:fldChar w:fldCharType="end"/>
            </w:r>
            <w:r>
              <w:rPr>
                <w:sz w:val="24"/>
              </w:rPr>
              <w:t>材料仓库和临时材料堆放场应防止物料散落污染。仓库四周应有疏水沟系，防止雨水浸湿，水流引起物料流失。运输车辆应入库装卸。临时堆放场应有遮蓬遮蔽，防止物料飘失污染环境空气。</w:t>
            </w:r>
          </w:p>
          <w:p>
            <w:pPr>
              <w:spacing w:line="360" w:lineRule="auto"/>
              <w:ind w:firstLine="482" w:firstLineChars="200"/>
              <w:rPr>
                <w:rFonts w:hint="eastAsia" w:hAnsi="宋体"/>
                <w:b/>
                <w:sz w:val="24"/>
              </w:rPr>
            </w:pPr>
            <w:r>
              <w:rPr>
                <w:rFonts w:hint="eastAsia" w:hAnsi="宋体"/>
                <w:b/>
                <w:sz w:val="24"/>
              </w:rPr>
              <w:t>（2）废水污染防治措施</w:t>
            </w:r>
          </w:p>
          <w:p>
            <w:pPr>
              <w:spacing w:line="360" w:lineRule="auto"/>
              <w:ind w:firstLine="480" w:firstLineChars="200"/>
              <w:rPr>
                <w:rFonts w:eastAsia="新宋体"/>
                <w:sz w:val="24"/>
              </w:rPr>
            </w:pPr>
            <w:r>
              <w:rPr>
                <w:rFonts w:ascii="宋体" w:hAnsi="宋体"/>
                <w:sz w:val="24"/>
              </w:rPr>
              <w:t>①</w:t>
            </w:r>
            <w:r>
              <w:rPr>
                <w:rFonts w:hint="eastAsia" w:eastAsia="新宋体"/>
                <w:sz w:val="24"/>
              </w:rPr>
              <w:t>修建临时沉砂池，基坑涌水应沉淀处理；施工过程中</w:t>
            </w:r>
            <w:r>
              <w:rPr>
                <w:rFonts w:eastAsia="新宋体"/>
                <w:sz w:val="24"/>
              </w:rPr>
              <w:t>设置施工废水收集池，将引入池中的废水进行沉淀处理后，回用于场地浇洒等，禁止施工废水随意排放。</w:t>
            </w:r>
          </w:p>
          <w:p>
            <w:pPr>
              <w:spacing w:line="360" w:lineRule="auto"/>
              <w:ind w:firstLine="480" w:firstLineChars="200"/>
              <w:rPr>
                <w:rFonts w:hint="eastAsia" w:eastAsia="新宋体"/>
                <w:sz w:val="24"/>
              </w:rPr>
            </w:pPr>
            <w:r>
              <w:rPr>
                <w:sz w:val="24"/>
              </w:rPr>
              <w:t>②加强施工机械管理，尽量避免跑、冒、滴、漏；设置固定的车辆冲洗场所和隔油、沉砂池等处理设施；</w:t>
            </w:r>
            <w:r>
              <w:rPr>
                <w:rFonts w:hint="eastAsia" w:eastAsia="新宋体"/>
                <w:sz w:val="24"/>
              </w:rPr>
              <w:t>沉淀后用于施工场地洒水降尘，不外排。</w:t>
            </w:r>
          </w:p>
          <w:p>
            <w:pPr>
              <w:spacing w:line="360" w:lineRule="auto"/>
              <w:ind w:firstLine="480" w:firstLineChars="200"/>
              <w:rPr>
                <w:rFonts w:eastAsia="新宋体"/>
                <w:sz w:val="24"/>
              </w:rPr>
            </w:pPr>
            <w:r>
              <w:rPr>
                <w:sz w:val="24"/>
              </w:rPr>
              <w:t>③</w:t>
            </w:r>
            <w:r>
              <w:rPr>
                <w:rFonts w:eastAsia="新宋体"/>
                <w:sz w:val="24"/>
              </w:rPr>
              <w:t>注意施工期节约用水，减少废水的产生。降雨期间，不进行挖填方作业。暴雨期间禁止施工。合理安排施工期，大面积的破土应尽量避开雨季。</w:t>
            </w:r>
          </w:p>
          <w:p>
            <w:pPr>
              <w:spacing w:line="360" w:lineRule="auto"/>
              <w:ind w:firstLine="480" w:firstLineChars="200"/>
              <w:rPr>
                <w:rFonts w:eastAsia="新宋体"/>
                <w:sz w:val="24"/>
              </w:rPr>
            </w:pPr>
            <w:r>
              <w:rPr>
                <w:rFonts w:hint="eastAsia"/>
                <w:sz w:val="24"/>
              </w:rPr>
              <w:t>④</w:t>
            </w:r>
            <w:r>
              <w:rPr>
                <w:rFonts w:eastAsia="新宋体"/>
                <w:sz w:val="24"/>
              </w:rPr>
              <w:t>施工期间应优先完成</w:t>
            </w:r>
            <w:r>
              <w:rPr>
                <w:rFonts w:hint="eastAsia" w:eastAsia="新宋体"/>
                <w:sz w:val="24"/>
              </w:rPr>
              <w:t>施工场</w:t>
            </w:r>
            <w:r>
              <w:rPr>
                <w:rFonts w:eastAsia="新宋体"/>
                <w:sz w:val="24"/>
              </w:rPr>
              <w:t>内外雨水截流沟，使施工区内外的雨水分流。在污水管道施工期间，注意</w:t>
            </w:r>
            <w:r>
              <w:rPr>
                <w:rFonts w:hint="eastAsia" w:eastAsia="新宋体"/>
                <w:sz w:val="24"/>
              </w:rPr>
              <w:t>管道</w:t>
            </w:r>
            <w:r>
              <w:rPr>
                <w:rFonts w:eastAsia="新宋体"/>
                <w:sz w:val="24"/>
              </w:rPr>
              <w:t>的连接要密封，以防止将来污水从管中渗漏污染地下水</w:t>
            </w:r>
            <w:r>
              <w:rPr>
                <w:rFonts w:hint="eastAsia" w:eastAsia="新宋体"/>
                <w:sz w:val="24"/>
              </w:rPr>
              <w:t>。</w:t>
            </w:r>
          </w:p>
          <w:p>
            <w:pPr>
              <w:spacing w:line="360" w:lineRule="auto"/>
              <w:ind w:firstLine="480" w:firstLineChars="200"/>
              <w:rPr>
                <w:sz w:val="24"/>
              </w:rPr>
            </w:pPr>
            <w:r>
              <w:rPr>
                <w:sz w:val="24"/>
              </w:rPr>
              <w:t>⑤土石方开挖应科学规划，按着</w:t>
            </w:r>
            <w:r>
              <w:rPr>
                <w:rFonts w:hint="eastAsia"/>
                <w:sz w:val="24"/>
              </w:rPr>
              <w:t>“</w:t>
            </w:r>
            <w:r>
              <w:rPr>
                <w:sz w:val="24"/>
              </w:rPr>
              <w:t>当天开挖多少，就运走多少，及时推平碾压多少</w:t>
            </w:r>
            <w:r>
              <w:rPr>
                <w:rFonts w:hint="eastAsia"/>
                <w:sz w:val="24"/>
              </w:rPr>
              <w:t>”</w:t>
            </w:r>
            <w:r>
              <w:rPr>
                <w:sz w:val="24"/>
              </w:rPr>
              <w:t>的原则进行施工，避免不必要的堆、弃土造成水土流失污染水体</w:t>
            </w:r>
            <w:r>
              <w:rPr>
                <w:rFonts w:hint="eastAsia"/>
                <w:sz w:val="24"/>
              </w:rPr>
              <w:t>。</w:t>
            </w:r>
          </w:p>
          <w:p>
            <w:pPr>
              <w:spacing w:line="360" w:lineRule="auto"/>
              <w:ind w:firstLine="480" w:firstLineChars="200"/>
              <w:rPr>
                <w:rFonts w:hint="eastAsia"/>
                <w:sz w:val="24"/>
              </w:rPr>
            </w:pPr>
            <w:r>
              <w:rPr>
                <w:sz w:val="24"/>
              </w:rPr>
              <w:t>⑥工程完工后尽快绿化或固化地面，减少雨水对裸露地表的冲刷，减小水土流失</w:t>
            </w:r>
            <w:r>
              <w:rPr>
                <w:rFonts w:hint="eastAsia"/>
                <w:sz w:val="24"/>
              </w:rPr>
              <w:t>。</w:t>
            </w:r>
          </w:p>
          <w:p>
            <w:pPr>
              <w:spacing w:line="360" w:lineRule="auto"/>
              <w:ind w:firstLine="480" w:firstLineChars="200"/>
              <w:rPr>
                <w:rFonts w:eastAsia="新宋体"/>
                <w:sz w:val="24"/>
              </w:rPr>
            </w:pPr>
            <w:r>
              <w:rPr>
                <w:rFonts w:eastAsia="新宋体"/>
                <w:sz w:val="24"/>
              </w:rPr>
              <w:fldChar w:fldCharType="begin"/>
            </w:r>
            <w:r>
              <w:rPr>
                <w:rFonts w:eastAsia="新宋体"/>
                <w:sz w:val="24"/>
              </w:rPr>
              <w:instrText xml:space="preserve"> </w:instrText>
            </w:r>
            <w:r>
              <w:rPr>
                <w:rFonts w:hint="eastAsia" w:eastAsia="新宋体"/>
                <w:sz w:val="24"/>
              </w:rPr>
              <w:instrText xml:space="preserve">= 7 \* GB3</w:instrText>
            </w:r>
            <w:r>
              <w:rPr>
                <w:rFonts w:eastAsia="新宋体"/>
                <w:sz w:val="24"/>
              </w:rPr>
              <w:instrText xml:space="preserve"> </w:instrText>
            </w:r>
            <w:r>
              <w:rPr>
                <w:rFonts w:eastAsia="新宋体"/>
                <w:sz w:val="24"/>
              </w:rPr>
              <w:fldChar w:fldCharType="separate"/>
            </w:r>
            <w:r>
              <w:rPr>
                <w:rFonts w:hint="eastAsia" w:eastAsia="新宋体"/>
                <w:sz w:val="24"/>
                <w:lang/>
              </w:rPr>
              <w:t>⑦</w:t>
            </w:r>
            <w:r>
              <w:rPr>
                <w:rFonts w:eastAsia="新宋体"/>
                <w:sz w:val="24"/>
              </w:rPr>
              <w:fldChar w:fldCharType="end"/>
            </w:r>
            <w:r>
              <w:rPr>
                <w:rFonts w:hint="eastAsia" w:eastAsia="新宋体"/>
                <w:sz w:val="24"/>
              </w:rPr>
              <w:t>由于项目西侧靠近头道河距离较近。为了防止施工期废水排入头道河，</w:t>
            </w:r>
            <w:r>
              <w:rPr>
                <w:rFonts w:hint="eastAsia"/>
                <w:sz w:val="24"/>
              </w:rPr>
              <w:t>靠近</w:t>
            </w:r>
            <w:r>
              <w:rPr>
                <w:rFonts w:hint="eastAsia" w:eastAsia="新宋体"/>
                <w:sz w:val="24"/>
              </w:rPr>
              <w:t>头道河</w:t>
            </w:r>
            <w:r>
              <w:rPr>
                <w:rFonts w:hint="eastAsia"/>
                <w:sz w:val="24"/>
              </w:rPr>
              <w:t>一侧的施工场地，采取先建设施工围挡的措施，避免施工废水流入</w:t>
            </w:r>
            <w:r>
              <w:rPr>
                <w:rFonts w:hint="eastAsia" w:eastAsia="新宋体"/>
                <w:sz w:val="24"/>
              </w:rPr>
              <w:t>头道河</w:t>
            </w:r>
            <w:r>
              <w:rPr>
                <w:rFonts w:hint="eastAsia"/>
                <w:sz w:val="24"/>
              </w:rPr>
              <w:t>并减缓施工挖方临时堆放引起的水土流失。</w:t>
            </w:r>
            <w:r>
              <w:rPr>
                <w:rFonts w:hint="eastAsia" w:eastAsia="新宋体"/>
                <w:sz w:val="24"/>
              </w:rPr>
              <w:t>建设单位应严格要求现场施工人员，严格规范施工期的操作，</w:t>
            </w:r>
            <w:r>
              <w:rPr>
                <w:rFonts w:hint="eastAsia"/>
                <w:sz w:val="24"/>
              </w:rPr>
              <w:t>现场修建临时的沉淀池保证废水的集中处理以及循环利用。禁止对</w:t>
            </w:r>
            <w:r>
              <w:rPr>
                <w:rFonts w:hint="eastAsia" w:eastAsia="新宋体"/>
                <w:sz w:val="24"/>
              </w:rPr>
              <w:t>头道河</w:t>
            </w:r>
            <w:r>
              <w:rPr>
                <w:rFonts w:hint="eastAsia"/>
                <w:sz w:val="24"/>
              </w:rPr>
              <w:t>倾倒任何废水、废渣，规范施工人员的工作情况。同时对沉淀池的运行状况要及时做好维护与保养，确保其正常运行，保证项目施工废水的有效处理。头道河扩宽工程施工中，做好施工导流工作，确保施工区域河水绕开施工区，减少施工扰动对头道河水质的影响。</w:t>
            </w:r>
          </w:p>
          <w:p>
            <w:pPr>
              <w:spacing w:line="360" w:lineRule="auto"/>
              <w:ind w:firstLine="482" w:firstLineChars="200"/>
              <w:rPr>
                <w:rFonts w:hint="eastAsia" w:hAnsi="宋体"/>
                <w:b/>
                <w:sz w:val="24"/>
              </w:rPr>
            </w:pPr>
            <w:r>
              <w:rPr>
                <w:rFonts w:hint="eastAsia" w:hAnsi="宋体"/>
                <w:b/>
                <w:sz w:val="24"/>
              </w:rPr>
              <w:t>（3）固体废弃物处置措施</w:t>
            </w:r>
          </w:p>
          <w:p>
            <w:pPr>
              <w:autoSpaceDE w:val="0"/>
              <w:autoSpaceDN w:val="0"/>
              <w:adjustRightInd w:val="0"/>
              <w:spacing w:line="360" w:lineRule="auto"/>
              <w:ind w:firstLine="480" w:firstLineChars="200"/>
              <w:rPr>
                <w:rFonts w:hAnsi="宋体"/>
                <w:sz w:val="24"/>
              </w:rPr>
            </w:pPr>
            <w:r>
              <w:rPr>
                <w:rFonts w:ascii="宋体" w:hAnsi="宋体"/>
                <w:sz w:val="24"/>
              </w:rPr>
              <w:t>①</w:t>
            </w:r>
            <w:r>
              <w:rPr>
                <w:rFonts w:hAnsi="宋体"/>
                <w:sz w:val="24"/>
              </w:rPr>
              <w:t>建设施工单位加强施工管理，规范运输，</w:t>
            </w:r>
            <w:r>
              <w:rPr>
                <w:rFonts w:hint="eastAsia" w:hAnsi="宋体"/>
                <w:sz w:val="24"/>
              </w:rPr>
              <w:t>禁止超载、超速运输，</w:t>
            </w:r>
            <w:r>
              <w:rPr>
                <w:rFonts w:hAnsi="宋体"/>
                <w:sz w:val="24"/>
              </w:rPr>
              <w:t>不得随路洒落，不得随意堆放弃土和建筑垃圾</w:t>
            </w:r>
            <w:r>
              <w:rPr>
                <w:rFonts w:hint="eastAsia" w:hAnsi="宋体"/>
                <w:sz w:val="24"/>
              </w:rPr>
              <w:t>。</w:t>
            </w:r>
          </w:p>
          <w:p>
            <w:pPr>
              <w:spacing w:line="360" w:lineRule="auto"/>
              <w:ind w:firstLine="480" w:firstLineChars="200"/>
              <w:rPr>
                <w:rFonts w:eastAsia="新宋体"/>
                <w:sz w:val="24"/>
              </w:rPr>
            </w:pPr>
            <w:r>
              <w:rPr>
                <w:rFonts w:ascii="宋体" w:hAnsi="宋体"/>
                <w:sz w:val="24"/>
              </w:rPr>
              <w:t>②</w:t>
            </w:r>
            <w:r>
              <w:rPr>
                <w:rFonts w:hint="eastAsia" w:eastAsia="新宋体"/>
                <w:sz w:val="24"/>
              </w:rPr>
              <w:t>施工土石方阶段开挖的土石方，在临时堆放期间应采取遮盖，防止表土流失。</w:t>
            </w:r>
          </w:p>
          <w:p>
            <w:pPr>
              <w:spacing w:line="360" w:lineRule="auto"/>
              <w:ind w:firstLine="480" w:firstLineChars="200"/>
              <w:rPr>
                <w:rFonts w:hint="eastAsia" w:eastAsia="新宋体"/>
                <w:sz w:val="24"/>
              </w:rPr>
            </w:pPr>
            <w:r>
              <w:rPr>
                <w:rFonts w:ascii="宋体" w:hAnsi="宋体"/>
                <w:sz w:val="24"/>
              </w:rPr>
              <w:t>③</w:t>
            </w:r>
            <w:r>
              <w:rPr>
                <w:rFonts w:hint="eastAsia" w:eastAsia="新宋体"/>
                <w:sz w:val="24"/>
              </w:rPr>
              <w:t>对于建筑垃圾应</w:t>
            </w:r>
            <w:r>
              <w:rPr>
                <w:rFonts w:eastAsia="新宋体"/>
                <w:sz w:val="24"/>
              </w:rPr>
              <w:t>分类收集，将可以回收的部分（如废旧钢筋、铁丝等）集中收集后外售给废品收购站。可以再利用的部分（如木材等）分类堆放，进行再利用或外售。对于建筑垃圾中较为稳定的成分（如碎砖瓦砾等）</w:t>
            </w:r>
            <w:r>
              <w:rPr>
                <w:rFonts w:hint="eastAsia" w:ascii="宋体" w:cs="宋体"/>
                <w:kern w:val="0"/>
                <w:sz w:val="24"/>
              </w:rPr>
              <w:t>运至指定堆放点</w:t>
            </w:r>
            <w:r>
              <w:rPr>
                <w:rFonts w:hint="eastAsia" w:eastAsia="新宋体"/>
                <w:sz w:val="24"/>
              </w:rPr>
              <w:t>。</w:t>
            </w:r>
          </w:p>
          <w:p>
            <w:pPr>
              <w:spacing w:line="360" w:lineRule="auto"/>
              <w:ind w:firstLine="480" w:firstLineChars="200"/>
              <w:rPr>
                <w:rFonts w:eastAsia="新宋体"/>
                <w:sz w:val="24"/>
              </w:rPr>
            </w:pPr>
            <w:r>
              <w:rPr>
                <w:rFonts w:hint="eastAsia" w:hAnsi="宋体"/>
                <w:sz w:val="24"/>
              </w:rPr>
              <w:t>④</w:t>
            </w:r>
            <w:r>
              <w:rPr>
                <w:rFonts w:eastAsia="新宋体"/>
                <w:sz w:val="24"/>
              </w:rPr>
              <w:t>对于施工人员产生的分散垃圾，除对施工人员加强环境保护教育和有关宣传外，</w:t>
            </w:r>
            <w:r>
              <w:rPr>
                <w:rFonts w:hint="eastAsia" w:eastAsia="新宋体"/>
                <w:sz w:val="24"/>
              </w:rPr>
              <w:t>还应加强施工场内卫生保洁工作。</w:t>
            </w:r>
            <w:r>
              <w:rPr>
                <w:rFonts w:eastAsia="新宋体"/>
                <w:sz w:val="24"/>
              </w:rPr>
              <w:t>对于施工期施工人员产生的比较集中的生活垃圾，由于其中含有较多的易腐烂成分，必须</w:t>
            </w:r>
            <w:r>
              <w:rPr>
                <w:rFonts w:hint="eastAsia" w:eastAsia="新宋体"/>
                <w:sz w:val="24"/>
              </w:rPr>
              <w:t>修建临时垃圾收集点，并</w:t>
            </w:r>
            <w:r>
              <w:rPr>
                <w:rFonts w:eastAsia="新宋体"/>
                <w:sz w:val="24"/>
              </w:rPr>
              <w:t>防止在雨天被雨水浸泡而产生对环境危害严重的渗滤液。</w:t>
            </w:r>
            <w:r>
              <w:rPr>
                <w:rFonts w:hint="eastAsia" w:eastAsia="新宋体"/>
                <w:sz w:val="24"/>
              </w:rPr>
              <w:t>施工人员生活垃圾集中收集后委托环卫部门定期清运。</w:t>
            </w:r>
          </w:p>
          <w:p>
            <w:pPr>
              <w:pStyle w:val="17"/>
              <w:spacing w:after="0" w:line="360" w:lineRule="auto"/>
              <w:ind w:firstLine="480" w:firstLineChars="200"/>
              <w:jc w:val="left"/>
              <w:rPr>
                <w:rFonts w:hint="eastAsia" w:eastAsia="新宋体"/>
                <w:sz w:val="24"/>
              </w:rPr>
            </w:pPr>
            <w:r>
              <w:rPr>
                <w:rFonts w:hint="eastAsia" w:eastAsia="新宋体"/>
                <w:sz w:val="24"/>
              </w:rPr>
              <w:t>⑤</w:t>
            </w:r>
            <w:r>
              <w:rPr>
                <w:rFonts w:eastAsia="新宋体"/>
                <w:sz w:val="24"/>
              </w:rPr>
              <w:t>通过合理规划，减少不必要的土地占用。</w:t>
            </w:r>
            <w:r>
              <w:rPr>
                <w:rFonts w:hint="eastAsia" w:eastAsia="新宋体"/>
                <w:sz w:val="24"/>
              </w:rPr>
              <w:t>对于施工临时占用土地待施工结束后应进行</w:t>
            </w:r>
            <w:r>
              <w:rPr>
                <w:rFonts w:eastAsia="新宋体"/>
                <w:sz w:val="24"/>
              </w:rPr>
              <w:t>绿化。</w:t>
            </w:r>
          </w:p>
          <w:p>
            <w:pPr>
              <w:spacing w:line="360" w:lineRule="auto"/>
              <w:ind w:firstLine="482" w:firstLineChars="200"/>
              <w:rPr>
                <w:rFonts w:hint="eastAsia" w:hAnsi="宋体"/>
                <w:b/>
                <w:sz w:val="24"/>
              </w:rPr>
            </w:pPr>
            <w:r>
              <w:rPr>
                <w:rFonts w:hint="eastAsia" w:hAnsi="宋体"/>
                <w:b/>
                <w:sz w:val="24"/>
              </w:rPr>
              <w:t>（4）噪声防治措施</w:t>
            </w:r>
          </w:p>
          <w:p>
            <w:pPr>
              <w:spacing w:line="360" w:lineRule="auto"/>
              <w:ind w:firstLine="480" w:firstLineChars="200"/>
              <w:rPr>
                <w:rFonts w:hAnsi="宋体"/>
                <w:sz w:val="24"/>
              </w:rPr>
            </w:pPr>
            <w:r>
              <w:rPr>
                <w:rFonts w:hint="eastAsia" w:hAnsi="宋体"/>
                <w:sz w:val="24"/>
              </w:rPr>
              <w:t>①</w:t>
            </w:r>
            <w:r>
              <w:rPr>
                <w:rFonts w:hAnsi="宋体"/>
                <w:sz w:val="24"/>
              </w:rPr>
              <w:t>注意考虑施工机械设备（如搅拌、切割等加工装置）的摆放位置，使其尽量远离居民区，减少噪声扰民。必要时可采取临时的隔声围护结构。</w:t>
            </w:r>
          </w:p>
          <w:p>
            <w:pPr>
              <w:spacing w:line="360" w:lineRule="auto"/>
              <w:ind w:firstLine="480" w:firstLineChars="200"/>
              <w:rPr>
                <w:rFonts w:hAnsi="宋体"/>
                <w:sz w:val="24"/>
              </w:rPr>
            </w:pPr>
            <w:r>
              <w:rPr>
                <w:rFonts w:hint="eastAsia" w:hAnsi="宋体"/>
                <w:sz w:val="24"/>
              </w:rPr>
              <w:t>②</w:t>
            </w:r>
            <w:r>
              <w:rPr>
                <w:rFonts w:hAnsi="宋体"/>
                <w:sz w:val="24"/>
              </w:rPr>
              <w:t>加强施工机械的维护保养，避免由于设备性能降低而使机械噪声增大现象的发生。</w:t>
            </w:r>
          </w:p>
          <w:p>
            <w:pPr>
              <w:spacing w:line="360" w:lineRule="auto"/>
              <w:ind w:firstLine="480" w:firstLineChars="200"/>
              <w:rPr>
                <w:rFonts w:hAnsi="宋体"/>
                <w:sz w:val="24"/>
              </w:rPr>
            </w:pPr>
            <w:r>
              <w:rPr>
                <w:rFonts w:hint="eastAsia" w:hAnsi="宋体"/>
                <w:sz w:val="24"/>
              </w:rPr>
              <w:t>③</w:t>
            </w:r>
            <w:r>
              <w:rPr>
                <w:rFonts w:hAnsi="宋体"/>
                <w:sz w:val="24"/>
              </w:rPr>
              <w:t>施工单位在施工期间应采取噪声防治措施：建筑施工单位应当采取有效措施，降低施工噪声污染，所排放的建筑施工噪声，应当符合国家规定的建筑施工场界噪声限值。机动车辆，应当安装完整有效的消声设备和符合规定的喇叭，整车噪声应当符合机动车辆噪声排放标准。</w:t>
            </w:r>
          </w:p>
          <w:p>
            <w:pPr>
              <w:spacing w:line="360" w:lineRule="auto"/>
              <w:ind w:firstLine="480" w:firstLineChars="200"/>
              <w:rPr>
                <w:rFonts w:hint="eastAsia" w:hAnsi="宋体"/>
                <w:sz w:val="24"/>
              </w:rPr>
            </w:pPr>
            <w:r>
              <w:rPr>
                <w:rFonts w:hint="eastAsia" w:hAnsi="宋体"/>
                <w:sz w:val="24"/>
              </w:rPr>
              <w:t>④</w:t>
            </w:r>
            <w:r>
              <w:rPr>
                <w:rFonts w:hAnsi="宋体"/>
                <w:sz w:val="24"/>
              </w:rPr>
              <w:t>合理调整高噪声设备的使用时间，优化施工工艺，同时应合理布置施工作业面，选择最佳的运输车辆进厂道路，避免交通噪声对外环境的影响。</w:t>
            </w:r>
          </w:p>
          <w:p>
            <w:pPr>
              <w:pStyle w:val="73"/>
              <w:spacing w:before="0" w:line="360" w:lineRule="auto"/>
              <w:ind w:firstLine="480" w:firstLineChars="200"/>
              <w:rPr>
                <w:rFonts w:hAnsi="宋体"/>
              </w:rPr>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hAnsi="宋体"/>
              </w:rPr>
              <w:t>禁止在12时至14时、22时至次日6时进行建筑施工作业。</w:t>
            </w:r>
          </w:p>
          <w:p>
            <w:pPr>
              <w:spacing w:line="360" w:lineRule="auto"/>
              <w:ind w:firstLine="482" w:firstLineChars="200"/>
              <w:rPr>
                <w:rFonts w:hint="eastAsia" w:hAnsi="宋体"/>
                <w:b/>
                <w:sz w:val="24"/>
              </w:rPr>
            </w:pPr>
            <w:r>
              <w:rPr>
                <w:rFonts w:hint="eastAsia" w:hAnsi="宋体"/>
                <w:b/>
                <w:sz w:val="24"/>
              </w:rPr>
              <w:t>2、营运期污染防治措施</w:t>
            </w:r>
          </w:p>
          <w:p>
            <w:pPr>
              <w:tabs>
                <w:tab w:val="left" w:pos="3060"/>
              </w:tabs>
              <w:spacing w:line="360" w:lineRule="auto"/>
              <w:ind w:firstLine="482" w:firstLineChars="200"/>
              <w:rPr>
                <w:rFonts w:hAnsi="宋体"/>
                <w:b/>
                <w:kern w:val="0"/>
                <w:sz w:val="24"/>
              </w:rPr>
            </w:pPr>
            <w:r>
              <w:rPr>
                <w:rFonts w:hint="eastAsia" w:hAnsi="宋体"/>
                <w:b/>
                <w:kern w:val="0"/>
                <w:sz w:val="24"/>
              </w:rPr>
              <w:t>（1）大气影响减缓措施</w:t>
            </w:r>
          </w:p>
          <w:p>
            <w:pPr>
              <w:tabs>
                <w:tab w:val="left" w:pos="3060"/>
              </w:tabs>
              <w:spacing w:line="360" w:lineRule="auto"/>
              <w:ind w:firstLine="480" w:firstLineChars="200"/>
              <w:rPr>
                <w:kern w:val="0"/>
                <w:sz w:val="24"/>
              </w:rPr>
            </w:pPr>
            <w:r>
              <w:rPr>
                <w:kern w:val="0"/>
                <w:sz w:val="24"/>
              </w:rPr>
              <w:fldChar w:fldCharType="begin"/>
            </w:r>
            <w:r>
              <w:rPr>
                <w:kern w:val="0"/>
                <w:sz w:val="24"/>
              </w:rPr>
              <w:instrText xml:space="preserve"> = 1 \* GB3 </w:instrText>
            </w:r>
            <w:r>
              <w:rPr>
                <w:kern w:val="0"/>
                <w:sz w:val="24"/>
              </w:rPr>
              <w:fldChar w:fldCharType="separate"/>
            </w:r>
            <w:r>
              <w:rPr>
                <w:rFonts w:hint="eastAsia" w:ascii="宋体" w:hAnsi="宋体" w:cs="宋体"/>
                <w:kern w:val="0"/>
                <w:sz w:val="24"/>
              </w:rPr>
              <w:t>①</w:t>
            </w:r>
            <w:r>
              <w:rPr>
                <w:kern w:val="0"/>
                <w:sz w:val="24"/>
              </w:rPr>
              <w:fldChar w:fldCharType="end"/>
            </w:r>
            <w:r>
              <w:rPr>
                <w:kern w:val="0"/>
                <w:sz w:val="24"/>
              </w:rPr>
              <w:t>设计中采取的大面积绿化将会使项目区域的环境空气得到一定的净化。</w:t>
            </w:r>
          </w:p>
          <w:p>
            <w:pPr>
              <w:tabs>
                <w:tab w:val="left" w:pos="3060"/>
              </w:tabs>
              <w:spacing w:line="360" w:lineRule="auto"/>
              <w:ind w:firstLine="480" w:firstLineChars="200"/>
              <w:rPr>
                <w:kern w:val="0"/>
                <w:sz w:val="24"/>
              </w:rPr>
            </w:pPr>
            <w:r>
              <w:rPr>
                <w:kern w:val="0"/>
                <w:sz w:val="24"/>
              </w:rPr>
              <w:fldChar w:fldCharType="begin"/>
            </w:r>
            <w:r>
              <w:rPr>
                <w:kern w:val="0"/>
                <w:sz w:val="24"/>
              </w:rPr>
              <w:instrText xml:space="preserve"> = 2 \* GB3 </w:instrText>
            </w:r>
            <w:r>
              <w:rPr>
                <w:kern w:val="0"/>
                <w:sz w:val="24"/>
              </w:rPr>
              <w:fldChar w:fldCharType="separate"/>
            </w:r>
            <w:r>
              <w:rPr>
                <w:rFonts w:hint="eastAsia" w:ascii="宋体" w:hAnsi="宋体" w:cs="宋体"/>
                <w:kern w:val="0"/>
                <w:sz w:val="24"/>
              </w:rPr>
              <w:t>②</w:t>
            </w:r>
            <w:r>
              <w:rPr>
                <w:kern w:val="0"/>
                <w:sz w:val="24"/>
              </w:rPr>
              <w:fldChar w:fldCharType="end"/>
            </w:r>
            <w:r>
              <w:rPr>
                <w:kern w:val="0"/>
                <w:sz w:val="24"/>
              </w:rPr>
              <w:t>应急发电机采用轻质柴油作为燃料，发电机消声器和排气管经过外接到地面绿化带，对环境影响较小。</w:t>
            </w:r>
          </w:p>
          <w:p>
            <w:pPr>
              <w:tabs>
                <w:tab w:val="left" w:pos="3060"/>
              </w:tabs>
              <w:spacing w:line="360" w:lineRule="auto"/>
              <w:ind w:firstLine="480" w:firstLineChars="200"/>
              <w:rPr>
                <w:kern w:val="0"/>
                <w:sz w:val="24"/>
              </w:rPr>
            </w:pPr>
            <w:r>
              <w:rPr>
                <w:kern w:val="0"/>
                <w:sz w:val="24"/>
              </w:rPr>
              <w:fldChar w:fldCharType="begin"/>
            </w:r>
            <w:r>
              <w:rPr>
                <w:kern w:val="0"/>
                <w:sz w:val="24"/>
              </w:rPr>
              <w:instrText xml:space="preserve"> = 3 \* GB3 </w:instrText>
            </w:r>
            <w:r>
              <w:rPr>
                <w:kern w:val="0"/>
                <w:sz w:val="24"/>
              </w:rPr>
              <w:fldChar w:fldCharType="separate"/>
            </w:r>
            <w:r>
              <w:rPr>
                <w:rFonts w:hint="eastAsia" w:ascii="宋体" w:hAnsi="宋体" w:cs="宋体"/>
                <w:kern w:val="0"/>
                <w:sz w:val="24"/>
              </w:rPr>
              <w:t>③</w:t>
            </w:r>
            <w:r>
              <w:rPr>
                <w:kern w:val="0"/>
                <w:sz w:val="24"/>
              </w:rPr>
              <w:fldChar w:fldCharType="end"/>
            </w:r>
            <w:r>
              <w:rPr>
                <w:kern w:val="0"/>
                <w:sz w:val="24"/>
              </w:rPr>
              <w:t>垃圾收集</w:t>
            </w:r>
            <w:r>
              <w:rPr>
                <w:rFonts w:hint="eastAsia"/>
                <w:kern w:val="0"/>
                <w:sz w:val="24"/>
              </w:rPr>
              <w:t>点</w:t>
            </w:r>
            <w:r>
              <w:rPr>
                <w:kern w:val="0"/>
                <w:sz w:val="24"/>
              </w:rPr>
              <w:t>周围</w:t>
            </w:r>
            <w:r>
              <w:rPr>
                <w:rFonts w:hint="eastAsia"/>
                <w:kern w:val="0"/>
                <w:sz w:val="24"/>
              </w:rPr>
              <w:t>设置</w:t>
            </w:r>
            <w:r>
              <w:rPr>
                <w:kern w:val="0"/>
                <w:sz w:val="24"/>
              </w:rPr>
              <w:t>绿化，产生的恶臭经过空气扩散和绿化植物的部分吸附作用，对环境影响较小。</w:t>
            </w:r>
          </w:p>
          <w:p>
            <w:pPr>
              <w:tabs>
                <w:tab w:val="left" w:pos="3060"/>
              </w:tabs>
              <w:spacing w:line="360" w:lineRule="auto"/>
              <w:ind w:firstLine="480" w:firstLineChars="200"/>
              <w:rPr>
                <w:kern w:val="0"/>
                <w:sz w:val="24"/>
              </w:rPr>
            </w:pPr>
            <w:r>
              <w:rPr>
                <w:kern w:val="0"/>
                <w:sz w:val="24"/>
              </w:rPr>
              <w:fldChar w:fldCharType="begin"/>
            </w:r>
            <w:r>
              <w:rPr>
                <w:kern w:val="0"/>
                <w:sz w:val="24"/>
              </w:rPr>
              <w:instrText xml:space="preserve"> = 4 \* GB3 </w:instrText>
            </w:r>
            <w:r>
              <w:rPr>
                <w:kern w:val="0"/>
                <w:sz w:val="24"/>
              </w:rPr>
              <w:fldChar w:fldCharType="separate"/>
            </w:r>
            <w:r>
              <w:rPr>
                <w:rFonts w:hint="eastAsia" w:ascii="宋体" w:hAnsi="宋体" w:cs="宋体"/>
                <w:kern w:val="0"/>
                <w:sz w:val="24"/>
              </w:rPr>
              <w:t>④</w:t>
            </w:r>
            <w:r>
              <w:rPr>
                <w:kern w:val="0"/>
                <w:sz w:val="24"/>
              </w:rPr>
              <w:fldChar w:fldCharType="end"/>
            </w:r>
            <w:r>
              <w:rPr>
                <w:kern w:val="0"/>
                <w:sz w:val="24"/>
              </w:rPr>
              <w:t xml:space="preserve"> </w:t>
            </w:r>
            <w:r>
              <w:rPr>
                <w:rFonts w:hint="eastAsia"/>
                <w:kern w:val="0"/>
                <w:sz w:val="24"/>
              </w:rPr>
              <w:t>化粪池</w:t>
            </w:r>
            <w:r>
              <w:rPr>
                <w:kern w:val="0"/>
                <w:sz w:val="24"/>
              </w:rPr>
              <w:t>主要为无组织排放，一般排放量较小，对环境影响较小。</w:t>
            </w:r>
          </w:p>
          <w:p>
            <w:pPr>
              <w:tabs>
                <w:tab w:val="left" w:pos="3060"/>
              </w:tabs>
              <w:spacing w:line="360" w:lineRule="auto"/>
              <w:ind w:firstLine="482" w:firstLineChars="200"/>
              <w:rPr>
                <w:rFonts w:hAnsi="宋体"/>
                <w:b/>
                <w:kern w:val="0"/>
                <w:sz w:val="24"/>
              </w:rPr>
            </w:pPr>
            <w:r>
              <w:rPr>
                <w:rFonts w:hint="eastAsia" w:hAnsi="宋体"/>
                <w:b/>
                <w:kern w:val="0"/>
                <w:sz w:val="24"/>
              </w:rPr>
              <w:t>（2）水环境影响减缓措施</w:t>
            </w:r>
          </w:p>
          <w:p>
            <w:pPr>
              <w:tabs>
                <w:tab w:val="left" w:pos="3060"/>
              </w:tabs>
              <w:spacing w:line="360" w:lineRule="auto"/>
              <w:ind w:firstLine="480" w:firstLineChars="200"/>
              <w:rPr>
                <w:rFonts w:hint="eastAsia" w:hAnsi="宋体"/>
                <w:sz w:val="24"/>
              </w:rPr>
            </w:pPr>
            <w:r>
              <w:rPr>
                <w:kern w:val="0"/>
                <w:sz w:val="24"/>
              </w:rPr>
              <w:fldChar w:fldCharType="begin"/>
            </w:r>
            <w:r>
              <w:rPr>
                <w:kern w:val="0"/>
                <w:sz w:val="24"/>
              </w:rPr>
              <w:instrText xml:space="preserve"> = 1 \* GB3 </w:instrText>
            </w:r>
            <w:r>
              <w:rPr>
                <w:kern w:val="0"/>
                <w:sz w:val="24"/>
              </w:rPr>
              <w:fldChar w:fldCharType="separate"/>
            </w:r>
            <w:r>
              <w:rPr>
                <w:rFonts w:hint="eastAsia" w:ascii="宋体" w:hAnsi="宋体" w:cs="宋体"/>
                <w:kern w:val="0"/>
                <w:sz w:val="24"/>
                <w:lang/>
              </w:rPr>
              <w:t>①</w:t>
            </w:r>
            <w:r>
              <w:rPr>
                <w:kern w:val="0"/>
                <w:sz w:val="24"/>
              </w:rPr>
              <w:fldChar w:fldCharType="end"/>
            </w:r>
            <w:r>
              <w:rPr>
                <w:kern w:val="0"/>
                <w:sz w:val="24"/>
              </w:rPr>
              <w:t>该项目采用雨、污分流制。污水</w:t>
            </w:r>
            <w:r>
              <w:rPr>
                <w:rFonts w:hint="eastAsia"/>
                <w:kern w:val="0"/>
                <w:sz w:val="24"/>
              </w:rPr>
              <w:t>经</w:t>
            </w:r>
            <w:r>
              <w:rPr>
                <w:kern w:val="0"/>
                <w:sz w:val="24"/>
              </w:rPr>
              <w:t>化粪池处理</w:t>
            </w:r>
            <w:r>
              <w:rPr>
                <w:rFonts w:hint="eastAsia"/>
                <w:kern w:val="0"/>
                <w:sz w:val="24"/>
              </w:rPr>
              <w:t>后</w:t>
            </w:r>
            <w:r>
              <w:rPr>
                <w:rFonts w:hint="eastAsia" w:hAnsi="宋体"/>
                <w:sz w:val="24"/>
              </w:rPr>
              <w:t>排入市政污水管网，最终进入维西县污水处理厂处理，</w:t>
            </w:r>
          </w:p>
          <w:p>
            <w:pPr>
              <w:tabs>
                <w:tab w:val="left" w:pos="3060"/>
              </w:tabs>
              <w:spacing w:line="360" w:lineRule="auto"/>
              <w:ind w:firstLine="480" w:firstLineChars="200"/>
              <w:rPr>
                <w:kern w:val="0"/>
                <w:sz w:val="24"/>
              </w:rPr>
            </w:pPr>
            <w:r>
              <w:rPr>
                <w:kern w:val="0"/>
                <w:sz w:val="24"/>
              </w:rPr>
              <w:fldChar w:fldCharType="begin"/>
            </w:r>
            <w:r>
              <w:rPr>
                <w:kern w:val="0"/>
                <w:sz w:val="24"/>
              </w:rPr>
              <w:instrText xml:space="preserve"> = 2 \* GB3 </w:instrText>
            </w:r>
            <w:r>
              <w:rPr>
                <w:kern w:val="0"/>
                <w:sz w:val="24"/>
              </w:rPr>
              <w:fldChar w:fldCharType="separate"/>
            </w:r>
            <w:r>
              <w:rPr>
                <w:rFonts w:hint="eastAsia" w:ascii="宋体" w:hAnsi="宋体" w:cs="宋体"/>
                <w:kern w:val="0"/>
                <w:sz w:val="24"/>
                <w:lang/>
              </w:rPr>
              <w:t>②</w:t>
            </w:r>
            <w:r>
              <w:rPr>
                <w:kern w:val="0"/>
                <w:sz w:val="24"/>
              </w:rPr>
              <w:fldChar w:fldCharType="end"/>
            </w:r>
            <w:r>
              <w:rPr>
                <w:rFonts w:hint="eastAsia"/>
                <w:kern w:val="0"/>
                <w:sz w:val="24"/>
              </w:rPr>
              <w:t>项目区</w:t>
            </w:r>
            <w:r>
              <w:rPr>
                <w:kern w:val="0"/>
                <w:sz w:val="24"/>
              </w:rPr>
              <w:t>内自建处理规模270m</w:t>
            </w:r>
            <w:r>
              <w:rPr>
                <w:kern w:val="0"/>
                <w:sz w:val="24"/>
                <w:vertAlign w:val="superscript"/>
              </w:rPr>
              <w:t>3</w:t>
            </w:r>
            <w:r>
              <w:rPr>
                <w:rFonts w:hint="eastAsia"/>
                <w:kern w:val="0"/>
                <w:sz w:val="24"/>
              </w:rPr>
              <w:t>的化粪池</w:t>
            </w:r>
            <w:r>
              <w:rPr>
                <w:kern w:val="0"/>
                <w:sz w:val="24"/>
              </w:rPr>
              <w:t>。</w:t>
            </w:r>
            <w:r>
              <w:rPr>
                <w:rFonts w:hint="eastAsia"/>
                <w:kern w:val="0"/>
                <w:sz w:val="24"/>
              </w:rPr>
              <w:t>项目区自建中水处理回用系统。</w:t>
            </w:r>
          </w:p>
          <w:p>
            <w:pPr>
              <w:tabs>
                <w:tab w:val="left" w:pos="3060"/>
              </w:tabs>
              <w:spacing w:line="360" w:lineRule="auto"/>
              <w:ind w:firstLine="480" w:firstLineChars="200"/>
              <w:rPr>
                <w:kern w:val="0"/>
                <w:sz w:val="24"/>
              </w:rPr>
            </w:pPr>
            <w:r>
              <w:rPr>
                <w:kern w:val="0"/>
                <w:sz w:val="24"/>
              </w:rPr>
              <w:fldChar w:fldCharType="begin"/>
            </w:r>
            <w:r>
              <w:rPr>
                <w:kern w:val="0"/>
                <w:sz w:val="24"/>
              </w:rPr>
              <w:instrText xml:space="preserve"> = 3 \* GB3 </w:instrText>
            </w:r>
            <w:r>
              <w:rPr>
                <w:kern w:val="0"/>
                <w:sz w:val="24"/>
              </w:rPr>
              <w:fldChar w:fldCharType="separate"/>
            </w:r>
            <w:r>
              <w:rPr>
                <w:rFonts w:hint="eastAsia" w:ascii="宋体" w:hAnsi="宋体" w:cs="宋体"/>
                <w:kern w:val="0"/>
                <w:sz w:val="24"/>
                <w:lang/>
              </w:rPr>
              <w:t>③</w:t>
            </w:r>
            <w:r>
              <w:rPr>
                <w:kern w:val="0"/>
                <w:sz w:val="24"/>
              </w:rPr>
              <w:fldChar w:fldCharType="end"/>
            </w:r>
            <w:r>
              <w:rPr>
                <w:kern w:val="0"/>
                <w:sz w:val="24"/>
              </w:rPr>
              <w:t>化粪池的清掏周期一般为180天，因而项目区的化粪池必须定期清掏，每年清掏不得少于2次，以保证化粪池的处理效果。加强排水管道的检修、巡查，避免因管道堵塞导致污水外泄污染附近环境。</w:t>
            </w:r>
          </w:p>
          <w:p>
            <w:pPr>
              <w:tabs>
                <w:tab w:val="left" w:pos="3060"/>
              </w:tabs>
              <w:spacing w:line="360" w:lineRule="auto"/>
              <w:ind w:firstLine="480" w:firstLineChars="200"/>
              <w:rPr>
                <w:kern w:val="0"/>
                <w:sz w:val="24"/>
              </w:rPr>
            </w:pPr>
            <w:r>
              <w:rPr>
                <w:kern w:val="0"/>
                <w:sz w:val="24"/>
              </w:rPr>
              <w:fldChar w:fldCharType="begin"/>
            </w:r>
            <w:r>
              <w:rPr>
                <w:kern w:val="0"/>
                <w:sz w:val="24"/>
              </w:rPr>
              <w:instrText xml:space="preserve"> = 4 \* GB3 </w:instrText>
            </w:r>
            <w:r>
              <w:rPr>
                <w:kern w:val="0"/>
                <w:sz w:val="24"/>
              </w:rPr>
              <w:fldChar w:fldCharType="separate"/>
            </w:r>
            <w:r>
              <w:rPr>
                <w:rFonts w:hint="eastAsia" w:ascii="宋体" w:hAnsi="宋体" w:cs="宋体"/>
                <w:kern w:val="0"/>
                <w:sz w:val="24"/>
                <w:lang/>
              </w:rPr>
              <w:t>④</w:t>
            </w:r>
            <w:r>
              <w:rPr>
                <w:kern w:val="0"/>
                <w:sz w:val="24"/>
              </w:rPr>
              <w:fldChar w:fldCharType="end"/>
            </w:r>
            <w:r>
              <w:rPr>
                <w:kern w:val="0"/>
                <w:sz w:val="24"/>
              </w:rPr>
              <w:t>加强环境保护宣传，提高</w:t>
            </w:r>
            <w:r>
              <w:rPr>
                <w:rFonts w:hint="eastAsia"/>
                <w:kern w:val="0"/>
                <w:sz w:val="24"/>
              </w:rPr>
              <w:t>商户</w:t>
            </w:r>
            <w:r>
              <w:rPr>
                <w:kern w:val="0"/>
                <w:sz w:val="24"/>
              </w:rPr>
              <w:t>的环境意识，禁止直接向外环境倾倒废水和固体废物。</w:t>
            </w:r>
          </w:p>
          <w:p>
            <w:pPr>
              <w:tabs>
                <w:tab w:val="left" w:pos="3060"/>
              </w:tabs>
              <w:spacing w:line="360" w:lineRule="auto"/>
              <w:ind w:firstLine="480" w:firstLineChars="200"/>
              <w:rPr>
                <w:kern w:val="0"/>
                <w:sz w:val="24"/>
              </w:rPr>
            </w:pPr>
            <w:r>
              <w:rPr>
                <w:kern w:val="0"/>
                <w:sz w:val="24"/>
              </w:rPr>
              <w:fldChar w:fldCharType="begin"/>
            </w:r>
            <w:r>
              <w:rPr>
                <w:kern w:val="0"/>
                <w:sz w:val="24"/>
              </w:rPr>
              <w:instrText xml:space="preserve"> = 5 \* GB3 </w:instrText>
            </w:r>
            <w:r>
              <w:rPr>
                <w:kern w:val="0"/>
                <w:sz w:val="24"/>
              </w:rPr>
              <w:fldChar w:fldCharType="separate"/>
            </w:r>
            <w:r>
              <w:rPr>
                <w:rFonts w:hint="eastAsia" w:ascii="宋体" w:hAnsi="宋体" w:cs="宋体"/>
                <w:kern w:val="0"/>
                <w:sz w:val="24"/>
                <w:lang/>
              </w:rPr>
              <w:t>⑤</w:t>
            </w:r>
            <w:r>
              <w:rPr>
                <w:kern w:val="0"/>
                <w:sz w:val="24"/>
              </w:rPr>
              <w:fldChar w:fldCharType="end"/>
            </w:r>
            <w:r>
              <w:rPr>
                <w:kern w:val="0"/>
                <w:sz w:val="24"/>
              </w:rPr>
              <w:t>污水处理设施应与建设项目</w:t>
            </w:r>
            <w:r>
              <w:rPr>
                <w:rFonts w:hint="eastAsia"/>
                <w:kern w:val="0"/>
                <w:sz w:val="24"/>
              </w:rPr>
              <w:t>“</w:t>
            </w:r>
            <w:r>
              <w:rPr>
                <w:kern w:val="0"/>
                <w:sz w:val="24"/>
              </w:rPr>
              <w:t>同时设计、同时施工、同时投入使用</w:t>
            </w:r>
            <w:r>
              <w:rPr>
                <w:rFonts w:hint="eastAsia"/>
                <w:kern w:val="0"/>
                <w:sz w:val="24"/>
              </w:rPr>
              <w:t>”</w:t>
            </w:r>
            <w:r>
              <w:rPr>
                <w:kern w:val="0"/>
                <w:sz w:val="24"/>
              </w:rPr>
              <w:t>。</w:t>
            </w:r>
          </w:p>
          <w:p>
            <w:pPr>
              <w:tabs>
                <w:tab w:val="left" w:pos="3060"/>
              </w:tabs>
              <w:spacing w:line="360" w:lineRule="auto"/>
              <w:ind w:firstLine="482" w:firstLineChars="200"/>
              <w:rPr>
                <w:rFonts w:hAnsi="宋体"/>
                <w:b/>
                <w:kern w:val="0"/>
                <w:sz w:val="24"/>
              </w:rPr>
            </w:pPr>
            <w:r>
              <w:rPr>
                <w:rFonts w:hint="eastAsia" w:hAnsi="宋体"/>
                <w:b/>
                <w:kern w:val="0"/>
                <w:sz w:val="24"/>
              </w:rPr>
              <w:t>（3）声环境影响减缓措施</w:t>
            </w:r>
          </w:p>
          <w:p>
            <w:pPr>
              <w:tabs>
                <w:tab w:val="left" w:pos="3060"/>
              </w:tabs>
              <w:spacing w:line="360" w:lineRule="auto"/>
              <w:ind w:firstLine="480" w:firstLineChars="200"/>
              <w:rPr>
                <w:rFonts w:hAnsi="宋体"/>
                <w:kern w:val="0"/>
                <w:sz w:val="24"/>
              </w:rPr>
            </w:pPr>
            <w:r>
              <w:rPr>
                <w:rFonts w:hint="eastAsia" w:hAnsi="宋体"/>
                <w:kern w:val="0"/>
                <w:sz w:val="24"/>
              </w:rPr>
              <w:t>①尽可能选用功能好、噪声低的设备；</w:t>
            </w:r>
          </w:p>
          <w:p>
            <w:pPr>
              <w:tabs>
                <w:tab w:val="left" w:pos="3060"/>
              </w:tabs>
              <w:spacing w:line="360" w:lineRule="auto"/>
              <w:ind w:firstLine="480" w:firstLineChars="200"/>
              <w:rPr>
                <w:rFonts w:hAnsi="宋体"/>
                <w:kern w:val="0"/>
                <w:sz w:val="24"/>
              </w:rPr>
            </w:pPr>
            <w:r>
              <w:rPr>
                <w:rFonts w:hint="eastAsia" w:hAnsi="宋体"/>
                <w:kern w:val="0"/>
                <w:sz w:val="24"/>
              </w:rPr>
              <w:t>②合理安排设备安放的位置，尽量远离住户，尽可能利用距离进行声级衰减；</w:t>
            </w:r>
          </w:p>
          <w:p>
            <w:pPr>
              <w:tabs>
                <w:tab w:val="left" w:pos="3060"/>
              </w:tabs>
              <w:spacing w:line="360" w:lineRule="auto"/>
              <w:ind w:firstLine="480" w:firstLineChars="200"/>
              <w:rPr>
                <w:rFonts w:hAnsi="宋体"/>
                <w:kern w:val="0"/>
                <w:sz w:val="24"/>
              </w:rPr>
            </w:pPr>
            <w:r>
              <w:rPr>
                <w:rFonts w:hint="eastAsia" w:hAnsi="宋体"/>
                <w:kern w:val="0"/>
                <w:sz w:val="24"/>
              </w:rPr>
              <w:t>③对机动车采取禁鸣喇叭，尽量减少机动车频繁启动；</w:t>
            </w:r>
          </w:p>
          <w:p>
            <w:pPr>
              <w:tabs>
                <w:tab w:val="left" w:pos="3060"/>
              </w:tabs>
              <w:spacing w:line="360" w:lineRule="auto"/>
              <w:ind w:firstLine="480" w:firstLineChars="200"/>
              <w:rPr>
                <w:rFonts w:hAnsi="宋体"/>
                <w:kern w:val="0"/>
                <w:sz w:val="24"/>
              </w:rPr>
            </w:pPr>
            <w:r>
              <w:rPr>
                <w:rFonts w:hint="eastAsia" w:hAnsi="宋体"/>
                <w:kern w:val="0"/>
                <w:sz w:val="24"/>
              </w:rPr>
              <w:t>④对商铺控制夜间营业时间。</w:t>
            </w:r>
          </w:p>
          <w:p>
            <w:pPr>
              <w:tabs>
                <w:tab w:val="left" w:pos="3060"/>
              </w:tabs>
              <w:spacing w:line="360" w:lineRule="auto"/>
              <w:ind w:firstLine="482" w:firstLineChars="200"/>
              <w:rPr>
                <w:rFonts w:hAnsi="宋体"/>
                <w:b/>
                <w:kern w:val="0"/>
                <w:sz w:val="24"/>
              </w:rPr>
            </w:pPr>
            <w:r>
              <w:rPr>
                <w:rFonts w:hint="eastAsia" w:hAnsi="宋体"/>
                <w:b/>
                <w:kern w:val="0"/>
                <w:sz w:val="24"/>
              </w:rPr>
              <w:t>（4）固体废物影响减缓措施</w:t>
            </w:r>
          </w:p>
          <w:p>
            <w:pPr>
              <w:tabs>
                <w:tab w:val="left" w:pos="3060"/>
              </w:tabs>
              <w:spacing w:line="360" w:lineRule="auto"/>
              <w:ind w:firstLine="480" w:firstLineChars="200"/>
              <w:rPr>
                <w:rFonts w:hAnsi="宋体"/>
                <w:kern w:val="0"/>
                <w:sz w:val="24"/>
              </w:rPr>
            </w:pPr>
            <w:r>
              <w:rPr>
                <w:rFonts w:hint="eastAsia" w:hAnsi="宋体"/>
                <w:kern w:val="0"/>
                <w:sz w:val="24"/>
              </w:rPr>
              <w:t>①垃圾尽可能进行简单分类，可回收的回收利用，不可回收的委托环卫部门统一清运处置。</w:t>
            </w:r>
          </w:p>
          <w:p>
            <w:pPr>
              <w:tabs>
                <w:tab w:val="left" w:pos="3060"/>
              </w:tabs>
              <w:spacing w:line="360" w:lineRule="auto"/>
              <w:ind w:firstLine="480" w:firstLineChars="200"/>
              <w:rPr>
                <w:rFonts w:hAnsi="宋体"/>
                <w:kern w:val="0"/>
                <w:sz w:val="24"/>
              </w:rPr>
            </w:pPr>
            <w:r>
              <w:rPr>
                <w:rFonts w:hint="eastAsia" w:hAnsi="宋体"/>
                <w:kern w:val="0"/>
                <w:sz w:val="24"/>
              </w:rPr>
              <w:t>②商铺经营过程中，产生的废纸箱集中收集，统一堆放，定期外售废品收购站。</w:t>
            </w:r>
          </w:p>
          <w:p>
            <w:pPr>
              <w:tabs>
                <w:tab w:val="left" w:pos="3060"/>
              </w:tabs>
              <w:spacing w:line="360" w:lineRule="auto"/>
              <w:ind w:firstLine="480" w:firstLineChars="200"/>
              <w:rPr>
                <w:rFonts w:hAnsi="宋体"/>
                <w:kern w:val="0"/>
                <w:sz w:val="24"/>
              </w:rPr>
            </w:pPr>
            <w:r>
              <w:rPr>
                <w:rFonts w:hint="eastAsia" w:hAnsi="宋体"/>
                <w:kern w:val="0"/>
                <w:sz w:val="24"/>
              </w:rPr>
              <w:t>③污水处理设施污泥产生量小，定期清掏后清运处理。</w:t>
            </w:r>
          </w:p>
          <w:p>
            <w:pPr>
              <w:tabs>
                <w:tab w:val="left" w:pos="3060"/>
              </w:tabs>
              <w:spacing w:line="360" w:lineRule="auto"/>
              <w:ind w:firstLine="480" w:firstLineChars="200"/>
              <w:rPr>
                <w:rFonts w:hint="eastAsia" w:hAnsi="宋体"/>
                <w:kern w:val="0"/>
                <w:sz w:val="24"/>
              </w:rPr>
            </w:pPr>
            <w:r>
              <w:rPr>
                <w:rFonts w:hint="eastAsia" w:hAnsi="宋体"/>
                <w:kern w:val="0"/>
                <w:sz w:val="24"/>
              </w:rPr>
              <w:t>通过采取以上措施，本项目营运期产生的固体废物均得到有效处置和综合利用，不直接外排，对项目区域环境影响小。</w:t>
            </w:r>
          </w:p>
          <w:p>
            <w:pPr>
              <w:spacing w:line="360" w:lineRule="auto"/>
              <w:rPr>
                <w:b/>
                <w:bCs/>
                <w:sz w:val="28"/>
                <w:szCs w:val="28"/>
              </w:rPr>
            </w:pPr>
            <w:r>
              <w:rPr>
                <w:rFonts w:hint="eastAsia" w:hAnsi="宋体"/>
                <w:b/>
                <w:bCs/>
                <w:sz w:val="28"/>
                <w:szCs w:val="28"/>
              </w:rPr>
              <w:t>三</w:t>
            </w:r>
            <w:r>
              <w:rPr>
                <w:rFonts w:hAnsi="宋体"/>
                <w:b/>
                <w:bCs/>
                <w:sz w:val="28"/>
                <w:szCs w:val="28"/>
              </w:rPr>
              <w:t>、要求</w:t>
            </w:r>
          </w:p>
          <w:p>
            <w:pPr>
              <w:spacing w:line="360" w:lineRule="auto"/>
              <w:ind w:firstLine="480" w:firstLineChars="200"/>
              <w:rPr>
                <w:sz w:val="24"/>
              </w:rPr>
            </w:pPr>
            <w:r>
              <w:rPr>
                <w:kern w:val="0"/>
                <w:sz w:val="24"/>
              </w:rPr>
              <w:t>1</w:t>
            </w:r>
            <w:r>
              <w:rPr>
                <w:rFonts w:hAnsi="宋体"/>
                <w:kern w:val="0"/>
                <w:sz w:val="24"/>
              </w:rPr>
              <w:t>、</w:t>
            </w:r>
            <w:r>
              <w:rPr>
                <w:rFonts w:hAnsi="宋体"/>
                <w:sz w:val="24"/>
              </w:rPr>
              <w:t>认真落实报告表中提出的各项环保措施。</w:t>
            </w:r>
          </w:p>
          <w:p>
            <w:pPr>
              <w:spacing w:line="360" w:lineRule="auto"/>
              <w:ind w:firstLine="480" w:firstLineChars="200"/>
              <w:rPr>
                <w:bCs/>
                <w:sz w:val="24"/>
              </w:rPr>
            </w:pPr>
            <w:r>
              <w:rPr>
                <w:bCs/>
                <w:sz w:val="24"/>
              </w:rPr>
              <w:t>2</w:t>
            </w:r>
            <w:r>
              <w:rPr>
                <w:rFonts w:hAnsi="宋体"/>
                <w:bCs/>
                <w:sz w:val="24"/>
              </w:rPr>
              <w:t>、落实环保资金，以实施治污措施，实现污染物达标排放。</w:t>
            </w:r>
          </w:p>
          <w:p>
            <w:pPr>
              <w:spacing w:line="360" w:lineRule="auto"/>
              <w:ind w:firstLine="480" w:firstLineChars="200"/>
              <w:rPr>
                <w:rFonts w:hint="eastAsia" w:hAnsi="宋体"/>
                <w:sz w:val="24"/>
              </w:rPr>
            </w:pPr>
            <w:r>
              <w:rPr>
                <w:sz w:val="24"/>
              </w:rPr>
              <w:t>3</w:t>
            </w:r>
            <w:r>
              <w:rPr>
                <w:rFonts w:hAnsi="宋体"/>
                <w:sz w:val="24"/>
              </w:rPr>
              <w:t>、</w:t>
            </w:r>
            <w:r>
              <w:rPr>
                <w:rFonts w:hAnsi="宋体"/>
                <w:kern w:val="0"/>
                <w:sz w:val="24"/>
              </w:rPr>
              <w:t>建设单位在本工程的建设及使用过程中必须严格执行国家现行的法律法规要求，</w:t>
            </w:r>
            <w:r>
              <w:rPr>
                <w:rFonts w:hAnsi="宋体"/>
                <w:sz w:val="24"/>
              </w:rPr>
              <w:t>明确厂内环保机构的主要职责，建立健全各项规章制度。</w:t>
            </w:r>
          </w:p>
          <w:p>
            <w:pPr>
              <w:spacing w:line="360" w:lineRule="auto"/>
              <w:ind w:firstLine="480"/>
              <w:rPr>
                <w:sz w:val="24"/>
              </w:rPr>
            </w:pPr>
            <w:r>
              <w:rPr>
                <w:rFonts w:hint="eastAsia"/>
                <w:sz w:val="24"/>
              </w:rPr>
              <w:t>4、</w:t>
            </w:r>
            <w:r>
              <w:rPr>
                <w:rFonts w:hAnsi="宋体"/>
                <w:sz w:val="24"/>
              </w:rPr>
              <w:t>该项目竣工后，</w:t>
            </w:r>
            <w:r>
              <w:rPr>
                <w:rFonts w:hint="eastAsia" w:hAnsi="宋体"/>
                <w:sz w:val="24"/>
              </w:rPr>
              <w:t>建设</w:t>
            </w:r>
            <w:r>
              <w:rPr>
                <w:rFonts w:hAnsi="宋体"/>
                <w:sz w:val="24"/>
              </w:rPr>
              <w:t>单位应当</w:t>
            </w:r>
            <w:r>
              <w:rPr>
                <w:rFonts w:hint="eastAsia" w:hAnsi="宋体"/>
                <w:sz w:val="24"/>
              </w:rPr>
              <w:t>组织进行该</w:t>
            </w:r>
            <w:r>
              <w:rPr>
                <w:rFonts w:hAnsi="宋体"/>
                <w:sz w:val="24"/>
              </w:rPr>
              <w:t>项目竣工环境保护验收。</w:t>
            </w:r>
            <w:r>
              <w:rPr>
                <w:rFonts w:hint="eastAsia" w:hAnsi="宋体"/>
                <w:sz w:val="24"/>
              </w:rPr>
              <w:t xml:space="preserve"> </w:t>
            </w:r>
          </w:p>
          <w:p>
            <w:pPr>
              <w:spacing w:line="360" w:lineRule="auto"/>
              <w:ind w:firstLine="480" w:firstLineChars="200"/>
              <w:rPr>
                <w:sz w:val="24"/>
              </w:rPr>
            </w:pPr>
            <w:r>
              <w:rPr>
                <w:rFonts w:hint="eastAsia"/>
                <w:sz w:val="24"/>
              </w:rPr>
              <w:t>5、加强生活污水处理设施（化粪池）的管理，定期清污。</w:t>
            </w:r>
          </w:p>
          <w:p>
            <w:pPr>
              <w:spacing w:line="360" w:lineRule="auto"/>
              <w:ind w:firstLine="480" w:firstLineChars="200"/>
              <w:rPr>
                <w:sz w:val="24"/>
              </w:rPr>
            </w:pPr>
            <w:r>
              <w:rPr>
                <w:rFonts w:hint="eastAsia"/>
                <w:sz w:val="24"/>
              </w:rPr>
              <w:t>6、垃圾及时清运。</w:t>
            </w:r>
          </w:p>
          <w:p>
            <w:pPr>
              <w:spacing w:line="360" w:lineRule="auto"/>
              <w:ind w:firstLine="480" w:firstLineChars="200"/>
              <w:rPr>
                <w:sz w:val="24"/>
              </w:rPr>
            </w:pPr>
            <w:r>
              <w:rPr>
                <w:rFonts w:hint="eastAsia"/>
                <w:sz w:val="24"/>
              </w:rPr>
              <w:t>7、物业管理内容中应该包括制定有关环境质量保护、维护环境卫生、保护环境整洁的相关制度与条例。</w:t>
            </w:r>
          </w:p>
          <w:p>
            <w:pPr>
              <w:spacing w:line="360" w:lineRule="auto"/>
              <w:ind w:firstLine="480" w:firstLineChars="200"/>
              <w:rPr>
                <w:kern w:val="0"/>
                <w:sz w:val="24"/>
              </w:rPr>
            </w:pPr>
            <w:r>
              <w:rPr>
                <w:rFonts w:hint="eastAsia"/>
                <w:kern w:val="0"/>
                <w:sz w:val="24"/>
              </w:rPr>
              <w:t>8</w:t>
            </w:r>
            <w:r>
              <w:rPr>
                <w:rFonts w:hAnsi="宋体"/>
                <w:kern w:val="0"/>
                <w:sz w:val="24"/>
              </w:rPr>
              <w:t>、营运期间必须积极协助配合各级环境保护部门的监督管理。</w:t>
            </w:r>
          </w:p>
          <w:p>
            <w:pPr>
              <w:spacing w:line="360" w:lineRule="auto"/>
              <w:rPr>
                <w:rFonts w:hAnsi="宋体"/>
                <w:b/>
                <w:bCs/>
                <w:sz w:val="28"/>
                <w:szCs w:val="28"/>
              </w:rPr>
            </w:pPr>
            <w:r>
              <w:rPr>
                <w:rFonts w:hint="eastAsia" w:hAnsi="宋体"/>
                <w:b/>
                <w:bCs/>
                <w:sz w:val="28"/>
                <w:szCs w:val="28"/>
              </w:rPr>
              <w:t>四</w:t>
            </w:r>
            <w:r>
              <w:rPr>
                <w:rFonts w:hAnsi="宋体"/>
                <w:b/>
                <w:bCs/>
                <w:sz w:val="28"/>
                <w:szCs w:val="28"/>
              </w:rPr>
              <w:t>、建议</w:t>
            </w:r>
          </w:p>
          <w:p>
            <w:pPr>
              <w:tabs>
                <w:tab w:val="left" w:pos="3060"/>
              </w:tabs>
              <w:spacing w:line="360" w:lineRule="auto"/>
              <w:ind w:firstLine="480" w:firstLineChars="200"/>
              <w:rPr>
                <w:rFonts w:hAnsi="宋体"/>
                <w:kern w:val="0"/>
                <w:sz w:val="24"/>
              </w:rPr>
            </w:pPr>
            <w:r>
              <w:rPr>
                <w:rFonts w:hint="eastAsia" w:hAnsi="宋体"/>
                <w:kern w:val="0"/>
                <w:sz w:val="24"/>
              </w:rPr>
              <w:t>1、项目建设和建成使用后，应加强环境保护的管理，建立相应的环境保护管理制度，并纳入项目环境保护管理议事日程中，确保制度的执行。</w:t>
            </w:r>
          </w:p>
          <w:p>
            <w:pPr>
              <w:tabs>
                <w:tab w:val="left" w:pos="3060"/>
              </w:tabs>
              <w:spacing w:line="360" w:lineRule="auto"/>
              <w:ind w:firstLine="480" w:firstLineChars="200"/>
              <w:rPr>
                <w:rFonts w:hAnsi="宋体"/>
                <w:kern w:val="0"/>
                <w:sz w:val="24"/>
              </w:rPr>
            </w:pPr>
            <w:r>
              <w:rPr>
                <w:rFonts w:hint="eastAsia" w:hAnsi="宋体"/>
                <w:kern w:val="0"/>
                <w:sz w:val="24"/>
              </w:rPr>
              <w:t>2、</w:t>
            </w:r>
            <w:r>
              <w:rPr>
                <w:rFonts w:hAnsi="宋体"/>
                <w:kern w:val="0"/>
                <w:sz w:val="24"/>
              </w:rPr>
              <w:t>加强</w:t>
            </w:r>
            <w:r>
              <w:rPr>
                <w:rFonts w:hint="eastAsia" w:hAnsi="宋体"/>
                <w:kern w:val="0"/>
                <w:sz w:val="24"/>
              </w:rPr>
              <w:t>项目</w:t>
            </w:r>
            <w:r>
              <w:rPr>
                <w:rFonts w:hAnsi="宋体"/>
                <w:kern w:val="0"/>
                <w:sz w:val="24"/>
              </w:rPr>
              <w:t>绿化工程的维护，保证植物的成活率。并在绿化品种上做到多样性。</w:t>
            </w:r>
          </w:p>
          <w:p>
            <w:pPr>
              <w:spacing w:line="360" w:lineRule="auto"/>
              <w:ind w:firstLine="480" w:firstLineChars="200"/>
              <w:rPr>
                <w:kern w:val="0"/>
                <w:sz w:val="24"/>
              </w:rPr>
            </w:pPr>
            <w:r>
              <w:rPr>
                <w:rFonts w:hint="eastAsia"/>
                <w:kern w:val="0"/>
                <w:sz w:val="24"/>
              </w:rPr>
              <w:t>3</w:t>
            </w:r>
            <w:r>
              <w:rPr>
                <w:kern w:val="0"/>
                <w:sz w:val="24"/>
              </w:rPr>
              <w:t>、企业应强化管理，树立环保意识，并由专人通过培训负责环保工作。</w:t>
            </w:r>
          </w:p>
          <w:p>
            <w:pPr>
              <w:spacing w:line="360" w:lineRule="auto"/>
              <w:ind w:firstLine="480" w:firstLineChars="200"/>
              <w:rPr>
                <w:rFonts w:hint="eastAsia"/>
                <w:kern w:val="0"/>
                <w:sz w:val="24"/>
              </w:rPr>
            </w:pPr>
            <w:r>
              <w:rPr>
                <w:rFonts w:hint="eastAsia"/>
                <w:kern w:val="0"/>
                <w:sz w:val="24"/>
              </w:rPr>
              <w:t>4</w:t>
            </w:r>
            <w:r>
              <w:rPr>
                <w:kern w:val="0"/>
                <w:sz w:val="24"/>
              </w:rPr>
              <w:t>、平时应加强管理，减少垃圾</w:t>
            </w:r>
            <w:r>
              <w:rPr>
                <w:rFonts w:hint="eastAsia"/>
                <w:kern w:val="0"/>
                <w:sz w:val="24"/>
              </w:rPr>
              <w:t>和</w:t>
            </w:r>
            <w:r>
              <w:rPr>
                <w:kern w:val="0"/>
                <w:sz w:val="24"/>
              </w:rPr>
              <w:t>渗滤液的跑、冒、滴、漏。</w:t>
            </w:r>
          </w:p>
          <w:p>
            <w:pPr>
              <w:spacing w:line="360" w:lineRule="auto"/>
              <w:ind w:firstLine="480" w:firstLineChars="200"/>
              <w:rPr>
                <w:rFonts w:hint="eastAsia"/>
                <w:kern w:val="0"/>
                <w:sz w:val="24"/>
              </w:rPr>
            </w:pPr>
          </w:p>
          <w:p>
            <w:pPr>
              <w:spacing w:line="360" w:lineRule="auto"/>
              <w:ind w:firstLine="480" w:firstLineChars="200"/>
              <w:rPr>
                <w:rFonts w:hint="eastAsia"/>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kern w:val="0"/>
                <w:sz w:val="24"/>
              </w:rPr>
            </w:pPr>
          </w:p>
          <w:p>
            <w:pPr>
              <w:spacing w:line="360" w:lineRule="auto"/>
              <w:ind w:firstLine="480" w:firstLineChars="200"/>
              <w:rPr>
                <w:rFonts w:hint="eastAsia"/>
                <w:kern w:val="0"/>
                <w:sz w:val="24"/>
              </w:rPr>
            </w:pPr>
          </w:p>
          <w:p>
            <w:pPr>
              <w:spacing w:line="360" w:lineRule="auto"/>
              <w:ind w:firstLine="480" w:firstLineChars="200"/>
              <w:rPr>
                <w:rFonts w:hint="eastAsia"/>
                <w:color w:val="FF0000"/>
                <w:kern w:val="0"/>
                <w:sz w:val="24"/>
              </w:rPr>
            </w:pPr>
          </w:p>
          <w:p>
            <w:pPr>
              <w:autoSpaceDE w:val="0"/>
              <w:autoSpaceDN w:val="0"/>
              <w:adjustRightInd w:val="0"/>
              <w:spacing w:line="360" w:lineRule="auto"/>
              <w:jc w:val="left"/>
              <w:rPr>
                <w:color w:val="FF0000"/>
              </w:rPr>
            </w:pPr>
          </w:p>
        </w:tc>
      </w:tr>
    </w:tbl>
    <w:p>
      <w:pPr>
        <w:spacing w:line="360" w:lineRule="auto"/>
        <w:rPr>
          <w:color w:val="FF0000"/>
          <w:sz w:val="24"/>
        </w:rPr>
        <w:sectPr>
          <w:headerReference r:id="rId6" w:type="default"/>
          <w:footerReference r:id="rId7" w:type="even"/>
          <w:pgSz w:w="11906" w:h="16838"/>
          <w:pgMar w:top="1418" w:right="1418" w:bottom="1418" w:left="1418" w:header="851" w:footer="992" w:gutter="0"/>
          <w:pgNumType w:start="1"/>
          <w:cols w:space="720" w:num="1"/>
          <w:docGrid w:type="lines" w:linePitch="312" w:charSpace="0"/>
        </w:sectPr>
      </w:pPr>
    </w:p>
    <w:p>
      <w:pPr>
        <w:spacing w:line="360" w:lineRule="auto"/>
        <w:rPr>
          <w:color w:val="FF0000"/>
          <w:sz w:val="24"/>
        </w:rPr>
      </w:pPr>
      <w:r>
        <w:rPr>
          <w:color w:val="FF0000"/>
          <w:sz w:val="24"/>
          <w:lang/>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100965</wp:posOffset>
                </wp:positionV>
                <wp:extent cx="5943600" cy="4358640"/>
                <wp:effectExtent l="9525" t="9525" r="9525" b="13335"/>
                <wp:wrapNone/>
                <wp:docPr id="1" name="文本框 100"/>
                <wp:cNvGraphicFramePr/>
                <a:graphic xmlns:a="http://schemas.openxmlformats.org/drawingml/2006/main">
                  <a:graphicData uri="http://schemas.microsoft.com/office/word/2010/wordprocessingShape">
                    <wps:wsp>
                      <wps:cNvSpPr txBox="1"/>
                      <wps:spPr>
                        <a:xfrm>
                          <a:off x="0" y="0"/>
                          <a:ext cx="5943600" cy="435864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60" w:lineRule="auto"/>
                              <w:rPr>
                                <w:rFonts w:hint="eastAsia"/>
                                <w:b/>
                                <w:sz w:val="28"/>
                                <w:szCs w:val="28"/>
                              </w:rPr>
                            </w:pPr>
                            <w:r>
                              <w:rPr>
                                <w:rFonts w:hint="eastAsia"/>
                                <w:b/>
                                <w:sz w:val="28"/>
                                <w:szCs w:val="28"/>
                              </w:rPr>
                              <w:t>预审意见：</w:t>
                            </w: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ind w:firstLine="6437" w:firstLineChars="2290"/>
                              <w:rPr>
                                <w:rFonts w:hint="eastAsia"/>
                                <w:b/>
                                <w:sz w:val="28"/>
                                <w:szCs w:val="28"/>
                              </w:rPr>
                            </w:pPr>
                            <w:r>
                              <w:rPr>
                                <w:rFonts w:hint="eastAsia"/>
                                <w:b/>
                                <w:sz w:val="28"/>
                                <w:szCs w:val="28"/>
                              </w:rPr>
                              <w:t>公  章</w:t>
                            </w:r>
                          </w:p>
                          <w:p>
                            <w:pPr>
                              <w:spacing w:line="360" w:lineRule="auto"/>
                              <w:rPr>
                                <w:rFonts w:hint="eastAsia"/>
                                <w:b/>
                                <w:sz w:val="28"/>
                                <w:szCs w:val="28"/>
                              </w:rPr>
                            </w:pPr>
                            <w:r>
                              <w:rPr>
                                <w:rFonts w:hint="eastAsia"/>
                                <w:b/>
                                <w:sz w:val="28"/>
                                <w:szCs w:val="28"/>
                              </w:rPr>
                              <w:t>经办人：</w:t>
                            </w:r>
                          </w:p>
                          <w:p>
                            <w:pPr>
                              <w:spacing w:line="360" w:lineRule="auto"/>
                              <w:ind w:firstLine="5875" w:firstLineChars="2090"/>
                              <w:rPr>
                                <w:rFonts w:hint="eastAsia"/>
                                <w:b/>
                                <w:sz w:val="28"/>
                                <w:szCs w:val="28"/>
                              </w:rPr>
                            </w:pPr>
                            <w:r>
                              <w:rPr>
                                <w:rFonts w:hint="eastAsia"/>
                                <w:b/>
                                <w:sz w:val="28"/>
                                <w:szCs w:val="28"/>
                              </w:rPr>
                              <w:t>年     月     日</w:t>
                            </w:r>
                          </w:p>
                          <w:p/>
                        </w:txbxContent>
                      </wps:txbx>
                      <wps:bodyPr wrap="square" upright="1"/>
                    </wps:wsp>
                  </a:graphicData>
                </a:graphic>
              </wp:anchor>
            </w:drawing>
          </mc:Choice>
          <mc:Fallback>
            <w:pict>
              <v:shape id="文本框 100" o:spid="_x0000_s1026" o:spt="202" type="#_x0000_t202" style="position:absolute;left:0pt;margin-left:-27pt;margin-top:7.95pt;height:343.2pt;width:468pt;z-index:251659264;mso-width-relative:page;mso-height-relative:page;" fillcolor="#FFFFFF" filled="t" stroked="t" coordsize="21600,21600" o:gfxdata="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h6dbXAAAACgEAAA8A&#10;AAAAAAAAAQAgAAAAIgAAAGRycy9kb3ducmV2LnhtbFBLAQIUABQAAAAIAIdO4kBFk1CoGAIAAEgE&#10;AAAOAAAAAAAAAAEAIAAAACYBAABkcnMvZTJvRG9jLnhtbFBLBQYAAAAABgAGAFkBAACwBQAAAAA=&#10;">
                <v:fill on="t" focussize="0,0"/>
                <v:stroke weight="1.5pt" color="#000000" joinstyle="miter"/>
                <v:imagedata o:title=""/>
                <o:lock v:ext="edit" aspectratio="f"/>
                <v:textbox>
                  <w:txbxContent>
                    <w:p>
                      <w:pPr>
                        <w:spacing w:line="360" w:lineRule="auto"/>
                        <w:rPr>
                          <w:rFonts w:hint="eastAsia"/>
                          <w:b/>
                          <w:sz w:val="28"/>
                          <w:szCs w:val="28"/>
                        </w:rPr>
                      </w:pPr>
                      <w:r>
                        <w:rPr>
                          <w:rFonts w:hint="eastAsia"/>
                          <w:b/>
                          <w:sz w:val="28"/>
                          <w:szCs w:val="28"/>
                        </w:rPr>
                        <w:t>预审意见：</w:t>
                      </w: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ind w:firstLine="6437" w:firstLineChars="2290"/>
                        <w:rPr>
                          <w:rFonts w:hint="eastAsia"/>
                          <w:b/>
                          <w:sz w:val="28"/>
                          <w:szCs w:val="28"/>
                        </w:rPr>
                      </w:pPr>
                      <w:r>
                        <w:rPr>
                          <w:rFonts w:hint="eastAsia"/>
                          <w:b/>
                          <w:sz w:val="28"/>
                          <w:szCs w:val="28"/>
                        </w:rPr>
                        <w:t>公  章</w:t>
                      </w:r>
                    </w:p>
                    <w:p>
                      <w:pPr>
                        <w:spacing w:line="360" w:lineRule="auto"/>
                        <w:rPr>
                          <w:rFonts w:hint="eastAsia"/>
                          <w:b/>
                          <w:sz w:val="28"/>
                          <w:szCs w:val="28"/>
                        </w:rPr>
                      </w:pPr>
                      <w:r>
                        <w:rPr>
                          <w:rFonts w:hint="eastAsia"/>
                          <w:b/>
                          <w:sz w:val="28"/>
                          <w:szCs w:val="28"/>
                        </w:rPr>
                        <w:t>经办人：</w:t>
                      </w:r>
                    </w:p>
                    <w:p>
                      <w:pPr>
                        <w:spacing w:line="360" w:lineRule="auto"/>
                        <w:ind w:firstLine="5875" w:firstLineChars="2090"/>
                        <w:rPr>
                          <w:rFonts w:hint="eastAsia"/>
                          <w:b/>
                          <w:sz w:val="28"/>
                          <w:szCs w:val="28"/>
                        </w:rPr>
                      </w:pPr>
                      <w:r>
                        <w:rPr>
                          <w:rFonts w:hint="eastAsia"/>
                          <w:b/>
                          <w:sz w:val="28"/>
                          <w:szCs w:val="28"/>
                        </w:rPr>
                        <w:t>年     月     日</w:t>
                      </w:r>
                    </w:p>
                    <w:p/>
                  </w:txbxContent>
                </v:textbox>
              </v:shape>
            </w:pict>
          </mc:Fallback>
        </mc:AlternateContent>
      </w: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r>
        <w:rPr>
          <w:color w:val="FF0000"/>
          <w:sz w:val="24"/>
          <w:lang/>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0</wp:posOffset>
                </wp:positionV>
                <wp:extent cx="5943600" cy="4358640"/>
                <wp:effectExtent l="9525" t="9525" r="9525" b="13335"/>
                <wp:wrapNone/>
                <wp:docPr id="2" name="文本框 101"/>
                <wp:cNvGraphicFramePr/>
                <a:graphic xmlns:a="http://schemas.openxmlformats.org/drawingml/2006/main">
                  <a:graphicData uri="http://schemas.microsoft.com/office/word/2010/wordprocessingShape">
                    <wps:wsp>
                      <wps:cNvSpPr txBox="1"/>
                      <wps:spPr>
                        <a:xfrm>
                          <a:off x="0" y="0"/>
                          <a:ext cx="5943600" cy="435864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pStyle w:val="21"/>
                              <w:rPr>
                                <w:rFonts w:ascii="Times New Roman" w:hAnsi="Times New Roman"/>
                                <w:b/>
                              </w:rPr>
                            </w:pPr>
                            <w:r>
                              <w:rPr>
                                <w:rFonts w:hint="eastAsia" w:ascii="Times New Roman" w:hAnsi="Times New Roman"/>
                                <w:b/>
                              </w:rPr>
                              <w:t>下一级环境保护行政</w:t>
                            </w:r>
                            <w:r>
                              <w:rPr>
                                <w:rFonts w:ascii="Times New Roman" w:hAnsi="Times New Roman"/>
                                <w:b/>
                              </w:rPr>
                              <w:t>主管部门审查意见：</w:t>
                            </w:r>
                          </w:p>
                          <w:p>
                            <w:pPr>
                              <w:pStyle w:val="21"/>
                              <w:rPr>
                                <w:rFonts w:ascii="Times New Roman" w:hAnsi="Times New Roman"/>
                              </w:rPr>
                            </w:pPr>
                          </w:p>
                          <w:p>
                            <w:pPr>
                              <w:pStyle w:val="21"/>
                              <w:rPr>
                                <w:rFonts w:ascii="Times New Roman" w:hAnsi="Times New Roman"/>
                              </w:rPr>
                            </w:pPr>
                          </w:p>
                          <w:p>
                            <w:pPr>
                              <w:pStyle w:val="21"/>
                              <w:rPr>
                                <w:rFonts w:ascii="Times New Roman" w:hAnsi="Times New Roman"/>
                              </w:rPr>
                            </w:pPr>
                          </w:p>
                          <w:p>
                            <w:pPr>
                              <w:pStyle w:val="21"/>
                              <w:rPr>
                                <w:rFonts w:ascii="Times New Roman" w:hAnsi="Times New Roman"/>
                              </w:rPr>
                            </w:pPr>
                          </w:p>
                          <w:p>
                            <w:pPr>
                              <w:pStyle w:val="21"/>
                              <w:rPr>
                                <w:rFonts w:ascii="Times New Roman" w:hAnsi="Times New Roman"/>
                              </w:rPr>
                            </w:pPr>
                          </w:p>
                          <w:p>
                            <w:pPr>
                              <w:pStyle w:val="21"/>
                              <w:rPr>
                                <w:rFonts w:ascii="Times New Roman" w:hAnsi="Times New Roman"/>
                              </w:rPr>
                            </w:pPr>
                          </w:p>
                          <w:p>
                            <w:pPr>
                              <w:pStyle w:val="21"/>
                              <w:rPr>
                                <w:rFonts w:ascii="Times New Roman" w:hAnsi="Times New Roman"/>
                                <w:b/>
                              </w:rPr>
                            </w:pPr>
                            <w:r>
                              <w:rPr>
                                <w:rFonts w:ascii="Times New Roman" w:hAnsi="Times New Roman"/>
                              </w:rPr>
                              <w:t xml:space="preserve">     </w:t>
                            </w:r>
                            <w:r>
                              <w:rPr>
                                <w:rFonts w:ascii="Times New Roman" w:hAnsi="Times New Roman"/>
                                <w:b/>
                              </w:rPr>
                              <w:t xml:space="preserve">                                          </w:t>
                            </w:r>
                            <w:r>
                              <w:rPr>
                                <w:rFonts w:hint="eastAsia" w:ascii="Times New Roman" w:hAnsi="Times New Roman"/>
                                <w:b/>
                              </w:rPr>
                              <w:t xml:space="preserve">  </w:t>
                            </w:r>
                            <w:r>
                              <w:rPr>
                                <w:rFonts w:ascii="Times New Roman" w:hAnsi="Times New Roman"/>
                                <w:b/>
                              </w:rPr>
                              <w:t>公  章</w:t>
                            </w:r>
                          </w:p>
                          <w:p>
                            <w:pPr>
                              <w:pStyle w:val="21"/>
                              <w:rPr>
                                <w:rFonts w:hint="eastAsia" w:ascii="Times New Roman" w:hAnsi="Times New Roman"/>
                                <w:b/>
                              </w:rPr>
                            </w:pPr>
                            <w:r>
                              <w:rPr>
                                <w:rFonts w:ascii="Times New Roman" w:hAnsi="Times New Roman"/>
                                <w:b/>
                              </w:rPr>
                              <w:t xml:space="preserve">     经办人：                               </w:t>
                            </w:r>
                          </w:p>
                          <w:p>
                            <w:pPr>
                              <w:pStyle w:val="21"/>
                              <w:ind w:firstLine="6578" w:firstLineChars="2340"/>
                              <w:rPr>
                                <w:rFonts w:ascii="Times New Roman" w:hAnsi="Times New Roman"/>
                                <w:b/>
                              </w:rPr>
                            </w:pPr>
                            <w:r>
                              <w:rPr>
                                <w:rFonts w:ascii="Times New Roman" w:hAnsi="Times New Roman"/>
                                <w:b/>
                              </w:rPr>
                              <w:t>年   月   日</w:t>
                            </w:r>
                          </w:p>
                          <w:p/>
                        </w:txbxContent>
                      </wps:txbx>
                      <wps:bodyPr wrap="square" upright="1"/>
                    </wps:wsp>
                  </a:graphicData>
                </a:graphic>
              </wp:anchor>
            </w:drawing>
          </mc:Choice>
          <mc:Fallback>
            <w:pict>
              <v:shape id="文本框 101" o:spid="_x0000_s1026" o:spt="202" type="#_x0000_t202" style="position:absolute;left:0pt;margin-left:-27pt;margin-top:0pt;height:343.2pt;width:468pt;z-index:251660288;mso-width-relative:page;mso-height-relative:page;" fillcolor="#FFFFFF" filled="t" stroked="t" coordsize="21600,21600" o:gfxdata="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NeHhnVAAAACAEAAA8A&#10;AAAAAAAAAQAgAAAAIgAAAGRycy9kb3ducmV2LnhtbFBLAQIUABQAAAAIAIdO4kA7iSf4GgIAAEgE&#10;AAAOAAAAAAAAAAEAIAAAACQBAABkcnMvZTJvRG9jLnhtbFBLBQYAAAAABgAGAFkBAACwBQAAAAA=&#10;">
                <v:fill on="t" focussize="0,0"/>
                <v:stroke weight="1.5pt" color="#000000" joinstyle="miter"/>
                <v:imagedata o:title=""/>
                <o:lock v:ext="edit" aspectratio="f"/>
                <v:textbox>
                  <w:txbxContent>
                    <w:p>
                      <w:pPr>
                        <w:pStyle w:val="21"/>
                        <w:rPr>
                          <w:rFonts w:ascii="Times New Roman" w:hAnsi="Times New Roman"/>
                          <w:b/>
                        </w:rPr>
                      </w:pPr>
                      <w:r>
                        <w:rPr>
                          <w:rFonts w:hint="eastAsia" w:ascii="Times New Roman" w:hAnsi="Times New Roman"/>
                          <w:b/>
                        </w:rPr>
                        <w:t>下一级环境保护行政</w:t>
                      </w:r>
                      <w:r>
                        <w:rPr>
                          <w:rFonts w:ascii="Times New Roman" w:hAnsi="Times New Roman"/>
                          <w:b/>
                        </w:rPr>
                        <w:t>主管部门审查意见：</w:t>
                      </w:r>
                    </w:p>
                    <w:p>
                      <w:pPr>
                        <w:pStyle w:val="21"/>
                        <w:rPr>
                          <w:rFonts w:ascii="Times New Roman" w:hAnsi="Times New Roman"/>
                        </w:rPr>
                      </w:pPr>
                    </w:p>
                    <w:p>
                      <w:pPr>
                        <w:pStyle w:val="21"/>
                        <w:rPr>
                          <w:rFonts w:ascii="Times New Roman" w:hAnsi="Times New Roman"/>
                        </w:rPr>
                      </w:pPr>
                    </w:p>
                    <w:p>
                      <w:pPr>
                        <w:pStyle w:val="21"/>
                        <w:rPr>
                          <w:rFonts w:ascii="Times New Roman" w:hAnsi="Times New Roman"/>
                        </w:rPr>
                      </w:pPr>
                    </w:p>
                    <w:p>
                      <w:pPr>
                        <w:pStyle w:val="21"/>
                        <w:rPr>
                          <w:rFonts w:ascii="Times New Roman" w:hAnsi="Times New Roman"/>
                        </w:rPr>
                      </w:pPr>
                    </w:p>
                    <w:p>
                      <w:pPr>
                        <w:pStyle w:val="21"/>
                        <w:rPr>
                          <w:rFonts w:ascii="Times New Roman" w:hAnsi="Times New Roman"/>
                        </w:rPr>
                      </w:pPr>
                    </w:p>
                    <w:p>
                      <w:pPr>
                        <w:pStyle w:val="21"/>
                        <w:rPr>
                          <w:rFonts w:ascii="Times New Roman" w:hAnsi="Times New Roman"/>
                        </w:rPr>
                      </w:pPr>
                    </w:p>
                    <w:p>
                      <w:pPr>
                        <w:pStyle w:val="21"/>
                        <w:rPr>
                          <w:rFonts w:ascii="Times New Roman" w:hAnsi="Times New Roman"/>
                          <w:b/>
                        </w:rPr>
                      </w:pPr>
                      <w:r>
                        <w:rPr>
                          <w:rFonts w:ascii="Times New Roman" w:hAnsi="Times New Roman"/>
                        </w:rPr>
                        <w:t xml:space="preserve">     </w:t>
                      </w:r>
                      <w:r>
                        <w:rPr>
                          <w:rFonts w:ascii="Times New Roman" w:hAnsi="Times New Roman"/>
                          <w:b/>
                        </w:rPr>
                        <w:t xml:space="preserve">                                          </w:t>
                      </w:r>
                      <w:r>
                        <w:rPr>
                          <w:rFonts w:hint="eastAsia" w:ascii="Times New Roman" w:hAnsi="Times New Roman"/>
                          <w:b/>
                        </w:rPr>
                        <w:t xml:space="preserve">  </w:t>
                      </w:r>
                      <w:r>
                        <w:rPr>
                          <w:rFonts w:ascii="Times New Roman" w:hAnsi="Times New Roman"/>
                          <w:b/>
                        </w:rPr>
                        <w:t>公  章</w:t>
                      </w:r>
                    </w:p>
                    <w:p>
                      <w:pPr>
                        <w:pStyle w:val="21"/>
                        <w:rPr>
                          <w:rFonts w:hint="eastAsia" w:ascii="Times New Roman" w:hAnsi="Times New Roman"/>
                          <w:b/>
                        </w:rPr>
                      </w:pPr>
                      <w:r>
                        <w:rPr>
                          <w:rFonts w:ascii="Times New Roman" w:hAnsi="Times New Roman"/>
                          <w:b/>
                        </w:rPr>
                        <w:t xml:space="preserve">     经办人：                               </w:t>
                      </w:r>
                    </w:p>
                    <w:p>
                      <w:pPr>
                        <w:pStyle w:val="21"/>
                        <w:ind w:firstLine="6578" w:firstLineChars="2340"/>
                        <w:rPr>
                          <w:rFonts w:ascii="Times New Roman" w:hAnsi="Times New Roman"/>
                          <w:b/>
                        </w:rPr>
                      </w:pPr>
                      <w:r>
                        <w:rPr>
                          <w:rFonts w:ascii="Times New Roman" w:hAnsi="Times New Roman"/>
                          <w:b/>
                        </w:rPr>
                        <w:t>年   月   日</w:t>
                      </w:r>
                    </w:p>
                    <w:p/>
                  </w:txbxContent>
                </v:textbox>
              </v:shape>
            </w:pict>
          </mc:Fallback>
        </mc:AlternateContent>
      </w: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p>
    <w:p>
      <w:pPr>
        <w:spacing w:line="360" w:lineRule="auto"/>
        <w:rPr>
          <w:color w:val="FF0000"/>
          <w:sz w:val="24"/>
        </w:rPr>
      </w:pPr>
      <w:r>
        <w:rPr>
          <w:color w:val="FF0000"/>
          <w:sz w:val="24"/>
          <w:lang/>
        </w:rPr>
        <mc:AlternateContent>
          <mc:Choice Requires="wps">
            <w:drawing>
              <wp:anchor distT="0" distB="0" distL="114300" distR="114300" simplePos="0" relativeHeight="251661312" behindDoc="0" locked="0" layoutInCell="1" allowOverlap="1">
                <wp:simplePos x="0" y="0"/>
                <wp:positionH relativeFrom="column">
                  <wp:posOffset>-226695</wp:posOffset>
                </wp:positionH>
                <wp:positionV relativeFrom="paragraph">
                  <wp:posOffset>0</wp:posOffset>
                </wp:positionV>
                <wp:extent cx="5943600" cy="8720455"/>
                <wp:effectExtent l="9525" t="9525" r="9525" b="13970"/>
                <wp:wrapNone/>
                <wp:docPr id="3" name="文本框 102"/>
                <wp:cNvGraphicFramePr/>
                <a:graphic xmlns:a="http://schemas.openxmlformats.org/drawingml/2006/main">
                  <a:graphicData uri="http://schemas.microsoft.com/office/word/2010/wordprocessingShape">
                    <wps:wsp>
                      <wps:cNvSpPr txBox="1"/>
                      <wps:spPr>
                        <a:xfrm>
                          <a:off x="0" y="0"/>
                          <a:ext cx="5943600" cy="87204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60" w:lineRule="auto"/>
                              <w:rPr>
                                <w:rFonts w:hint="eastAsia"/>
                                <w:b/>
                                <w:sz w:val="28"/>
                                <w:szCs w:val="28"/>
                              </w:rPr>
                            </w:pPr>
                            <w:r>
                              <w:rPr>
                                <w:rFonts w:hint="eastAsia"/>
                                <w:b/>
                                <w:sz w:val="28"/>
                                <w:szCs w:val="28"/>
                              </w:rPr>
                              <w:t>审批意见：</w:t>
                            </w: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8"/>
                                <w:szCs w:val="28"/>
                              </w:rPr>
                            </w:pPr>
                          </w:p>
                          <w:p>
                            <w:pPr>
                              <w:spacing w:line="360" w:lineRule="auto"/>
                              <w:rPr>
                                <w:rFonts w:hint="eastAsia"/>
                                <w:b/>
                                <w:sz w:val="28"/>
                                <w:szCs w:val="28"/>
                              </w:rPr>
                            </w:pPr>
                            <w:r>
                              <w:rPr>
                                <w:rFonts w:hint="eastAsia"/>
                                <w:b/>
                                <w:sz w:val="28"/>
                                <w:szCs w:val="28"/>
                              </w:rPr>
                              <w:t xml:space="preserve">                                               公  章</w:t>
                            </w:r>
                          </w:p>
                          <w:p>
                            <w:pPr>
                              <w:spacing w:line="360" w:lineRule="auto"/>
                              <w:rPr>
                                <w:rFonts w:hint="eastAsia"/>
                                <w:b/>
                                <w:sz w:val="28"/>
                                <w:szCs w:val="28"/>
                              </w:rPr>
                            </w:pPr>
                            <w:r>
                              <w:rPr>
                                <w:rFonts w:hint="eastAsia"/>
                                <w:b/>
                                <w:sz w:val="28"/>
                                <w:szCs w:val="28"/>
                              </w:rPr>
                              <w:t>经办人：</w:t>
                            </w:r>
                          </w:p>
                          <w:p>
                            <w:pPr>
                              <w:spacing w:line="360" w:lineRule="auto"/>
                              <w:rPr>
                                <w:rFonts w:hint="eastAsia"/>
                                <w:b/>
                                <w:sz w:val="28"/>
                                <w:szCs w:val="28"/>
                              </w:rPr>
                            </w:pPr>
                            <w:r>
                              <w:rPr>
                                <w:rFonts w:hint="eastAsia"/>
                                <w:b/>
                                <w:sz w:val="28"/>
                                <w:szCs w:val="28"/>
                              </w:rPr>
                              <w:t xml:space="preserve">                                           年    月    日</w:t>
                            </w:r>
                          </w:p>
                          <w:p>
                            <w:pPr>
                              <w:spacing w:line="360" w:lineRule="auto"/>
                              <w:rPr>
                                <w:rFonts w:hint="eastAsia"/>
                                <w:b/>
                                <w:sz w:val="28"/>
                                <w:szCs w:val="28"/>
                              </w:rPr>
                            </w:pPr>
                          </w:p>
                          <w:p>
                            <w:pPr>
                              <w:spacing w:line="360" w:lineRule="auto"/>
                              <w:rPr>
                                <w:rFonts w:hint="eastAsia"/>
                                <w:b/>
                                <w:sz w:val="28"/>
                                <w:szCs w:val="28"/>
                              </w:rPr>
                            </w:pPr>
                          </w:p>
                          <w:p>
                            <w:pPr>
                              <w:rPr>
                                <w:rFonts w:hint="eastAsia"/>
                              </w:rPr>
                            </w:pPr>
                          </w:p>
                        </w:txbxContent>
                      </wps:txbx>
                      <wps:bodyPr wrap="square" upright="1"/>
                    </wps:wsp>
                  </a:graphicData>
                </a:graphic>
              </wp:anchor>
            </w:drawing>
          </mc:Choice>
          <mc:Fallback>
            <w:pict>
              <v:shape id="文本框 102" o:spid="_x0000_s1026" o:spt="202" type="#_x0000_t202" style="position:absolute;left:0pt;margin-left:-17.85pt;margin-top:0pt;height:686.65pt;width:468pt;z-index:251661312;mso-width-relative:page;mso-height-relative:page;" fillcolor="#FFFFFF" filled="t" stroked="t" coordsize="21600,21600" o:gfxdata="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NennWAAAACQEAAA8A&#10;AAAAAAAAAQAgAAAAIgAAAGRycy9kb3ducmV2LnhtbFBLAQIUABQAAAAIAIdO4kBFv38EGQIAAEgE&#10;AAAOAAAAAAAAAAEAIAAAACUBAABkcnMvZTJvRG9jLnhtbFBLBQYAAAAABgAGAFkBAACwBQAAAAA=&#10;">
                <v:fill on="t" focussize="0,0"/>
                <v:stroke weight="1.5pt" color="#000000" joinstyle="miter"/>
                <v:imagedata o:title=""/>
                <o:lock v:ext="edit" aspectratio="f"/>
                <v:textbox>
                  <w:txbxContent>
                    <w:p>
                      <w:pPr>
                        <w:spacing w:line="360" w:lineRule="auto"/>
                        <w:rPr>
                          <w:rFonts w:hint="eastAsia"/>
                          <w:b/>
                          <w:sz w:val="28"/>
                          <w:szCs w:val="28"/>
                        </w:rPr>
                      </w:pPr>
                      <w:r>
                        <w:rPr>
                          <w:rFonts w:hint="eastAsia"/>
                          <w:b/>
                          <w:sz w:val="28"/>
                          <w:szCs w:val="28"/>
                        </w:rPr>
                        <w:t>审批意见：</w:t>
                      </w: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4"/>
                        </w:rPr>
                      </w:pPr>
                    </w:p>
                    <w:p>
                      <w:pPr>
                        <w:spacing w:line="360" w:lineRule="auto"/>
                        <w:rPr>
                          <w:rFonts w:hint="eastAsia"/>
                          <w:b/>
                          <w:sz w:val="28"/>
                          <w:szCs w:val="28"/>
                        </w:rPr>
                      </w:pPr>
                    </w:p>
                    <w:p>
                      <w:pPr>
                        <w:spacing w:line="360" w:lineRule="auto"/>
                        <w:rPr>
                          <w:rFonts w:hint="eastAsia"/>
                          <w:b/>
                          <w:sz w:val="28"/>
                          <w:szCs w:val="28"/>
                        </w:rPr>
                      </w:pPr>
                      <w:r>
                        <w:rPr>
                          <w:rFonts w:hint="eastAsia"/>
                          <w:b/>
                          <w:sz w:val="28"/>
                          <w:szCs w:val="28"/>
                        </w:rPr>
                        <w:t xml:space="preserve">                                               公  章</w:t>
                      </w:r>
                    </w:p>
                    <w:p>
                      <w:pPr>
                        <w:spacing w:line="360" w:lineRule="auto"/>
                        <w:rPr>
                          <w:rFonts w:hint="eastAsia"/>
                          <w:b/>
                          <w:sz w:val="28"/>
                          <w:szCs w:val="28"/>
                        </w:rPr>
                      </w:pPr>
                      <w:r>
                        <w:rPr>
                          <w:rFonts w:hint="eastAsia"/>
                          <w:b/>
                          <w:sz w:val="28"/>
                          <w:szCs w:val="28"/>
                        </w:rPr>
                        <w:t>经办人：</w:t>
                      </w:r>
                    </w:p>
                    <w:p>
                      <w:pPr>
                        <w:spacing w:line="360" w:lineRule="auto"/>
                        <w:rPr>
                          <w:rFonts w:hint="eastAsia"/>
                          <w:b/>
                          <w:sz w:val="28"/>
                          <w:szCs w:val="28"/>
                        </w:rPr>
                      </w:pPr>
                      <w:r>
                        <w:rPr>
                          <w:rFonts w:hint="eastAsia"/>
                          <w:b/>
                          <w:sz w:val="28"/>
                          <w:szCs w:val="28"/>
                        </w:rPr>
                        <w:t xml:space="preserve">                                           年    月    日</w:t>
                      </w:r>
                    </w:p>
                    <w:p>
                      <w:pPr>
                        <w:spacing w:line="360" w:lineRule="auto"/>
                        <w:rPr>
                          <w:rFonts w:hint="eastAsia"/>
                          <w:b/>
                          <w:sz w:val="28"/>
                          <w:szCs w:val="28"/>
                        </w:rPr>
                      </w:pPr>
                    </w:p>
                    <w:p>
                      <w:pPr>
                        <w:spacing w:line="360" w:lineRule="auto"/>
                        <w:rPr>
                          <w:rFonts w:hint="eastAsia"/>
                          <w:b/>
                          <w:sz w:val="28"/>
                          <w:szCs w:val="28"/>
                        </w:rPr>
                      </w:pPr>
                    </w:p>
                    <w:p>
                      <w:pPr>
                        <w:rPr>
                          <w:rFonts w:hint="eastAsia"/>
                        </w:rPr>
                      </w:pPr>
                    </w:p>
                  </w:txbxContent>
                </v:textbox>
              </v:shape>
            </w:pict>
          </mc:Fallback>
        </mc:AlternateContent>
      </w:r>
      <w:r>
        <w:rPr>
          <w:rFonts w:hAnsi="宋体"/>
          <w:color w:val="FF0000"/>
        </w:rPr>
        <w:t>泵</w:t>
      </w:r>
    </w:p>
    <w:p>
      <w:pPr>
        <w:rPr>
          <w:color w:val="FF0000"/>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方正姚体">
    <w:altName w:val="宋体"/>
    <w:panose1 w:val="02010601030101010101"/>
    <w:charset w:val="86"/>
    <w:family w:val="auto"/>
    <w:pitch w:val="default"/>
    <w:sig w:usb0="00000003" w:usb1="080E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18</w:t>
    </w:r>
    <w:r>
      <w:fldChar w:fldCharType="end"/>
    </w:r>
  </w:p>
  <w:p>
    <w:pPr>
      <w:pStyle w:val="25"/>
      <w:tabs>
        <w:tab w:val="left" w:pos="3345"/>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rPr>
      <w:t>维西县</w:t>
    </w:r>
    <w:r>
      <w:t>老城区农贸市场建设</w:t>
    </w:r>
    <w:r>
      <w:rPr>
        <w:rFonts w:hint="eastAsia"/>
      </w:rPr>
      <w:t>项目环境影响报告表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3760F0"/>
    <w:multiLevelType w:val="multilevel"/>
    <w:tmpl w:val="5C3760F0"/>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lMTQ0MDYyMzgxODk1NDg5MDM0MWFjM2ZjZDEyYjYifQ=="/>
  </w:docVars>
  <w:rsids>
    <w:rsidRoot w:val="00A6558A"/>
    <w:rsid w:val="00000AE2"/>
    <w:rsid w:val="0000311D"/>
    <w:rsid w:val="00004AC0"/>
    <w:rsid w:val="00005F33"/>
    <w:rsid w:val="00007BCE"/>
    <w:rsid w:val="00011418"/>
    <w:rsid w:val="000119E8"/>
    <w:rsid w:val="000127C1"/>
    <w:rsid w:val="00013094"/>
    <w:rsid w:val="00014549"/>
    <w:rsid w:val="00014879"/>
    <w:rsid w:val="00015223"/>
    <w:rsid w:val="00015DD7"/>
    <w:rsid w:val="00016B7B"/>
    <w:rsid w:val="00016E0F"/>
    <w:rsid w:val="00017974"/>
    <w:rsid w:val="00020283"/>
    <w:rsid w:val="00020D84"/>
    <w:rsid w:val="0002101E"/>
    <w:rsid w:val="00021CCB"/>
    <w:rsid w:val="00021F28"/>
    <w:rsid w:val="000255B4"/>
    <w:rsid w:val="00025772"/>
    <w:rsid w:val="00025B85"/>
    <w:rsid w:val="0002690E"/>
    <w:rsid w:val="0002695B"/>
    <w:rsid w:val="00026D3A"/>
    <w:rsid w:val="00027BEC"/>
    <w:rsid w:val="00030545"/>
    <w:rsid w:val="00030AB6"/>
    <w:rsid w:val="00032048"/>
    <w:rsid w:val="00033E88"/>
    <w:rsid w:val="00034973"/>
    <w:rsid w:val="0003550C"/>
    <w:rsid w:val="00036DEA"/>
    <w:rsid w:val="0003743B"/>
    <w:rsid w:val="00037CF1"/>
    <w:rsid w:val="000401E8"/>
    <w:rsid w:val="00040308"/>
    <w:rsid w:val="00040ECC"/>
    <w:rsid w:val="00043E73"/>
    <w:rsid w:val="00043E88"/>
    <w:rsid w:val="00044ACC"/>
    <w:rsid w:val="00046AC0"/>
    <w:rsid w:val="00046B32"/>
    <w:rsid w:val="00047C98"/>
    <w:rsid w:val="00047F37"/>
    <w:rsid w:val="00050E71"/>
    <w:rsid w:val="0005161B"/>
    <w:rsid w:val="000522A4"/>
    <w:rsid w:val="00052C0D"/>
    <w:rsid w:val="000538CB"/>
    <w:rsid w:val="000541BA"/>
    <w:rsid w:val="00054F47"/>
    <w:rsid w:val="00055427"/>
    <w:rsid w:val="00056B40"/>
    <w:rsid w:val="00057716"/>
    <w:rsid w:val="00061B66"/>
    <w:rsid w:val="00062078"/>
    <w:rsid w:val="000628B3"/>
    <w:rsid w:val="0006330A"/>
    <w:rsid w:val="000644F7"/>
    <w:rsid w:val="00064C33"/>
    <w:rsid w:val="000666C8"/>
    <w:rsid w:val="000678AC"/>
    <w:rsid w:val="00067EA7"/>
    <w:rsid w:val="00071E30"/>
    <w:rsid w:val="00072769"/>
    <w:rsid w:val="0007440B"/>
    <w:rsid w:val="0007442D"/>
    <w:rsid w:val="00074826"/>
    <w:rsid w:val="00076C2B"/>
    <w:rsid w:val="00077F75"/>
    <w:rsid w:val="00080A5F"/>
    <w:rsid w:val="000814C3"/>
    <w:rsid w:val="00081E52"/>
    <w:rsid w:val="0008369E"/>
    <w:rsid w:val="00083855"/>
    <w:rsid w:val="00084CC5"/>
    <w:rsid w:val="00087E38"/>
    <w:rsid w:val="00090177"/>
    <w:rsid w:val="00090855"/>
    <w:rsid w:val="0009150B"/>
    <w:rsid w:val="00091A34"/>
    <w:rsid w:val="00091ABC"/>
    <w:rsid w:val="00091BC9"/>
    <w:rsid w:val="00092621"/>
    <w:rsid w:val="00094DE0"/>
    <w:rsid w:val="000A0113"/>
    <w:rsid w:val="000A36E6"/>
    <w:rsid w:val="000A4188"/>
    <w:rsid w:val="000A5C36"/>
    <w:rsid w:val="000A76DC"/>
    <w:rsid w:val="000B1234"/>
    <w:rsid w:val="000B1FED"/>
    <w:rsid w:val="000B2D70"/>
    <w:rsid w:val="000C0C74"/>
    <w:rsid w:val="000C143F"/>
    <w:rsid w:val="000C1AFF"/>
    <w:rsid w:val="000C2105"/>
    <w:rsid w:val="000C29F6"/>
    <w:rsid w:val="000C54BF"/>
    <w:rsid w:val="000C5BCC"/>
    <w:rsid w:val="000C6B26"/>
    <w:rsid w:val="000D012B"/>
    <w:rsid w:val="000D05F9"/>
    <w:rsid w:val="000D0BA8"/>
    <w:rsid w:val="000D2956"/>
    <w:rsid w:val="000D2A16"/>
    <w:rsid w:val="000D2AB5"/>
    <w:rsid w:val="000D2CB0"/>
    <w:rsid w:val="000D3BE6"/>
    <w:rsid w:val="000D577E"/>
    <w:rsid w:val="000D5C8A"/>
    <w:rsid w:val="000D7433"/>
    <w:rsid w:val="000D785B"/>
    <w:rsid w:val="000E0546"/>
    <w:rsid w:val="000E06ED"/>
    <w:rsid w:val="000E0FA1"/>
    <w:rsid w:val="000E16F2"/>
    <w:rsid w:val="000E218F"/>
    <w:rsid w:val="000E3C17"/>
    <w:rsid w:val="000F0202"/>
    <w:rsid w:val="000F0AC3"/>
    <w:rsid w:val="000F0FC1"/>
    <w:rsid w:val="000F372F"/>
    <w:rsid w:val="000F3B76"/>
    <w:rsid w:val="000F3E51"/>
    <w:rsid w:val="000F45B5"/>
    <w:rsid w:val="000F4693"/>
    <w:rsid w:val="000F76A5"/>
    <w:rsid w:val="000F7F10"/>
    <w:rsid w:val="00100A8C"/>
    <w:rsid w:val="00101BB5"/>
    <w:rsid w:val="00101BFD"/>
    <w:rsid w:val="00104BA5"/>
    <w:rsid w:val="001058EE"/>
    <w:rsid w:val="001072BF"/>
    <w:rsid w:val="0011068D"/>
    <w:rsid w:val="0011165C"/>
    <w:rsid w:val="0011189E"/>
    <w:rsid w:val="00115EB9"/>
    <w:rsid w:val="001160BC"/>
    <w:rsid w:val="00116131"/>
    <w:rsid w:val="00116DE6"/>
    <w:rsid w:val="00120893"/>
    <w:rsid w:val="00120C1D"/>
    <w:rsid w:val="0012136B"/>
    <w:rsid w:val="00121397"/>
    <w:rsid w:val="001220CF"/>
    <w:rsid w:val="00122626"/>
    <w:rsid w:val="00122F27"/>
    <w:rsid w:val="001236C8"/>
    <w:rsid w:val="0012408C"/>
    <w:rsid w:val="00126112"/>
    <w:rsid w:val="00126437"/>
    <w:rsid w:val="00126A55"/>
    <w:rsid w:val="00130388"/>
    <w:rsid w:val="00131CBF"/>
    <w:rsid w:val="00131E8D"/>
    <w:rsid w:val="001321A0"/>
    <w:rsid w:val="00133BA5"/>
    <w:rsid w:val="00135DC2"/>
    <w:rsid w:val="0013678A"/>
    <w:rsid w:val="00136F0E"/>
    <w:rsid w:val="001370F9"/>
    <w:rsid w:val="00137F9F"/>
    <w:rsid w:val="0014012A"/>
    <w:rsid w:val="00140EFD"/>
    <w:rsid w:val="00141209"/>
    <w:rsid w:val="0014182E"/>
    <w:rsid w:val="00141B27"/>
    <w:rsid w:val="00142CE9"/>
    <w:rsid w:val="00142DB4"/>
    <w:rsid w:val="001430CA"/>
    <w:rsid w:val="0014354A"/>
    <w:rsid w:val="00143F05"/>
    <w:rsid w:val="00144147"/>
    <w:rsid w:val="00144424"/>
    <w:rsid w:val="00145ABD"/>
    <w:rsid w:val="00145AC1"/>
    <w:rsid w:val="00147F56"/>
    <w:rsid w:val="00150D0A"/>
    <w:rsid w:val="001511B9"/>
    <w:rsid w:val="00151559"/>
    <w:rsid w:val="00151D2B"/>
    <w:rsid w:val="00151E54"/>
    <w:rsid w:val="0015361C"/>
    <w:rsid w:val="0015521E"/>
    <w:rsid w:val="001557AF"/>
    <w:rsid w:val="00155849"/>
    <w:rsid w:val="001571CA"/>
    <w:rsid w:val="00157F1D"/>
    <w:rsid w:val="00160A55"/>
    <w:rsid w:val="00160B16"/>
    <w:rsid w:val="00160D12"/>
    <w:rsid w:val="00160DCE"/>
    <w:rsid w:val="00162034"/>
    <w:rsid w:val="0016236F"/>
    <w:rsid w:val="001639A4"/>
    <w:rsid w:val="00164028"/>
    <w:rsid w:val="00165946"/>
    <w:rsid w:val="0016629B"/>
    <w:rsid w:val="00166422"/>
    <w:rsid w:val="00166D96"/>
    <w:rsid w:val="0016736C"/>
    <w:rsid w:val="00171235"/>
    <w:rsid w:val="00171484"/>
    <w:rsid w:val="0017347D"/>
    <w:rsid w:val="00173538"/>
    <w:rsid w:val="001737D9"/>
    <w:rsid w:val="00173999"/>
    <w:rsid w:val="00174215"/>
    <w:rsid w:val="0017437F"/>
    <w:rsid w:val="00175835"/>
    <w:rsid w:val="00177033"/>
    <w:rsid w:val="00181235"/>
    <w:rsid w:val="00181E48"/>
    <w:rsid w:val="00185E6F"/>
    <w:rsid w:val="001860B7"/>
    <w:rsid w:val="00190BC2"/>
    <w:rsid w:val="0019107D"/>
    <w:rsid w:val="0019147D"/>
    <w:rsid w:val="00193B07"/>
    <w:rsid w:val="00194469"/>
    <w:rsid w:val="00195453"/>
    <w:rsid w:val="0019549C"/>
    <w:rsid w:val="001955F9"/>
    <w:rsid w:val="00195C1F"/>
    <w:rsid w:val="00197E4F"/>
    <w:rsid w:val="001A0175"/>
    <w:rsid w:val="001A2F89"/>
    <w:rsid w:val="001A4837"/>
    <w:rsid w:val="001A4C5F"/>
    <w:rsid w:val="001A5B58"/>
    <w:rsid w:val="001A6294"/>
    <w:rsid w:val="001A62DB"/>
    <w:rsid w:val="001A6C03"/>
    <w:rsid w:val="001A7AB7"/>
    <w:rsid w:val="001A7FE4"/>
    <w:rsid w:val="001B0998"/>
    <w:rsid w:val="001B0B12"/>
    <w:rsid w:val="001B0DB1"/>
    <w:rsid w:val="001B330E"/>
    <w:rsid w:val="001B4608"/>
    <w:rsid w:val="001B472A"/>
    <w:rsid w:val="001B58FE"/>
    <w:rsid w:val="001B61DA"/>
    <w:rsid w:val="001B63E7"/>
    <w:rsid w:val="001B6909"/>
    <w:rsid w:val="001B6D72"/>
    <w:rsid w:val="001B7108"/>
    <w:rsid w:val="001B710A"/>
    <w:rsid w:val="001C1091"/>
    <w:rsid w:val="001C11B9"/>
    <w:rsid w:val="001C1BF5"/>
    <w:rsid w:val="001C2C83"/>
    <w:rsid w:val="001C2CD7"/>
    <w:rsid w:val="001C3D97"/>
    <w:rsid w:val="001C61D4"/>
    <w:rsid w:val="001C7E7D"/>
    <w:rsid w:val="001D1254"/>
    <w:rsid w:val="001D20DF"/>
    <w:rsid w:val="001D2318"/>
    <w:rsid w:val="001D3401"/>
    <w:rsid w:val="001D3A52"/>
    <w:rsid w:val="001D49AF"/>
    <w:rsid w:val="001D4A62"/>
    <w:rsid w:val="001D4AAD"/>
    <w:rsid w:val="001D4AC6"/>
    <w:rsid w:val="001D65DB"/>
    <w:rsid w:val="001D7C14"/>
    <w:rsid w:val="001E17D9"/>
    <w:rsid w:val="001E32C7"/>
    <w:rsid w:val="001E3FAD"/>
    <w:rsid w:val="001E55BD"/>
    <w:rsid w:val="001E56AF"/>
    <w:rsid w:val="001E5BBB"/>
    <w:rsid w:val="001E61B4"/>
    <w:rsid w:val="001E6416"/>
    <w:rsid w:val="001E6806"/>
    <w:rsid w:val="001F0991"/>
    <w:rsid w:val="001F2311"/>
    <w:rsid w:val="001F2A2D"/>
    <w:rsid w:val="001F37C3"/>
    <w:rsid w:val="001F3E6C"/>
    <w:rsid w:val="001F4780"/>
    <w:rsid w:val="001F48B8"/>
    <w:rsid w:val="001F4FE7"/>
    <w:rsid w:val="001F7480"/>
    <w:rsid w:val="001F777C"/>
    <w:rsid w:val="002003D9"/>
    <w:rsid w:val="002008C6"/>
    <w:rsid w:val="00202721"/>
    <w:rsid w:val="00202B2B"/>
    <w:rsid w:val="0020327A"/>
    <w:rsid w:val="00203B03"/>
    <w:rsid w:val="00204341"/>
    <w:rsid w:val="00204372"/>
    <w:rsid w:val="00205500"/>
    <w:rsid w:val="002058E1"/>
    <w:rsid w:val="002058E8"/>
    <w:rsid w:val="002059A4"/>
    <w:rsid w:val="00205AD1"/>
    <w:rsid w:val="00205F2E"/>
    <w:rsid w:val="00205FE4"/>
    <w:rsid w:val="0020690D"/>
    <w:rsid w:val="002109BE"/>
    <w:rsid w:val="002110B7"/>
    <w:rsid w:val="0021299A"/>
    <w:rsid w:val="00213BC5"/>
    <w:rsid w:val="00214301"/>
    <w:rsid w:val="002165FC"/>
    <w:rsid w:val="002166A0"/>
    <w:rsid w:val="00220607"/>
    <w:rsid w:val="00220756"/>
    <w:rsid w:val="00220C28"/>
    <w:rsid w:val="00221FFF"/>
    <w:rsid w:val="00222F12"/>
    <w:rsid w:val="002272A6"/>
    <w:rsid w:val="0023048E"/>
    <w:rsid w:val="00231FDC"/>
    <w:rsid w:val="00232556"/>
    <w:rsid w:val="00232732"/>
    <w:rsid w:val="00232A5E"/>
    <w:rsid w:val="00234AC1"/>
    <w:rsid w:val="00234EDE"/>
    <w:rsid w:val="00235A7D"/>
    <w:rsid w:val="002366DA"/>
    <w:rsid w:val="00236B26"/>
    <w:rsid w:val="002371F9"/>
    <w:rsid w:val="00241669"/>
    <w:rsid w:val="002424EA"/>
    <w:rsid w:val="00242962"/>
    <w:rsid w:val="00242A85"/>
    <w:rsid w:val="00242F93"/>
    <w:rsid w:val="00245195"/>
    <w:rsid w:val="00245765"/>
    <w:rsid w:val="002460EE"/>
    <w:rsid w:val="00246421"/>
    <w:rsid w:val="002475CD"/>
    <w:rsid w:val="00250D06"/>
    <w:rsid w:val="00250FB2"/>
    <w:rsid w:val="00251061"/>
    <w:rsid w:val="00251399"/>
    <w:rsid w:val="00252672"/>
    <w:rsid w:val="002536D0"/>
    <w:rsid w:val="002542CB"/>
    <w:rsid w:val="002572EE"/>
    <w:rsid w:val="00262A98"/>
    <w:rsid w:val="002649A8"/>
    <w:rsid w:val="00264B79"/>
    <w:rsid w:val="0026615D"/>
    <w:rsid w:val="00266180"/>
    <w:rsid w:val="00266307"/>
    <w:rsid w:val="00266A24"/>
    <w:rsid w:val="00266BCA"/>
    <w:rsid w:val="00266DC6"/>
    <w:rsid w:val="00266FB7"/>
    <w:rsid w:val="0026775F"/>
    <w:rsid w:val="002703CD"/>
    <w:rsid w:val="002704B7"/>
    <w:rsid w:val="00270A57"/>
    <w:rsid w:val="002713B0"/>
    <w:rsid w:val="002724A3"/>
    <w:rsid w:val="00274F50"/>
    <w:rsid w:val="0027656E"/>
    <w:rsid w:val="00276673"/>
    <w:rsid w:val="00276C01"/>
    <w:rsid w:val="00276CBF"/>
    <w:rsid w:val="0028495A"/>
    <w:rsid w:val="00284BE1"/>
    <w:rsid w:val="00284F9A"/>
    <w:rsid w:val="002867A9"/>
    <w:rsid w:val="00290C07"/>
    <w:rsid w:val="002924C4"/>
    <w:rsid w:val="00292DFC"/>
    <w:rsid w:val="00293ABD"/>
    <w:rsid w:val="002945DF"/>
    <w:rsid w:val="00294A3A"/>
    <w:rsid w:val="002963D7"/>
    <w:rsid w:val="00297004"/>
    <w:rsid w:val="002A14C4"/>
    <w:rsid w:val="002A16E3"/>
    <w:rsid w:val="002A20DD"/>
    <w:rsid w:val="002A26A1"/>
    <w:rsid w:val="002A3DE8"/>
    <w:rsid w:val="002A4056"/>
    <w:rsid w:val="002A4CD4"/>
    <w:rsid w:val="002A55BF"/>
    <w:rsid w:val="002A6BD8"/>
    <w:rsid w:val="002B0CA9"/>
    <w:rsid w:val="002B0EBE"/>
    <w:rsid w:val="002B15C5"/>
    <w:rsid w:val="002B176A"/>
    <w:rsid w:val="002B1E6A"/>
    <w:rsid w:val="002B31F6"/>
    <w:rsid w:val="002B3591"/>
    <w:rsid w:val="002B3C46"/>
    <w:rsid w:val="002B4163"/>
    <w:rsid w:val="002B5420"/>
    <w:rsid w:val="002B7122"/>
    <w:rsid w:val="002B75B2"/>
    <w:rsid w:val="002B7E20"/>
    <w:rsid w:val="002C0CED"/>
    <w:rsid w:val="002C24BE"/>
    <w:rsid w:val="002C2506"/>
    <w:rsid w:val="002C28E6"/>
    <w:rsid w:val="002C40CC"/>
    <w:rsid w:val="002C4BEE"/>
    <w:rsid w:val="002C5B0C"/>
    <w:rsid w:val="002C7000"/>
    <w:rsid w:val="002D0265"/>
    <w:rsid w:val="002D1362"/>
    <w:rsid w:val="002D27E6"/>
    <w:rsid w:val="002D2B35"/>
    <w:rsid w:val="002D3BF8"/>
    <w:rsid w:val="002D3DEA"/>
    <w:rsid w:val="002D58D5"/>
    <w:rsid w:val="002D5972"/>
    <w:rsid w:val="002D648A"/>
    <w:rsid w:val="002D68BF"/>
    <w:rsid w:val="002D6D87"/>
    <w:rsid w:val="002D735B"/>
    <w:rsid w:val="002D7C16"/>
    <w:rsid w:val="002D7FD4"/>
    <w:rsid w:val="002E0AA5"/>
    <w:rsid w:val="002E195B"/>
    <w:rsid w:val="002E286F"/>
    <w:rsid w:val="002E3D1F"/>
    <w:rsid w:val="002E4BC6"/>
    <w:rsid w:val="002E571A"/>
    <w:rsid w:val="002E6848"/>
    <w:rsid w:val="002E685C"/>
    <w:rsid w:val="002E7308"/>
    <w:rsid w:val="002F07A7"/>
    <w:rsid w:val="002F0804"/>
    <w:rsid w:val="002F0DBE"/>
    <w:rsid w:val="002F0FC7"/>
    <w:rsid w:val="002F1F05"/>
    <w:rsid w:val="002F2D52"/>
    <w:rsid w:val="002F2E99"/>
    <w:rsid w:val="002F3A6F"/>
    <w:rsid w:val="002F4710"/>
    <w:rsid w:val="002F55C7"/>
    <w:rsid w:val="002F613A"/>
    <w:rsid w:val="002F7EA3"/>
    <w:rsid w:val="00300A6A"/>
    <w:rsid w:val="003016C1"/>
    <w:rsid w:val="00302873"/>
    <w:rsid w:val="003029D5"/>
    <w:rsid w:val="003035AE"/>
    <w:rsid w:val="003035D9"/>
    <w:rsid w:val="0030522D"/>
    <w:rsid w:val="00305395"/>
    <w:rsid w:val="00305500"/>
    <w:rsid w:val="003073DA"/>
    <w:rsid w:val="0030790C"/>
    <w:rsid w:val="0030793E"/>
    <w:rsid w:val="00307B4B"/>
    <w:rsid w:val="00307C34"/>
    <w:rsid w:val="003104EF"/>
    <w:rsid w:val="0031073A"/>
    <w:rsid w:val="00310F6E"/>
    <w:rsid w:val="00311300"/>
    <w:rsid w:val="0031184E"/>
    <w:rsid w:val="00311A35"/>
    <w:rsid w:val="003121AC"/>
    <w:rsid w:val="00312309"/>
    <w:rsid w:val="00312995"/>
    <w:rsid w:val="00314FF8"/>
    <w:rsid w:val="0031518F"/>
    <w:rsid w:val="003151C7"/>
    <w:rsid w:val="00315F22"/>
    <w:rsid w:val="003168C1"/>
    <w:rsid w:val="00316C7D"/>
    <w:rsid w:val="00317301"/>
    <w:rsid w:val="00321735"/>
    <w:rsid w:val="0032437E"/>
    <w:rsid w:val="00327962"/>
    <w:rsid w:val="00327967"/>
    <w:rsid w:val="00330A02"/>
    <w:rsid w:val="00331263"/>
    <w:rsid w:val="00332AD9"/>
    <w:rsid w:val="00334DE9"/>
    <w:rsid w:val="0033718C"/>
    <w:rsid w:val="0033723C"/>
    <w:rsid w:val="00340E57"/>
    <w:rsid w:val="00340F4A"/>
    <w:rsid w:val="00341B1E"/>
    <w:rsid w:val="0034204A"/>
    <w:rsid w:val="003426A2"/>
    <w:rsid w:val="00343AC7"/>
    <w:rsid w:val="003456EF"/>
    <w:rsid w:val="0034587A"/>
    <w:rsid w:val="003465F1"/>
    <w:rsid w:val="003500BB"/>
    <w:rsid w:val="003504A0"/>
    <w:rsid w:val="003516D6"/>
    <w:rsid w:val="003518A4"/>
    <w:rsid w:val="00354298"/>
    <w:rsid w:val="003552A1"/>
    <w:rsid w:val="00355501"/>
    <w:rsid w:val="003564EA"/>
    <w:rsid w:val="00356AF9"/>
    <w:rsid w:val="003572F9"/>
    <w:rsid w:val="00360429"/>
    <w:rsid w:val="003614A6"/>
    <w:rsid w:val="003617EB"/>
    <w:rsid w:val="003619EB"/>
    <w:rsid w:val="003625CC"/>
    <w:rsid w:val="00362F96"/>
    <w:rsid w:val="00363BDA"/>
    <w:rsid w:val="00363DCA"/>
    <w:rsid w:val="003644FC"/>
    <w:rsid w:val="00366B2A"/>
    <w:rsid w:val="00366EC0"/>
    <w:rsid w:val="00367176"/>
    <w:rsid w:val="00367619"/>
    <w:rsid w:val="00367620"/>
    <w:rsid w:val="00370897"/>
    <w:rsid w:val="00371DAA"/>
    <w:rsid w:val="003727E6"/>
    <w:rsid w:val="00373CD8"/>
    <w:rsid w:val="00373E11"/>
    <w:rsid w:val="00374750"/>
    <w:rsid w:val="00375094"/>
    <w:rsid w:val="003761A5"/>
    <w:rsid w:val="00376E61"/>
    <w:rsid w:val="00377500"/>
    <w:rsid w:val="00380386"/>
    <w:rsid w:val="00380861"/>
    <w:rsid w:val="00380D25"/>
    <w:rsid w:val="00382C56"/>
    <w:rsid w:val="00382D07"/>
    <w:rsid w:val="00383F27"/>
    <w:rsid w:val="00386C15"/>
    <w:rsid w:val="00386E18"/>
    <w:rsid w:val="00387BDA"/>
    <w:rsid w:val="00391352"/>
    <w:rsid w:val="0039296E"/>
    <w:rsid w:val="00394362"/>
    <w:rsid w:val="003950D3"/>
    <w:rsid w:val="00395AAF"/>
    <w:rsid w:val="003966EE"/>
    <w:rsid w:val="00396A5A"/>
    <w:rsid w:val="00397AC5"/>
    <w:rsid w:val="003A01F1"/>
    <w:rsid w:val="003A3BF4"/>
    <w:rsid w:val="003A3CAD"/>
    <w:rsid w:val="003A4731"/>
    <w:rsid w:val="003A5ECC"/>
    <w:rsid w:val="003A7A18"/>
    <w:rsid w:val="003B1797"/>
    <w:rsid w:val="003B276F"/>
    <w:rsid w:val="003B55AE"/>
    <w:rsid w:val="003B5671"/>
    <w:rsid w:val="003B5E0A"/>
    <w:rsid w:val="003B60DB"/>
    <w:rsid w:val="003B65F7"/>
    <w:rsid w:val="003B6BF4"/>
    <w:rsid w:val="003B6D0F"/>
    <w:rsid w:val="003B6F63"/>
    <w:rsid w:val="003C3CBA"/>
    <w:rsid w:val="003C43C5"/>
    <w:rsid w:val="003D095E"/>
    <w:rsid w:val="003D1554"/>
    <w:rsid w:val="003D4C22"/>
    <w:rsid w:val="003D6003"/>
    <w:rsid w:val="003D75A0"/>
    <w:rsid w:val="003D7E01"/>
    <w:rsid w:val="003E01F8"/>
    <w:rsid w:val="003E2E39"/>
    <w:rsid w:val="003E34EB"/>
    <w:rsid w:val="003E3AAD"/>
    <w:rsid w:val="003E54BE"/>
    <w:rsid w:val="003E5BDC"/>
    <w:rsid w:val="003E6138"/>
    <w:rsid w:val="003E6161"/>
    <w:rsid w:val="003E69C2"/>
    <w:rsid w:val="003E7A2C"/>
    <w:rsid w:val="003E7B36"/>
    <w:rsid w:val="003F0E36"/>
    <w:rsid w:val="003F1BD9"/>
    <w:rsid w:val="003F2A7A"/>
    <w:rsid w:val="003F3277"/>
    <w:rsid w:val="003F6200"/>
    <w:rsid w:val="003F653F"/>
    <w:rsid w:val="003F6AEB"/>
    <w:rsid w:val="003F6C73"/>
    <w:rsid w:val="00400AB2"/>
    <w:rsid w:val="00402899"/>
    <w:rsid w:val="0040357A"/>
    <w:rsid w:val="00403FE2"/>
    <w:rsid w:val="00405C7C"/>
    <w:rsid w:val="00407887"/>
    <w:rsid w:val="00407A52"/>
    <w:rsid w:val="00407EE7"/>
    <w:rsid w:val="00407FF9"/>
    <w:rsid w:val="00410A8C"/>
    <w:rsid w:val="00411055"/>
    <w:rsid w:val="004117A1"/>
    <w:rsid w:val="00411F72"/>
    <w:rsid w:val="00412841"/>
    <w:rsid w:val="00412FA2"/>
    <w:rsid w:val="004143A2"/>
    <w:rsid w:val="00414DF5"/>
    <w:rsid w:val="00416390"/>
    <w:rsid w:val="0041794F"/>
    <w:rsid w:val="00417E23"/>
    <w:rsid w:val="00420508"/>
    <w:rsid w:val="00420693"/>
    <w:rsid w:val="00420A73"/>
    <w:rsid w:val="00421159"/>
    <w:rsid w:val="004214F8"/>
    <w:rsid w:val="00423315"/>
    <w:rsid w:val="0042455D"/>
    <w:rsid w:val="00425945"/>
    <w:rsid w:val="004303F2"/>
    <w:rsid w:val="004304CD"/>
    <w:rsid w:val="004308F2"/>
    <w:rsid w:val="004310AD"/>
    <w:rsid w:val="00432484"/>
    <w:rsid w:val="00432F9B"/>
    <w:rsid w:val="00433E34"/>
    <w:rsid w:val="004344E8"/>
    <w:rsid w:val="00435B59"/>
    <w:rsid w:val="00436745"/>
    <w:rsid w:val="004375AF"/>
    <w:rsid w:val="00437E18"/>
    <w:rsid w:val="00442013"/>
    <w:rsid w:val="0044237D"/>
    <w:rsid w:val="00442432"/>
    <w:rsid w:val="004442D7"/>
    <w:rsid w:val="00444BB7"/>
    <w:rsid w:val="00445C3D"/>
    <w:rsid w:val="00446248"/>
    <w:rsid w:val="0044684D"/>
    <w:rsid w:val="0045046A"/>
    <w:rsid w:val="004533F5"/>
    <w:rsid w:val="00453934"/>
    <w:rsid w:val="00453D0F"/>
    <w:rsid w:val="00453E4D"/>
    <w:rsid w:val="00457AE1"/>
    <w:rsid w:val="0046011F"/>
    <w:rsid w:val="0046067C"/>
    <w:rsid w:val="004609E1"/>
    <w:rsid w:val="004614F3"/>
    <w:rsid w:val="00461622"/>
    <w:rsid w:val="00461CE3"/>
    <w:rsid w:val="0046410E"/>
    <w:rsid w:val="004651CA"/>
    <w:rsid w:val="004666B7"/>
    <w:rsid w:val="0046733E"/>
    <w:rsid w:val="004673B8"/>
    <w:rsid w:val="00467DE8"/>
    <w:rsid w:val="0047058E"/>
    <w:rsid w:val="004705A4"/>
    <w:rsid w:val="004707D2"/>
    <w:rsid w:val="0047091F"/>
    <w:rsid w:val="00471789"/>
    <w:rsid w:val="0047199E"/>
    <w:rsid w:val="00471A98"/>
    <w:rsid w:val="00472C65"/>
    <w:rsid w:val="004731CD"/>
    <w:rsid w:val="00475EEC"/>
    <w:rsid w:val="004760D9"/>
    <w:rsid w:val="00476431"/>
    <w:rsid w:val="004765B5"/>
    <w:rsid w:val="00477055"/>
    <w:rsid w:val="00477630"/>
    <w:rsid w:val="00477805"/>
    <w:rsid w:val="00481DB3"/>
    <w:rsid w:val="0048316B"/>
    <w:rsid w:val="00484AD8"/>
    <w:rsid w:val="004852ED"/>
    <w:rsid w:val="0048613F"/>
    <w:rsid w:val="00486718"/>
    <w:rsid w:val="00487171"/>
    <w:rsid w:val="004911C1"/>
    <w:rsid w:val="00493533"/>
    <w:rsid w:val="00494B79"/>
    <w:rsid w:val="0049513D"/>
    <w:rsid w:val="004958C4"/>
    <w:rsid w:val="00495927"/>
    <w:rsid w:val="004963F1"/>
    <w:rsid w:val="00496F04"/>
    <w:rsid w:val="004A0207"/>
    <w:rsid w:val="004A0DE6"/>
    <w:rsid w:val="004A0F79"/>
    <w:rsid w:val="004A1FBB"/>
    <w:rsid w:val="004A4BE4"/>
    <w:rsid w:val="004A604F"/>
    <w:rsid w:val="004A6AD4"/>
    <w:rsid w:val="004A6B65"/>
    <w:rsid w:val="004A7217"/>
    <w:rsid w:val="004A7CA9"/>
    <w:rsid w:val="004B30FC"/>
    <w:rsid w:val="004B440A"/>
    <w:rsid w:val="004B5AAF"/>
    <w:rsid w:val="004B5C03"/>
    <w:rsid w:val="004C0764"/>
    <w:rsid w:val="004C07F7"/>
    <w:rsid w:val="004C22E7"/>
    <w:rsid w:val="004C2FA8"/>
    <w:rsid w:val="004C475D"/>
    <w:rsid w:val="004C48CE"/>
    <w:rsid w:val="004C4C06"/>
    <w:rsid w:val="004C5720"/>
    <w:rsid w:val="004D1831"/>
    <w:rsid w:val="004D2B78"/>
    <w:rsid w:val="004D44E6"/>
    <w:rsid w:val="004D54F8"/>
    <w:rsid w:val="004D65FF"/>
    <w:rsid w:val="004D72A5"/>
    <w:rsid w:val="004D7B65"/>
    <w:rsid w:val="004E00BF"/>
    <w:rsid w:val="004E06BB"/>
    <w:rsid w:val="004E0E54"/>
    <w:rsid w:val="004E0EF2"/>
    <w:rsid w:val="004E0F1C"/>
    <w:rsid w:val="004E15DD"/>
    <w:rsid w:val="004E23A7"/>
    <w:rsid w:val="004E2490"/>
    <w:rsid w:val="004E2C35"/>
    <w:rsid w:val="004E2C64"/>
    <w:rsid w:val="004E308F"/>
    <w:rsid w:val="004E37E2"/>
    <w:rsid w:val="004E3A8B"/>
    <w:rsid w:val="004E3BE5"/>
    <w:rsid w:val="004E583B"/>
    <w:rsid w:val="004E62DF"/>
    <w:rsid w:val="004E7588"/>
    <w:rsid w:val="004E7C42"/>
    <w:rsid w:val="004E7CBB"/>
    <w:rsid w:val="004E7E09"/>
    <w:rsid w:val="004F01A6"/>
    <w:rsid w:val="004F0250"/>
    <w:rsid w:val="004F1DDF"/>
    <w:rsid w:val="004F1EF8"/>
    <w:rsid w:val="004F429A"/>
    <w:rsid w:val="004F5216"/>
    <w:rsid w:val="004F6A90"/>
    <w:rsid w:val="004F6C5D"/>
    <w:rsid w:val="004F7253"/>
    <w:rsid w:val="004F7E55"/>
    <w:rsid w:val="005007C7"/>
    <w:rsid w:val="00500EE1"/>
    <w:rsid w:val="00501887"/>
    <w:rsid w:val="0050245D"/>
    <w:rsid w:val="005025BC"/>
    <w:rsid w:val="00502EF3"/>
    <w:rsid w:val="00503784"/>
    <w:rsid w:val="00503CFA"/>
    <w:rsid w:val="00504AAE"/>
    <w:rsid w:val="005075AC"/>
    <w:rsid w:val="00507838"/>
    <w:rsid w:val="005078DE"/>
    <w:rsid w:val="00507D61"/>
    <w:rsid w:val="00507FAA"/>
    <w:rsid w:val="0051086E"/>
    <w:rsid w:val="00510A8C"/>
    <w:rsid w:val="0051173D"/>
    <w:rsid w:val="005124D0"/>
    <w:rsid w:val="00512B7A"/>
    <w:rsid w:val="00514191"/>
    <w:rsid w:val="0051537B"/>
    <w:rsid w:val="005155AC"/>
    <w:rsid w:val="00515610"/>
    <w:rsid w:val="0051692F"/>
    <w:rsid w:val="00516CD6"/>
    <w:rsid w:val="005171C7"/>
    <w:rsid w:val="005176EE"/>
    <w:rsid w:val="0052061B"/>
    <w:rsid w:val="00520A8A"/>
    <w:rsid w:val="00521F1E"/>
    <w:rsid w:val="005243D3"/>
    <w:rsid w:val="0052498B"/>
    <w:rsid w:val="00524EDF"/>
    <w:rsid w:val="00526653"/>
    <w:rsid w:val="00526ACE"/>
    <w:rsid w:val="00527441"/>
    <w:rsid w:val="005300DF"/>
    <w:rsid w:val="005301BF"/>
    <w:rsid w:val="00530909"/>
    <w:rsid w:val="00531211"/>
    <w:rsid w:val="00532757"/>
    <w:rsid w:val="00533716"/>
    <w:rsid w:val="00533B6F"/>
    <w:rsid w:val="00535A05"/>
    <w:rsid w:val="005360C3"/>
    <w:rsid w:val="00536AD8"/>
    <w:rsid w:val="0053717D"/>
    <w:rsid w:val="005378B8"/>
    <w:rsid w:val="0054070E"/>
    <w:rsid w:val="0054235D"/>
    <w:rsid w:val="005424AC"/>
    <w:rsid w:val="00542663"/>
    <w:rsid w:val="00543CC3"/>
    <w:rsid w:val="00543DFE"/>
    <w:rsid w:val="0054437E"/>
    <w:rsid w:val="00544C81"/>
    <w:rsid w:val="00545CA7"/>
    <w:rsid w:val="005479EC"/>
    <w:rsid w:val="0055140D"/>
    <w:rsid w:val="0055313C"/>
    <w:rsid w:val="005536A2"/>
    <w:rsid w:val="00553708"/>
    <w:rsid w:val="00554D33"/>
    <w:rsid w:val="00554EE6"/>
    <w:rsid w:val="00555D0B"/>
    <w:rsid w:val="0056038A"/>
    <w:rsid w:val="00560AC1"/>
    <w:rsid w:val="00563584"/>
    <w:rsid w:val="005644D1"/>
    <w:rsid w:val="005649D8"/>
    <w:rsid w:val="00564D56"/>
    <w:rsid w:val="005655C9"/>
    <w:rsid w:val="00565ED4"/>
    <w:rsid w:val="005700FF"/>
    <w:rsid w:val="00572385"/>
    <w:rsid w:val="00576C4B"/>
    <w:rsid w:val="0057737C"/>
    <w:rsid w:val="00580B15"/>
    <w:rsid w:val="00580FFC"/>
    <w:rsid w:val="00581F60"/>
    <w:rsid w:val="0058230E"/>
    <w:rsid w:val="00582D6D"/>
    <w:rsid w:val="00584D4D"/>
    <w:rsid w:val="00586D6C"/>
    <w:rsid w:val="005871CA"/>
    <w:rsid w:val="00587804"/>
    <w:rsid w:val="005905E5"/>
    <w:rsid w:val="005915A3"/>
    <w:rsid w:val="0059230C"/>
    <w:rsid w:val="0059325D"/>
    <w:rsid w:val="00593844"/>
    <w:rsid w:val="00593F1E"/>
    <w:rsid w:val="00594951"/>
    <w:rsid w:val="00594BC1"/>
    <w:rsid w:val="0059769F"/>
    <w:rsid w:val="005A4C9A"/>
    <w:rsid w:val="005A4E81"/>
    <w:rsid w:val="005A5119"/>
    <w:rsid w:val="005A5767"/>
    <w:rsid w:val="005A746C"/>
    <w:rsid w:val="005B1587"/>
    <w:rsid w:val="005B224C"/>
    <w:rsid w:val="005B460B"/>
    <w:rsid w:val="005B523E"/>
    <w:rsid w:val="005B5B9A"/>
    <w:rsid w:val="005B5E03"/>
    <w:rsid w:val="005B7D90"/>
    <w:rsid w:val="005B7EF6"/>
    <w:rsid w:val="005B7FE3"/>
    <w:rsid w:val="005C025F"/>
    <w:rsid w:val="005C26F5"/>
    <w:rsid w:val="005C3EF4"/>
    <w:rsid w:val="005C5EBC"/>
    <w:rsid w:val="005D0621"/>
    <w:rsid w:val="005D093A"/>
    <w:rsid w:val="005D12D7"/>
    <w:rsid w:val="005D3ED8"/>
    <w:rsid w:val="005D69AD"/>
    <w:rsid w:val="005D7C9B"/>
    <w:rsid w:val="005E02D4"/>
    <w:rsid w:val="005E042B"/>
    <w:rsid w:val="005E248F"/>
    <w:rsid w:val="005E2779"/>
    <w:rsid w:val="005E41B6"/>
    <w:rsid w:val="005E52CB"/>
    <w:rsid w:val="005E5A98"/>
    <w:rsid w:val="005E5E50"/>
    <w:rsid w:val="005E6E47"/>
    <w:rsid w:val="005F0385"/>
    <w:rsid w:val="005F0DAD"/>
    <w:rsid w:val="005F289E"/>
    <w:rsid w:val="005F2913"/>
    <w:rsid w:val="005F3361"/>
    <w:rsid w:val="005F43C8"/>
    <w:rsid w:val="005F491B"/>
    <w:rsid w:val="005F4F6B"/>
    <w:rsid w:val="005F4F8D"/>
    <w:rsid w:val="005F5DF4"/>
    <w:rsid w:val="005F6044"/>
    <w:rsid w:val="005F6F1C"/>
    <w:rsid w:val="005F6FFC"/>
    <w:rsid w:val="00602E29"/>
    <w:rsid w:val="0060336B"/>
    <w:rsid w:val="006057AD"/>
    <w:rsid w:val="0060646B"/>
    <w:rsid w:val="006074EE"/>
    <w:rsid w:val="006077C4"/>
    <w:rsid w:val="00607DC7"/>
    <w:rsid w:val="00607FCA"/>
    <w:rsid w:val="006108C5"/>
    <w:rsid w:val="00610DD6"/>
    <w:rsid w:val="00611827"/>
    <w:rsid w:val="006124E7"/>
    <w:rsid w:val="00613634"/>
    <w:rsid w:val="0061370D"/>
    <w:rsid w:val="00613B42"/>
    <w:rsid w:val="0061449D"/>
    <w:rsid w:val="00615A4F"/>
    <w:rsid w:val="00617ACA"/>
    <w:rsid w:val="00617D18"/>
    <w:rsid w:val="006200C2"/>
    <w:rsid w:val="00623032"/>
    <w:rsid w:val="006231D4"/>
    <w:rsid w:val="00623E33"/>
    <w:rsid w:val="006246D1"/>
    <w:rsid w:val="00625DB3"/>
    <w:rsid w:val="006266C8"/>
    <w:rsid w:val="006267CC"/>
    <w:rsid w:val="00626D82"/>
    <w:rsid w:val="00627222"/>
    <w:rsid w:val="00627CE3"/>
    <w:rsid w:val="00627FE2"/>
    <w:rsid w:val="00630461"/>
    <w:rsid w:val="00631034"/>
    <w:rsid w:val="006319CD"/>
    <w:rsid w:val="00631C8D"/>
    <w:rsid w:val="0063280F"/>
    <w:rsid w:val="00633052"/>
    <w:rsid w:val="006335A8"/>
    <w:rsid w:val="00634A61"/>
    <w:rsid w:val="00634EAA"/>
    <w:rsid w:val="006355CF"/>
    <w:rsid w:val="00636CEE"/>
    <w:rsid w:val="00636DAC"/>
    <w:rsid w:val="00637D28"/>
    <w:rsid w:val="0064025C"/>
    <w:rsid w:val="006409D7"/>
    <w:rsid w:val="00640B0D"/>
    <w:rsid w:val="00641968"/>
    <w:rsid w:val="006441D3"/>
    <w:rsid w:val="00646148"/>
    <w:rsid w:val="006468CF"/>
    <w:rsid w:val="006475A6"/>
    <w:rsid w:val="00654025"/>
    <w:rsid w:val="00656FCD"/>
    <w:rsid w:val="00657DB0"/>
    <w:rsid w:val="00660805"/>
    <w:rsid w:val="0066145D"/>
    <w:rsid w:val="00663335"/>
    <w:rsid w:val="00663B12"/>
    <w:rsid w:val="00663B34"/>
    <w:rsid w:val="00667996"/>
    <w:rsid w:val="00670742"/>
    <w:rsid w:val="0067097E"/>
    <w:rsid w:val="0067178E"/>
    <w:rsid w:val="00674166"/>
    <w:rsid w:val="00674558"/>
    <w:rsid w:val="00674A1A"/>
    <w:rsid w:val="00674A31"/>
    <w:rsid w:val="00674E83"/>
    <w:rsid w:val="00674F2A"/>
    <w:rsid w:val="0067536D"/>
    <w:rsid w:val="00675AFD"/>
    <w:rsid w:val="00675F2B"/>
    <w:rsid w:val="00676C66"/>
    <w:rsid w:val="00677BF1"/>
    <w:rsid w:val="006804AD"/>
    <w:rsid w:val="0068084D"/>
    <w:rsid w:val="00681A13"/>
    <w:rsid w:val="00682994"/>
    <w:rsid w:val="006829F2"/>
    <w:rsid w:val="006829FE"/>
    <w:rsid w:val="00686937"/>
    <w:rsid w:val="00687EE0"/>
    <w:rsid w:val="0069039B"/>
    <w:rsid w:val="006906FC"/>
    <w:rsid w:val="006920BB"/>
    <w:rsid w:val="006934B2"/>
    <w:rsid w:val="006938CA"/>
    <w:rsid w:val="00693B86"/>
    <w:rsid w:val="00693D14"/>
    <w:rsid w:val="00697279"/>
    <w:rsid w:val="00697566"/>
    <w:rsid w:val="006A0E5A"/>
    <w:rsid w:val="006A1C2F"/>
    <w:rsid w:val="006A23B1"/>
    <w:rsid w:val="006A4F0E"/>
    <w:rsid w:val="006A5529"/>
    <w:rsid w:val="006A631F"/>
    <w:rsid w:val="006A649B"/>
    <w:rsid w:val="006A73BE"/>
    <w:rsid w:val="006A7B37"/>
    <w:rsid w:val="006A7EF0"/>
    <w:rsid w:val="006B0E1B"/>
    <w:rsid w:val="006B1208"/>
    <w:rsid w:val="006B1F25"/>
    <w:rsid w:val="006B4F63"/>
    <w:rsid w:val="006B5051"/>
    <w:rsid w:val="006B5383"/>
    <w:rsid w:val="006C04F3"/>
    <w:rsid w:val="006C07E5"/>
    <w:rsid w:val="006C11AB"/>
    <w:rsid w:val="006C1CA9"/>
    <w:rsid w:val="006C31E2"/>
    <w:rsid w:val="006C3AF1"/>
    <w:rsid w:val="006C460B"/>
    <w:rsid w:val="006C53D1"/>
    <w:rsid w:val="006C6837"/>
    <w:rsid w:val="006D2178"/>
    <w:rsid w:val="006D3415"/>
    <w:rsid w:val="006D4123"/>
    <w:rsid w:val="006D41E2"/>
    <w:rsid w:val="006D4EAD"/>
    <w:rsid w:val="006D55ED"/>
    <w:rsid w:val="006D5C99"/>
    <w:rsid w:val="006D69E5"/>
    <w:rsid w:val="006D74C0"/>
    <w:rsid w:val="006D7ED8"/>
    <w:rsid w:val="006E020D"/>
    <w:rsid w:val="006E119A"/>
    <w:rsid w:val="006E1680"/>
    <w:rsid w:val="006E1703"/>
    <w:rsid w:val="006E1E6E"/>
    <w:rsid w:val="006E2CA4"/>
    <w:rsid w:val="006E2F0D"/>
    <w:rsid w:val="006E31B8"/>
    <w:rsid w:val="006E5316"/>
    <w:rsid w:val="006E7928"/>
    <w:rsid w:val="006F0051"/>
    <w:rsid w:val="006F1295"/>
    <w:rsid w:val="006F1C7C"/>
    <w:rsid w:val="006F1E7A"/>
    <w:rsid w:val="006F63E9"/>
    <w:rsid w:val="006F6C9E"/>
    <w:rsid w:val="006F7530"/>
    <w:rsid w:val="00701016"/>
    <w:rsid w:val="00701A74"/>
    <w:rsid w:val="0070276B"/>
    <w:rsid w:val="00703528"/>
    <w:rsid w:val="00703C4A"/>
    <w:rsid w:val="007042A7"/>
    <w:rsid w:val="007047A9"/>
    <w:rsid w:val="0070578E"/>
    <w:rsid w:val="00706BF2"/>
    <w:rsid w:val="00710203"/>
    <w:rsid w:val="00710281"/>
    <w:rsid w:val="00710B39"/>
    <w:rsid w:val="00712BAF"/>
    <w:rsid w:val="007132E8"/>
    <w:rsid w:val="0071353E"/>
    <w:rsid w:val="007147C8"/>
    <w:rsid w:val="007167D2"/>
    <w:rsid w:val="00717303"/>
    <w:rsid w:val="00717653"/>
    <w:rsid w:val="00717954"/>
    <w:rsid w:val="007200C1"/>
    <w:rsid w:val="00720F1B"/>
    <w:rsid w:val="00721CC4"/>
    <w:rsid w:val="00721DDE"/>
    <w:rsid w:val="00723020"/>
    <w:rsid w:val="0072411B"/>
    <w:rsid w:val="007249FA"/>
    <w:rsid w:val="00725414"/>
    <w:rsid w:val="0072669B"/>
    <w:rsid w:val="00727CAB"/>
    <w:rsid w:val="007300F5"/>
    <w:rsid w:val="0073022F"/>
    <w:rsid w:val="007302D2"/>
    <w:rsid w:val="00732F80"/>
    <w:rsid w:val="00733314"/>
    <w:rsid w:val="0073507C"/>
    <w:rsid w:val="00736990"/>
    <w:rsid w:val="00741CA9"/>
    <w:rsid w:val="007424AF"/>
    <w:rsid w:val="0074452A"/>
    <w:rsid w:val="00745B66"/>
    <w:rsid w:val="00746488"/>
    <w:rsid w:val="00746B7D"/>
    <w:rsid w:val="00750ED8"/>
    <w:rsid w:val="007527D5"/>
    <w:rsid w:val="00752DB9"/>
    <w:rsid w:val="0075335D"/>
    <w:rsid w:val="007534AC"/>
    <w:rsid w:val="007549F5"/>
    <w:rsid w:val="00755202"/>
    <w:rsid w:val="00756355"/>
    <w:rsid w:val="007563BD"/>
    <w:rsid w:val="007568AD"/>
    <w:rsid w:val="00756EDD"/>
    <w:rsid w:val="007619B9"/>
    <w:rsid w:val="00763F8E"/>
    <w:rsid w:val="0076525C"/>
    <w:rsid w:val="0076732B"/>
    <w:rsid w:val="00767E98"/>
    <w:rsid w:val="00772B4C"/>
    <w:rsid w:val="00772D28"/>
    <w:rsid w:val="00772D80"/>
    <w:rsid w:val="00772FEC"/>
    <w:rsid w:val="00774B01"/>
    <w:rsid w:val="00774BB1"/>
    <w:rsid w:val="00775B1C"/>
    <w:rsid w:val="0078054C"/>
    <w:rsid w:val="0078260D"/>
    <w:rsid w:val="007829D8"/>
    <w:rsid w:val="00783F94"/>
    <w:rsid w:val="007867B0"/>
    <w:rsid w:val="0078737A"/>
    <w:rsid w:val="00787D37"/>
    <w:rsid w:val="00790864"/>
    <w:rsid w:val="00791010"/>
    <w:rsid w:val="007911E0"/>
    <w:rsid w:val="00791412"/>
    <w:rsid w:val="007919C7"/>
    <w:rsid w:val="0079206A"/>
    <w:rsid w:val="00792BD1"/>
    <w:rsid w:val="00792E66"/>
    <w:rsid w:val="00793C09"/>
    <w:rsid w:val="00795461"/>
    <w:rsid w:val="007A0AD6"/>
    <w:rsid w:val="007A0EB1"/>
    <w:rsid w:val="007A1366"/>
    <w:rsid w:val="007A297D"/>
    <w:rsid w:val="007A2F43"/>
    <w:rsid w:val="007A5E71"/>
    <w:rsid w:val="007A6C14"/>
    <w:rsid w:val="007A7423"/>
    <w:rsid w:val="007A7B19"/>
    <w:rsid w:val="007A7EA4"/>
    <w:rsid w:val="007B01ED"/>
    <w:rsid w:val="007B10AD"/>
    <w:rsid w:val="007B2711"/>
    <w:rsid w:val="007B2DD8"/>
    <w:rsid w:val="007B3AA9"/>
    <w:rsid w:val="007B4765"/>
    <w:rsid w:val="007B4EE9"/>
    <w:rsid w:val="007B5080"/>
    <w:rsid w:val="007B52C6"/>
    <w:rsid w:val="007B6BD9"/>
    <w:rsid w:val="007B776B"/>
    <w:rsid w:val="007B7C99"/>
    <w:rsid w:val="007B7D84"/>
    <w:rsid w:val="007C00F8"/>
    <w:rsid w:val="007C08EE"/>
    <w:rsid w:val="007C0BF2"/>
    <w:rsid w:val="007C18AB"/>
    <w:rsid w:val="007C1EB0"/>
    <w:rsid w:val="007C33B5"/>
    <w:rsid w:val="007C36EC"/>
    <w:rsid w:val="007C3C6D"/>
    <w:rsid w:val="007C431F"/>
    <w:rsid w:val="007C4401"/>
    <w:rsid w:val="007C55B6"/>
    <w:rsid w:val="007C5F40"/>
    <w:rsid w:val="007D0DC1"/>
    <w:rsid w:val="007D19D8"/>
    <w:rsid w:val="007D27AD"/>
    <w:rsid w:val="007D2950"/>
    <w:rsid w:val="007D4B3B"/>
    <w:rsid w:val="007D6A01"/>
    <w:rsid w:val="007D7BDB"/>
    <w:rsid w:val="007E117D"/>
    <w:rsid w:val="007E19CE"/>
    <w:rsid w:val="007E1A92"/>
    <w:rsid w:val="007E1BC3"/>
    <w:rsid w:val="007E1D1E"/>
    <w:rsid w:val="007E2150"/>
    <w:rsid w:val="007E2325"/>
    <w:rsid w:val="007E2592"/>
    <w:rsid w:val="007E2C51"/>
    <w:rsid w:val="007E43F3"/>
    <w:rsid w:val="007E5067"/>
    <w:rsid w:val="007E50BD"/>
    <w:rsid w:val="007E5BFA"/>
    <w:rsid w:val="007E62A9"/>
    <w:rsid w:val="007E6657"/>
    <w:rsid w:val="007E6C66"/>
    <w:rsid w:val="007E72B0"/>
    <w:rsid w:val="007F1525"/>
    <w:rsid w:val="007F2A55"/>
    <w:rsid w:val="007F355A"/>
    <w:rsid w:val="007F3D21"/>
    <w:rsid w:val="007F5E73"/>
    <w:rsid w:val="007F62EC"/>
    <w:rsid w:val="007F65A9"/>
    <w:rsid w:val="007F79D4"/>
    <w:rsid w:val="007F7D57"/>
    <w:rsid w:val="008007D2"/>
    <w:rsid w:val="00800FC3"/>
    <w:rsid w:val="00801EA9"/>
    <w:rsid w:val="00802215"/>
    <w:rsid w:val="0080345C"/>
    <w:rsid w:val="0080419F"/>
    <w:rsid w:val="0080485C"/>
    <w:rsid w:val="00804B12"/>
    <w:rsid w:val="00804E77"/>
    <w:rsid w:val="008058CF"/>
    <w:rsid w:val="00806314"/>
    <w:rsid w:val="008064DF"/>
    <w:rsid w:val="00806905"/>
    <w:rsid w:val="00806C89"/>
    <w:rsid w:val="00806F80"/>
    <w:rsid w:val="008106CA"/>
    <w:rsid w:val="00810706"/>
    <w:rsid w:val="00811BCC"/>
    <w:rsid w:val="0081429E"/>
    <w:rsid w:val="00815189"/>
    <w:rsid w:val="008162A8"/>
    <w:rsid w:val="008166E2"/>
    <w:rsid w:val="00816ED3"/>
    <w:rsid w:val="00820607"/>
    <w:rsid w:val="00822598"/>
    <w:rsid w:val="00823FE5"/>
    <w:rsid w:val="008246F3"/>
    <w:rsid w:val="008256A5"/>
    <w:rsid w:val="00831997"/>
    <w:rsid w:val="00832308"/>
    <w:rsid w:val="00832462"/>
    <w:rsid w:val="00833162"/>
    <w:rsid w:val="00833ED3"/>
    <w:rsid w:val="00835E60"/>
    <w:rsid w:val="00840C25"/>
    <w:rsid w:val="00840CFE"/>
    <w:rsid w:val="008417F4"/>
    <w:rsid w:val="0084183F"/>
    <w:rsid w:val="00843464"/>
    <w:rsid w:val="008435AA"/>
    <w:rsid w:val="00843671"/>
    <w:rsid w:val="00844161"/>
    <w:rsid w:val="00844F41"/>
    <w:rsid w:val="00845914"/>
    <w:rsid w:val="008459D3"/>
    <w:rsid w:val="0084652A"/>
    <w:rsid w:val="008473A4"/>
    <w:rsid w:val="00850122"/>
    <w:rsid w:val="00852953"/>
    <w:rsid w:val="00853CF2"/>
    <w:rsid w:val="00854113"/>
    <w:rsid w:val="0085697D"/>
    <w:rsid w:val="0085779D"/>
    <w:rsid w:val="00857DFA"/>
    <w:rsid w:val="0086044D"/>
    <w:rsid w:val="00860A66"/>
    <w:rsid w:val="00860CA9"/>
    <w:rsid w:val="00861964"/>
    <w:rsid w:val="00861CC1"/>
    <w:rsid w:val="00862099"/>
    <w:rsid w:val="00862BDD"/>
    <w:rsid w:val="00862D74"/>
    <w:rsid w:val="00862FD7"/>
    <w:rsid w:val="008647DC"/>
    <w:rsid w:val="008652F5"/>
    <w:rsid w:val="00867F79"/>
    <w:rsid w:val="0087039E"/>
    <w:rsid w:val="00870A56"/>
    <w:rsid w:val="008716B8"/>
    <w:rsid w:val="008722E0"/>
    <w:rsid w:val="00872B1C"/>
    <w:rsid w:val="00873C9E"/>
    <w:rsid w:val="008753B7"/>
    <w:rsid w:val="00875B07"/>
    <w:rsid w:val="00875DB9"/>
    <w:rsid w:val="008760D5"/>
    <w:rsid w:val="008765A6"/>
    <w:rsid w:val="008779D1"/>
    <w:rsid w:val="00881D7A"/>
    <w:rsid w:val="00881DA0"/>
    <w:rsid w:val="00882497"/>
    <w:rsid w:val="00882FC5"/>
    <w:rsid w:val="008840FE"/>
    <w:rsid w:val="00885F70"/>
    <w:rsid w:val="008863FA"/>
    <w:rsid w:val="00886503"/>
    <w:rsid w:val="00887994"/>
    <w:rsid w:val="00887C9A"/>
    <w:rsid w:val="00891D90"/>
    <w:rsid w:val="00893C13"/>
    <w:rsid w:val="00893D24"/>
    <w:rsid w:val="00893F6D"/>
    <w:rsid w:val="0089409E"/>
    <w:rsid w:val="00895AFC"/>
    <w:rsid w:val="00896B18"/>
    <w:rsid w:val="008A0085"/>
    <w:rsid w:val="008A18EC"/>
    <w:rsid w:val="008A1CD1"/>
    <w:rsid w:val="008A1D91"/>
    <w:rsid w:val="008A2B19"/>
    <w:rsid w:val="008A3647"/>
    <w:rsid w:val="008A3CD2"/>
    <w:rsid w:val="008A4D13"/>
    <w:rsid w:val="008A5BA4"/>
    <w:rsid w:val="008A5F52"/>
    <w:rsid w:val="008A6457"/>
    <w:rsid w:val="008A7311"/>
    <w:rsid w:val="008B08CA"/>
    <w:rsid w:val="008B15F9"/>
    <w:rsid w:val="008B328D"/>
    <w:rsid w:val="008B6018"/>
    <w:rsid w:val="008B620B"/>
    <w:rsid w:val="008B7728"/>
    <w:rsid w:val="008B78BA"/>
    <w:rsid w:val="008C0AD2"/>
    <w:rsid w:val="008C0D3F"/>
    <w:rsid w:val="008C146F"/>
    <w:rsid w:val="008C1872"/>
    <w:rsid w:val="008C2F8A"/>
    <w:rsid w:val="008C4575"/>
    <w:rsid w:val="008C47A6"/>
    <w:rsid w:val="008C6069"/>
    <w:rsid w:val="008C6DAC"/>
    <w:rsid w:val="008C7550"/>
    <w:rsid w:val="008D066F"/>
    <w:rsid w:val="008D1541"/>
    <w:rsid w:val="008D1889"/>
    <w:rsid w:val="008D24CC"/>
    <w:rsid w:val="008D28B4"/>
    <w:rsid w:val="008D492D"/>
    <w:rsid w:val="008D4E48"/>
    <w:rsid w:val="008D5D80"/>
    <w:rsid w:val="008D7098"/>
    <w:rsid w:val="008E00D1"/>
    <w:rsid w:val="008E0F0A"/>
    <w:rsid w:val="008E17D6"/>
    <w:rsid w:val="008E2778"/>
    <w:rsid w:val="008E3DA0"/>
    <w:rsid w:val="008E7528"/>
    <w:rsid w:val="008F0052"/>
    <w:rsid w:val="008F1382"/>
    <w:rsid w:val="008F23FB"/>
    <w:rsid w:val="008F2DC7"/>
    <w:rsid w:val="008F3A3E"/>
    <w:rsid w:val="008F5476"/>
    <w:rsid w:val="009004E8"/>
    <w:rsid w:val="00900527"/>
    <w:rsid w:val="009005C4"/>
    <w:rsid w:val="009009AD"/>
    <w:rsid w:val="00901BA5"/>
    <w:rsid w:val="009021FF"/>
    <w:rsid w:val="00902D0A"/>
    <w:rsid w:val="00903997"/>
    <w:rsid w:val="0090790A"/>
    <w:rsid w:val="00910192"/>
    <w:rsid w:val="0091035B"/>
    <w:rsid w:val="00910D7F"/>
    <w:rsid w:val="009122ED"/>
    <w:rsid w:val="00913015"/>
    <w:rsid w:val="0091340C"/>
    <w:rsid w:val="00917F38"/>
    <w:rsid w:val="00921A22"/>
    <w:rsid w:val="00922726"/>
    <w:rsid w:val="00922B3F"/>
    <w:rsid w:val="00923672"/>
    <w:rsid w:val="0092406D"/>
    <w:rsid w:val="00924682"/>
    <w:rsid w:val="0092526A"/>
    <w:rsid w:val="009254C4"/>
    <w:rsid w:val="009272A7"/>
    <w:rsid w:val="00927E6C"/>
    <w:rsid w:val="00930248"/>
    <w:rsid w:val="00930AFD"/>
    <w:rsid w:val="00931AFE"/>
    <w:rsid w:val="00932A5B"/>
    <w:rsid w:val="009347B0"/>
    <w:rsid w:val="00937362"/>
    <w:rsid w:val="00940163"/>
    <w:rsid w:val="00940EB7"/>
    <w:rsid w:val="009425A6"/>
    <w:rsid w:val="0094585C"/>
    <w:rsid w:val="0094611E"/>
    <w:rsid w:val="00947AF4"/>
    <w:rsid w:val="009502F8"/>
    <w:rsid w:val="0095090D"/>
    <w:rsid w:val="00951BEA"/>
    <w:rsid w:val="009526C7"/>
    <w:rsid w:val="00953480"/>
    <w:rsid w:val="00954272"/>
    <w:rsid w:val="00954B61"/>
    <w:rsid w:val="00954BD4"/>
    <w:rsid w:val="0095698B"/>
    <w:rsid w:val="00957529"/>
    <w:rsid w:val="00957FE8"/>
    <w:rsid w:val="00961A98"/>
    <w:rsid w:val="00963A0E"/>
    <w:rsid w:val="0096410D"/>
    <w:rsid w:val="00964302"/>
    <w:rsid w:val="009707B1"/>
    <w:rsid w:val="00970B5B"/>
    <w:rsid w:val="00971081"/>
    <w:rsid w:val="00971551"/>
    <w:rsid w:val="009729B4"/>
    <w:rsid w:val="00972A4E"/>
    <w:rsid w:val="00973438"/>
    <w:rsid w:val="00973592"/>
    <w:rsid w:val="00975621"/>
    <w:rsid w:val="00975F6E"/>
    <w:rsid w:val="00975F9A"/>
    <w:rsid w:val="0097772D"/>
    <w:rsid w:val="00980751"/>
    <w:rsid w:val="00980D6C"/>
    <w:rsid w:val="009816F4"/>
    <w:rsid w:val="009826DE"/>
    <w:rsid w:val="00983F92"/>
    <w:rsid w:val="0098602F"/>
    <w:rsid w:val="00986C05"/>
    <w:rsid w:val="00987C3F"/>
    <w:rsid w:val="00987EBB"/>
    <w:rsid w:val="00990179"/>
    <w:rsid w:val="00992EFF"/>
    <w:rsid w:val="009938AB"/>
    <w:rsid w:val="00994226"/>
    <w:rsid w:val="00995196"/>
    <w:rsid w:val="009A05DD"/>
    <w:rsid w:val="009A28FD"/>
    <w:rsid w:val="009A4059"/>
    <w:rsid w:val="009A601D"/>
    <w:rsid w:val="009A6C19"/>
    <w:rsid w:val="009A78A1"/>
    <w:rsid w:val="009A7E84"/>
    <w:rsid w:val="009B0132"/>
    <w:rsid w:val="009B0F48"/>
    <w:rsid w:val="009B16E1"/>
    <w:rsid w:val="009B252A"/>
    <w:rsid w:val="009B325A"/>
    <w:rsid w:val="009B3578"/>
    <w:rsid w:val="009B3DAA"/>
    <w:rsid w:val="009B443C"/>
    <w:rsid w:val="009B4A92"/>
    <w:rsid w:val="009B6C2E"/>
    <w:rsid w:val="009B7080"/>
    <w:rsid w:val="009B7927"/>
    <w:rsid w:val="009C05DA"/>
    <w:rsid w:val="009C2074"/>
    <w:rsid w:val="009C2980"/>
    <w:rsid w:val="009C4ADD"/>
    <w:rsid w:val="009C5DFA"/>
    <w:rsid w:val="009C7E3D"/>
    <w:rsid w:val="009D0869"/>
    <w:rsid w:val="009D11F9"/>
    <w:rsid w:val="009D1746"/>
    <w:rsid w:val="009D2E2C"/>
    <w:rsid w:val="009D322B"/>
    <w:rsid w:val="009D3454"/>
    <w:rsid w:val="009D3672"/>
    <w:rsid w:val="009D47FE"/>
    <w:rsid w:val="009D56CD"/>
    <w:rsid w:val="009D59ED"/>
    <w:rsid w:val="009D6523"/>
    <w:rsid w:val="009D7015"/>
    <w:rsid w:val="009D7DAB"/>
    <w:rsid w:val="009E0479"/>
    <w:rsid w:val="009E28FB"/>
    <w:rsid w:val="009E2D06"/>
    <w:rsid w:val="009E2E1B"/>
    <w:rsid w:val="009E3745"/>
    <w:rsid w:val="009E6036"/>
    <w:rsid w:val="009E646D"/>
    <w:rsid w:val="009E6720"/>
    <w:rsid w:val="009F0796"/>
    <w:rsid w:val="009F14A4"/>
    <w:rsid w:val="009F3115"/>
    <w:rsid w:val="009F5371"/>
    <w:rsid w:val="009F5D0F"/>
    <w:rsid w:val="009F764A"/>
    <w:rsid w:val="00A00E84"/>
    <w:rsid w:val="00A010B0"/>
    <w:rsid w:val="00A01B91"/>
    <w:rsid w:val="00A039AE"/>
    <w:rsid w:val="00A0556E"/>
    <w:rsid w:val="00A06351"/>
    <w:rsid w:val="00A07C1C"/>
    <w:rsid w:val="00A10D93"/>
    <w:rsid w:val="00A12504"/>
    <w:rsid w:val="00A13E80"/>
    <w:rsid w:val="00A14921"/>
    <w:rsid w:val="00A14D02"/>
    <w:rsid w:val="00A1514C"/>
    <w:rsid w:val="00A15D3B"/>
    <w:rsid w:val="00A16686"/>
    <w:rsid w:val="00A17232"/>
    <w:rsid w:val="00A17720"/>
    <w:rsid w:val="00A17C13"/>
    <w:rsid w:val="00A21491"/>
    <w:rsid w:val="00A2177E"/>
    <w:rsid w:val="00A2199E"/>
    <w:rsid w:val="00A21B69"/>
    <w:rsid w:val="00A2241C"/>
    <w:rsid w:val="00A22D89"/>
    <w:rsid w:val="00A239BB"/>
    <w:rsid w:val="00A25541"/>
    <w:rsid w:val="00A25D16"/>
    <w:rsid w:val="00A25D5C"/>
    <w:rsid w:val="00A2650A"/>
    <w:rsid w:val="00A2742C"/>
    <w:rsid w:val="00A27764"/>
    <w:rsid w:val="00A312A8"/>
    <w:rsid w:val="00A32045"/>
    <w:rsid w:val="00A34985"/>
    <w:rsid w:val="00A34C0C"/>
    <w:rsid w:val="00A35682"/>
    <w:rsid w:val="00A36BAA"/>
    <w:rsid w:val="00A36CC0"/>
    <w:rsid w:val="00A36CFD"/>
    <w:rsid w:val="00A37D94"/>
    <w:rsid w:val="00A40C1A"/>
    <w:rsid w:val="00A41152"/>
    <w:rsid w:val="00A44841"/>
    <w:rsid w:val="00A44A6A"/>
    <w:rsid w:val="00A45376"/>
    <w:rsid w:val="00A45970"/>
    <w:rsid w:val="00A467B5"/>
    <w:rsid w:val="00A47491"/>
    <w:rsid w:val="00A47814"/>
    <w:rsid w:val="00A50338"/>
    <w:rsid w:val="00A50D5C"/>
    <w:rsid w:val="00A52A50"/>
    <w:rsid w:val="00A530CC"/>
    <w:rsid w:val="00A53B02"/>
    <w:rsid w:val="00A53CF5"/>
    <w:rsid w:val="00A55AD0"/>
    <w:rsid w:val="00A56C96"/>
    <w:rsid w:val="00A57A0C"/>
    <w:rsid w:val="00A60B98"/>
    <w:rsid w:val="00A6234E"/>
    <w:rsid w:val="00A63021"/>
    <w:rsid w:val="00A642B6"/>
    <w:rsid w:val="00A6471C"/>
    <w:rsid w:val="00A647A2"/>
    <w:rsid w:val="00A6558A"/>
    <w:rsid w:val="00A67064"/>
    <w:rsid w:val="00A67BD3"/>
    <w:rsid w:val="00A70220"/>
    <w:rsid w:val="00A71768"/>
    <w:rsid w:val="00A71C73"/>
    <w:rsid w:val="00A71D75"/>
    <w:rsid w:val="00A7234F"/>
    <w:rsid w:val="00A72769"/>
    <w:rsid w:val="00A73A9F"/>
    <w:rsid w:val="00A73CF2"/>
    <w:rsid w:val="00A779DA"/>
    <w:rsid w:val="00A80567"/>
    <w:rsid w:val="00A82B10"/>
    <w:rsid w:val="00A846E2"/>
    <w:rsid w:val="00A84BE4"/>
    <w:rsid w:val="00A84C65"/>
    <w:rsid w:val="00A84EF7"/>
    <w:rsid w:val="00A851D8"/>
    <w:rsid w:val="00A8564D"/>
    <w:rsid w:val="00A865AA"/>
    <w:rsid w:val="00A87CD2"/>
    <w:rsid w:val="00A87CF9"/>
    <w:rsid w:val="00A90D12"/>
    <w:rsid w:val="00A92626"/>
    <w:rsid w:val="00A92C12"/>
    <w:rsid w:val="00A93379"/>
    <w:rsid w:val="00A9344C"/>
    <w:rsid w:val="00A9360D"/>
    <w:rsid w:val="00A96502"/>
    <w:rsid w:val="00A96979"/>
    <w:rsid w:val="00A96BC3"/>
    <w:rsid w:val="00A97124"/>
    <w:rsid w:val="00AA08CC"/>
    <w:rsid w:val="00AA0D54"/>
    <w:rsid w:val="00AA118E"/>
    <w:rsid w:val="00AA2515"/>
    <w:rsid w:val="00AA254F"/>
    <w:rsid w:val="00AA2D6E"/>
    <w:rsid w:val="00AA4468"/>
    <w:rsid w:val="00AA55F0"/>
    <w:rsid w:val="00AA5C75"/>
    <w:rsid w:val="00AA6829"/>
    <w:rsid w:val="00AA7EA5"/>
    <w:rsid w:val="00AB0316"/>
    <w:rsid w:val="00AB17D3"/>
    <w:rsid w:val="00AB3AEC"/>
    <w:rsid w:val="00AB3D41"/>
    <w:rsid w:val="00AB47E6"/>
    <w:rsid w:val="00AB4A72"/>
    <w:rsid w:val="00AB4ECC"/>
    <w:rsid w:val="00AB563B"/>
    <w:rsid w:val="00AB756F"/>
    <w:rsid w:val="00AC2454"/>
    <w:rsid w:val="00AC2B33"/>
    <w:rsid w:val="00AC2D0A"/>
    <w:rsid w:val="00AC39E8"/>
    <w:rsid w:val="00AC40CF"/>
    <w:rsid w:val="00AC412C"/>
    <w:rsid w:val="00AC444A"/>
    <w:rsid w:val="00AC44EB"/>
    <w:rsid w:val="00AC4754"/>
    <w:rsid w:val="00AC5254"/>
    <w:rsid w:val="00AC5513"/>
    <w:rsid w:val="00AC5E2F"/>
    <w:rsid w:val="00AC6F3C"/>
    <w:rsid w:val="00AC78D4"/>
    <w:rsid w:val="00AD10AB"/>
    <w:rsid w:val="00AD2447"/>
    <w:rsid w:val="00AD4E4C"/>
    <w:rsid w:val="00AD6A69"/>
    <w:rsid w:val="00AE040B"/>
    <w:rsid w:val="00AE1A80"/>
    <w:rsid w:val="00AE1E74"/>
    <w:rsid w:val="00AE33EA"/>
    <w:rsid w:val="00AE3735"/>
    <w:rsid w:val="00AE5230"/>
    <w:rsid w:val="00AE541C"/>
    <w:rsid w:val="00AE5F89"/>
    <w:rsid w:val="00AE6525"/>
    <w:rsid w:val="00AE7DB5"/>
    <w:rsid w:val="00AE7F41"/>
    <w:rsid w:val="00AF01C4"/>
    <w:rsid w:val="00AF0974"/>
    <w:rsid w:val="00AF1694"/>
    <w:rsid w:val="00AF1B8D"/>
    <w:rsid w:val="00AF2C7C"/>
    <w:rsid w:val="00AF2D91"/>
    <w:rsid w:val="00AF2DAD"/>
    <w:rsid w:val="00AF60C0"/>
    <w:rsid w:val="00AF7DF4"/>
    <w:rsid w:val="00B001FF"/>
    <w:rsid w:val="00B021AA"/>
    <w:rsid w:val="00B026AA"/>
    <w:rsid w:val="00B03262"/>
    <w:rsid w:val="00B0336F"/>
    <w:rsid w:val="00B0338E"/>
    <w:rsid w:val="00B03B43"/>
    <w:rsid w:val="00B03CA8"/>
    <w:rsid w:val="00B03F80"/>
    <w:rsid w:val="00B0400C"/>
    <w:rsid w:val="00B04472"/>
    <w:rsid w:val="00B049C9"/>
    <w:rsid w:val="00B052D3"/>
    <w:rsid w:val="00B05ACA"/>
    <w:rsid w:val="00B05FFC"/>
    <w:rsid w:val="00B06875"/>
    <w:rsid w:val="00B06B93"/>
    <w:rsid w:val="00B06BB9"/>
    <w:rsid w:val="00B06FEA"/>
    <w:rsid w:val="00B077F2"/>
    <w:rsid w:val="00B079DE"/>
    <w:rsid w:val="00B07A4B"/>
    <w:rsid w:val="00B11055"/>
    <w:rsid w:val="00B11534"/>
    <w:rsid w:val="00B11BEB"/>
    <w:rsid w:val="00B129CA"/>
    <w:rsid w:val="00B20746"/>
    <w:rsid w:val="00B23670"/>
    <w:rsid w:val="00B23CB0"/>
    <w:rsid w:val="00B246CF"/>
    <w:rsid w:val="00B2477A"/>
    <w:rsid w:val="00B25102"/>
    <w:rsid w:val="00B26206"/>
    <w:rsid w:val="00B26F75"/>
    <w:rsid w:val="00B27BB0"/>
    <w:rsid w:val="00B3209C"/>
    <w:rsid w:val="00B35F30"/>
    <w:rsid w:val="00B3666C"/>
    <w:rsid w:val="00B379DB"/>
    <w:rsid w:val="00B410A7"/>
    <w:rsid w:val="00B4184D"/>
    <w:rsid w:val="00B4240E"/>
    <w:rsid w:val="00B45288"/>
    <w:rsid w:val="00B455BB"/>
    <w:rsid w:val="00B45827"/>
    <w:rsid w:val="00B46EA9"/>
    <w:rsid w:val="00B50069"/>
    <w:rsid w:val="00B50DA1"/>
    <w:rsid w:val="00B52933"/>
    <w:rsid w:val="00B530BE"/>
    <w:rsid w:val="00B53722"/>
    <w:rsid w:val="00B54500"/>
    <w:rsid w:val="00B54635"/>
    <w:rsid w:val="00B546AF"/>
    <w:rsid w:val="00B54F69"/>
    <w:rsid w:val="00B56498"/>
    <w:rsid w:val="00B60565"/>
    <w:rsid w:val="00B612F3"/>
    <w:rsid w:val="00B614B2"/>
    <w:rsid w:val="00B622FF"/>
    <w:rsid w:val="00B62A0C"/>
    <w:rsid w:val="00B62F82"/>
    <w:rsid w:val="00B63918"/>
    <w:rsid w:val="00B640C6"/>
    <w:rsid w:val="00B6471E"/>
    <w:rsid w:val="00B65299"/>
    <w:rsid w:val="00B6568E"/>
    <w:rsid w:val="00B66504"/>
    <w:rsid w:val="00B66E43"/>
    <w:rsid w:val="00B6704B"/>
    <w:rsid w:val="00B67961"/>
    <w:rsid w:val="00B67C82"/>
    <w:rsid w:val="00B7001C"/>
    <w:rsid w:val="00B70259"/>
    <w:rsid w:val="00B71B62"/>
    <w:rsid w:val="00B72EA3"/>
    <w:rsid w:val="00B76C27"/>
    <w:rsid w:val="00B76C81"/>
    <w:rsid w:val="00B76FC0"/>
    <w:rsid w:val="00B804C1"/>
    <w:rsid w:val="00B80CB4"/>
    <w:rsid w:val="00B82C76"/>
    <w:rsid w:val="00B83D1D"/>
    <w:rsid w:val="00B848DE"/>
    <w:rsid w:val="00B85C8E"/>
    <w:rsid w:val="00B86C74"/>
    <w:rsid w:val="00B90E2D"/>
    <w:rsid w:val="00B91150"/>
    <w:rsid w:val="00B92996"/>
    <w:rsid w:val="00B92C5B"/>
    <w:rsid w:val="00B943AD"/>
    <w:rsid w:val="00B97EA0"/>
    <w:rsid w:val="00BA1085"/>
    <w:rsid w:val="00BA11E5"/>
    <w:rsid w:val="00BA196E"/>
    <w:rsid w:val="00BA3800"/>
    <w:rsid w:val="00BA49BC"/>
    <w:rsid w:val="00BB1509"/>
    <w:rsid w:val="00BB1572"/>
    <w:rsid w:val="00BB24A7"/>
    <w:rsid w:val="00BB39D5"/>
    <w:rsid w:val="00BB497A"/>
    <w:rsid w:val="00BB5864"/>
    <w:rsid w:val="00BB70EC"/>
    <w:rsid w:val="00BB76B9"/>
    <w:rsid w:val="00BB7F45"/>
    <w:rsid w:val="00BC1EED"/>
    <w:rsid w:val="00BC2CCA"/>
    <w:rsid w:val="00BC2E25"/>
    <w:rsid w:val="00BC3E9C"/>
    <w:rsid w:val="00BC489A"/>
    <w:rsid w:val="00BC49A3"/>
    <w:rsid w:val="00BC5079"/>
    <w:rsid w:val="00BC5808"/>
    <w:rsid w:val="00BD000D"/>
    <w:rsid w:val="00BD017B"/>
    <w:rsid w:val="00BD152B"/>
    <w:rsid w:val="00BD1F9A"/>
    <w:rsid w:val="00BD53D3"/>
    <w:rsid w:val="00BD6749"/>
    <w:rsid w:val="00BE0AD5"/>
    <w:rsid w:val="00BE1320"/>
    <w:rsid w:val="00BE5079"/>
    <w:rsid w:val="00BE6514"/>
    <w:rsid w:val="00BE66EE"/>
    <w:rsid w:val="00BF1CB5"/>
    <w:rsid w:val="00BF20CA"/>
    <w:rsid w:val="00BF366B"/>
    <w:rsid w:val="00BF419B"/>
    <w:rsid w:val="00BF53CD"/>
    <w:rsid w:val="00BF58C6"/>
    <w:rsid w:val="00BF682B"/>
    <w:rsid w:val="00BF724B"/>
    <w:rsid w:val="00C007D3"/>
    <w:rsid w:val="00C017C4"/>
    <w:rsid w:val="00C01968"/>
    <w:rsid w:val="00C01A5B"/>
    <w:rsid w:val="00C04BCF"/>
    <w:rsid w:val="00C05BAF"/>
    <w:rsid w:val="00C06233"/>
    <w:rsid w:val="00C0709B"/>
    <w:rsid w:val="00C07D1B"/>
    <w:rsid w:val="00C10539"/>
    <w:rsid w:val="00C10784"/>
    <w:rsid w:val="00C1122A"/>
    <w:rsid w:val="00C11DF0"/>
    <w:rsid w:val="00C12CC9"/>
    <w:rsid w:val="00C12F22"/>
    <w:rsid w:val="00C1685C"/>
    <w:rsid w:val="00C16AAB"/>
    <w:rsid w:val="00C2006A"/>
    <w:rsid w:val="00C20E87"/>
    <w:rsid w:val="00C22509"/>
    <w:rsid w:val="00C237A1"/>
    <w:rsid w:val="00C25FA0"/>
    <w:rsid w:val="00C268F3"/>
    <w:rsid w:val="00C27229"/>
    <w:rsid w:val="00C272C1"/>
    <w:rsid w:val="00C27AF8"/>
    <w:rsid w:val="00C3032E"/>
    <w:rsid w:val="00C303C1"/>
    <w:rsid w:val="00C30459"/>
    <w:rsid w:val="00C313D1"/>
    <w:rsid w:val="00C31B3A"/>
    <w:rsid w:val="00C32F6E"/>
    <w:rsid w:val="00C33C93"/>
    <w:rsid w:val="00C35B96"/>
    <w:rsid w:val="00C40569"/>
    <w:rsid w:val="00C409C2"/>
    <w:rsid w:val="00C40CE8"/>
    <w:rsid w:val="00C40F42"/>
    <w:rsid w:val="00C41644"/>
    <w:rsid w:val="00C41A70"/>
    <w:rsid w:val="00C41ACF"/>
    <w:rsid w:val="00C428B4"/>
    <w:rsid w:val="00C42C39"/>
    <w:rsid w:val="00C42D3C"/>
    <w:rsid w:val="00C446F8"/>
    <w:rsid w:val="00C447B0"/>
    <w:rsid w:val="00C448DD"/>
    <w:rsid w:val="00C44DDF"/>
    <w:rsid w:val="00C46ACF"/>
    <w:rsid w:val="00C4716C"/>
    <w:rsid w:val="00C5041E"/>
    <w:rsid w:val="00C50519"/>
    <w:rsid w:val="00C50A42"/>
    <w:rsid w:val="00C513EF"/>
    <w:rsid w:val="00C53E4F"/>
    <w:rsid w:val="00C55AC2"/>
    <w:rsid w:val="00C56C7F"/>
    <w:rsid w:val="00C57979"/>
    <w:rsid w:val="00C60BD5"/>
    <w:rsid w:val="00C60C18"/>
    <w:rsid w:val="00C612CF"/>
    <w:rsid w:val="00C61DF9"/>
    <w:rsid w:val="00C62AE3"/>
    <w:rsid w:val="00C62ED0"/>
    <w:rsid w:val="00C634B2"/>
    <w:rsid w:val="00C63630"/>
    <w:rsid w:val="00C63791"/>
    <w:rsid w:val="00C643E7"/>
    <w:rsid w:val="00C645A2"/>
    <w:rsid w:val="00C661A6"/>
    <w:rsid w:val="00C66881"/>
    <w:rsid w:val="00C66D77"/>
    <w:rsid w:val="00C6729B"/>
    <w:rsid w:val="00C7263E"/>
    <w:rsid w:val="00C72A49"/>
    <w:rsid w:val="00C72B38"/>
    <w:rsid w:val="00C751F5"/>
    <w:rsid w:val="00C75AFA"/>
    <w:rsid w:val="00C76554"/>
    <w:rsid w:val="00C777EF"/>
    <w:rsid w:val="00C823D9"/>
    <w:rsid w:val="00C82A7D"/>
    <w:rsid w:val="00C84101"/>
    <w:rsid w:val="00C8678E"/>
    <w:rsid w:val="00C870A6"/>
    <w:rsid w:val="00C870E3"/>
    <w:rsid w:val="00C87346"/>
    <w:rsid w:val="00C90448"/>
    <w:rsid w:val="00C91B49"/>
    <w:rsid w:val="00C91E64"/>
    <w:rsid w:val="00C92C5A"/>
    <w:rsid w:val="00C9465C"/>
    <w:rsid w:val="00C96240"/>
    <w:rsid w:val="00C97559"/>
    <w:rsid w:val="00CA0536"/>
    <w:rsid w:val="00CA19F6"/>
    <w:rsid w:val="00CA1E2D"/>
    <w:rsid w:val="00CA1E43"/>
    <w:rsid w:val="00CA3F13"/>
    <w:rsid w:val="00CA58D2"/>
    <w:rsid w:val="00CA644D"/>
    <w:rsid w:val="00CA65E2"/>
    <w:rsid w:val="00CA791B"/>
    <w:rsid w:val="00CB1973"/>
    <w:rsid w:val="00CB1D2E"/>
    <w:rsid w:val="00CB22F9"/>
    <w:rsid w:val="00CB2DAC"/>
    <w:rsid w:val="00CB32AF"/>
    <w:rsid w:val="00CB35EA"/>
    <w:rsid w:val="00CB36AF"/>
    <w:rsid w:val="00CB437E"/>
    <w:rsid w:val="00CB49B0"/>
    <w:rsid w:val="00CB50C4"/>
    <w:rsid w:val="00CB5939"/>
    <w:rsid w:val="00CB5D4F"/>
    <w:rsid w:val="00CC28CB"/>
    <w:rsid w:val="00CC4A7E"/>
    <w:rsid w:val="00CC4BB6"/>
    <w:rsid w:val="00CC751E"/>
    <w:rsid w:val="00CD0F2B"/>
    <w:rsid w:val="00CD1364"/>
    <w:rsid w:val="00CD1DD2"/>
    <w:rsid w:val="00CD2497"/>
    <w:rsid w:val="00CD2966"/>
    <w:rsid w:val="00CD2B3F"/>
    <w:rsid w:val="00CD2BDD"/>
    <w:rsid w:val="00CD301F"/>
    <w:rsid w:val="00CD31E0"/>
    <w:rsid w:val="00CD3351"/>
    <w:rsid w:val="00CD3684"/>
    <w:rsid w:val="00CD4CFF"/>
    <w:rsid w:val="00CD5627"/>
    <w:rsid w:val="00CD5646"/>
    <w:rsid w:val="00CD61C2"/>
    <w:rsid w:val="00CD6ABB"/>
    <w:rsid w:val="00CD6E5B"/>
    <w:rsid w:val="00CE07D5"/>
    <w:rsid w:val="00CE1ACD"/>
    <w:rsid w:val="00CE227A"/>
    <w:rsid w:val="00CE2446"/>
    <w:rsid w:val="00CE38AC"/>
    <w:rsid w:val="00CE4A90"/>
    <w:rsid w:val="00CE501D"/>
    <w:rsid w:val="00CE5BF9"/>
    <w:rsid w:val="00CE623A"/>
    <w:rsid w:val="00CF01A2"/>
    <w:rsid w:val="00CF0D08"/>
    <w:rsid w:val="00CF0E54"/>
    <w:rsid w:val="00CF1943"/>
    <w:rsid w:val="00CF55FF"/>
    <w:rsid w:val="00CF5753"/>
    <w:rsid w:val="00CF5F66"/>
    <w:rsid w:val="00CF60D4"/>
    <w:rsid w:val="00CF6468"/>
    <w:rsid w:val="00CF6A29"/>
    <w:rsid w:val="00CF7535"/>
    <w:rsid w:val="00D01F03"/>
    <w:rsid w:val="00D03D78"/>
    <w:rsid w:val="00D04923"/>
    <w:rsid w:val="00D049FC"/>
    <w:rsid w:val="00D04A4E"/>
    <w:rsid w:val="00D05BEF"/>
    <w:rsid w:val="00D07628"/>
    <w:rsid w:val="00D07A87"/>
    <w:rsid w:val="00D10252"/>
    <w:rsid w:val="00D10439"/>
    <w:rsid w:val="00D107DF"/>
    <w:rsid w:val="00D10CB0"/>
    <w:rsid w:val="00D1105E"/>
    <w:rsid w:val="00D1136D"/>
    <w:rsid w:val="00D11ABE"/>
    <w:rsid w:val="00D12806"/>
    <w:rsid w:val="00D13383"/>
    <w:rsid w:val="00D13DDB"/>
    <w:rsid w:val="00D14043"/>
    <w:rsid w:val="00D14A32"/>
    <w:rsid w:val="00D16074"/>
    <w:rsid w:val="00D22446"/>
    <w:rsid w:val="00D22812"/>
    <w:rsid w:val="00D22B7C"/>
    <w:rsid w:val="00D22DA2"/>
    <w:rsid w:val="00D23842"/>
    <w:rsid w:val="00D23D8F"/>
    <w:rsid w:val="00D2644E"/>
    <w:rsid w:val="00D30A89"/>
    <w:rsid w:val="00D33F5E"/>
    <w:rsid w:val="00D34375"/>
    <w:rsid w:val="00D34FED"/>
    <w:rsid w:val="00D356F2"/>
    <w:rsid w:val="00D3726F"/>
    <w:rsid w:val="00D37D3A"/>
    <w:rsid w:val="00D40A39"/>
    <w:rsid w:val="00D43335"/>
    <w:rsid w:val="00D43C91"/>
    <w:rsid w:val="00D45C2D"/>
    <w:rsid w:val="00D46741"/>
    <w:rsid w:val="00D50438"/>
    <w:rsid w:val="00D50A53"/>
    <w:rsid w:val="00D50B3C"/>
    <w:rsid w:val="00D51498"/>
    <w:rsid w:val="00D517B3"/>
    <w:rsid w:val="00D51A0F"/>
    <w:rsid w:val="00D525E0"/>
    <w:rsid w:val="00D52C4A"/>
    <w:rsid w:val="00D54430"/>
    <w:rsid w:val="00D553BF"/>
    <w:rsid w:val="00D558BD"/>
    <w:rsid w:val="00D571C6"/>
    <w:rsid w:val="00D61898"/>
    <w:rsid w:val="00D618F1"/>
    <w:rsid w:val="00D61BA1"/>
    <w:rsid w:val="00D62294"/>
    <w:rsid w:val="00D6235D"/>
    <w:rsid w:val="00D6419F"/>
    <w:rsid w:val="00D644C3"/>
    <w:rsid w:val="00D644F0"/>
    <w:rsid w:val="00D6689D"/>
    <w:rsid w:val="00D67EEA"/>
    <w:rsid w:val="00D70B98"/>
    <w:rsid w:val="00D71462"/>
    <w:rsid w:val="00D715C0"/>
    <w:rsid w:val="00D7184B"/>
    <w:rsid w:val="00D75AD0"/>
    <w:rsid w:val="00D75B18"/>
    <w:rsid w:val="00D75E62"/>
    <w:rsid w:val="00D77FEA"/>
    <w:rsid w:val="00D81717"/>
    <w:rsid w:val="00D81882"/>
    <w:rsid w:val="00D81E52"/>
    <w:rsid w:val="00D81EB0"/>
    <w:rsid w:val="00D82247"/>
    <w:rsid w:val="00D82378"/>
    <w:rsid w:val="00D8370A"/>
    <w:rsid w:val="00D84111"/>
    <w:rsid w:val="00D84E1D"/>
    <w:rsid w:val="00D85076"/>
    <w:rsid w:val="00D850CB"/>
    <w:rsid w:val="00D85157"/>
    <w:rsid w:val="00D85EC1"/>
    <w:rsid w:val="00D85FD4"/>
    <w:rsid w:val="00D86EFB"/>
    <w:rsid w:val="00D918E0"/>
    <w:rsid w:val="00D91CE5"/>
    <w:rsid w:val="00D939CD"/>
    <w:rsid w:val="00D969DE"/>
    <w:rsid w:val="00D97343"/>
    <w:rsid w:val="00D97B1D"/>
    <w:rsid w:val="00DA030C"/>
    <w:rsid w:val="00DA0D24"/>
    <w:rsid w:val="00DA0FD4"/>
    <w:rsid w:val="00DA1265"/>
    <w:rsid w:val="00DA282E"/>
    <w:rsid w:val="00DA3D92"/>
    <w:rsid w:val="00DA4401"/>
    <w:rsid w:val="00DA59CC"/>
    <w:rsid w:val="00DA6597"/>
    <w:rsid w:val="00DA68F1"/>
    <w:rsid w:val="00DA6B92"/>
    <w:rsid w:val="00DA6F6A"/>
    <w:rsid w:val="00DB0E0B"/>
    <w:rsid w:val="00DB1640"/>
    <w:rsid w:val="00DB1CAB"/>
    <w:rsid w:val="00DB31B7"/>
    <w:rsid w:val="00DB5030"/>
    <w:rsid w:val="00DB5C8E"/>
    <w:rsid w:val="00DB79A5"/>
    <w:rsid w:val="00DC0513"/>
    <w:rsid w:val="00DC122B"/>
    <w:rsid w:val="00DC4952"/>
    <w:rsid w:val="00DC5CFC"/>
    <w:rsid w:val="00DC6186"/>
    <w:rsid w:val="00DC6542"/>
    <w:rsid w:val="00DC71AE"/>
    <w:rsid w:val="00DC71F0"/>
    <w:rsid w:val="00DD1228"/>
    <w:rsid w:val="00DD1633"/>
    <w:rsid w:val="00DD208C"/>
    <w:rsid w:val="00DD31A0"/>
    <w:rsid w:val="00DD3526"/>
    <w:rsid w:val="00DD4668"/>
    <w:rsid w:val="00DD6B38"/>
    <w:rsid w:val="00DD6CF5"/>
    <w:rsid w:val="00DE019D"/>
    <w:rsid w:val="00DE05ED"/>
    <w:rsid w:val="00DE34BE"/>
    <w:rsid w:val="00DE377F"/>
    <w:rsid w:val="00DE3983"/>
    <w:rsid w:val="00DE4237"/>
    <w:rsid w:val="00DE4716"/>
    <w:rsid w:val="00DE76F2"/>
    <w:rsid w:val="00DF0445"/>
    <w:rsid w:val="00DF1254"/>
    <w:rsid w:val="00DF24E7"/>
    <w:rsid w:val="00DF4243"/>
    <w:rsid w:val="00DF51D2"/>
    <w:rsid w:val="00DF572F"/>
    <w:rsid w:val="00DF5E38"/>
    <w:rsid w:val="00DF71C2"/>
    <w:rsid w:val="00E02CA3"/>
    <w:rsid w:val="00E0550C"/>
    <w:rsid w:val="00E05660"/>
    <w:rsid w:val="00E06760"/>
    <w:rsid w:val="00E10563"/>
    <w:rsid w:val="00E125FE"/>
    <w:rsid w:val="00E12D96"/>
    <w:rsid w:val="00E142EA"/>
    <w:rsid w:val="00E1461F"/>
    <w:rsid w:val="00E15B60"/>
    <w:rsid w:val="00E202F6"/>
    <w:rsid w:val="00E20528"/>
    <w:rsid w:val="00E2072A"/>
    <w:rsid w:val="00E20884"/>
    <w:rsid w:val="00E21664"/>
    <w:rsid w:val="00E21A08"/>
    <w:rsid w:val="00E228C4"/>
    <w:rsid w:val="00E24EE4"/>
    <w:rsid w:val="00E26263"/>
    <w:rsid w:val="00E30014"/>
    <w:rsid w:val="00E30667"/>
    <w:rsid w:val="00E309B2"/>
    <w:rsid w:val="00E31A93"/>
    <w:rsid w:val="00E31B57"/>
    <w:rsid w:val="00E320BE"/>
    <w:rsid w:val="00E32704"/>
    <w:rsid w:val="00E33DC9"/>
    <w:rsid w:val="00E34E08"/>
    <w:rsid w:val="00E35600"/>
    <w:rsid w:val="00E3610F"/>
    <w:rsid w:val="00E3635E"/>
    <w:rsid w:val="00E37AA8"/>
    <w:rsid w:val="00E40E04"/>
    <w:rsid w:val="00E41214"/>
    <w:rsid w:val="00E41310"/>
    <w:rsid w:val="00E41E78"/>
    <w:rsid w:val="00E41F3E"/>
    <w:rsid w:val="00E41F82"/>
    <w:rsid w:val="00E43393"/>
    <w:rsid w:val="00E43882"/>
    <w:rsid w:val="00E440E8"/>
    <w:rsid w:val="00E45B6C"/>
    <w:rsid w:val="00E46182"/>
    <w:rsid w:val="00E466D0"/>
    <w:rsid w:val="00E4696D"/>
    <w:rsid w:val="00E46B93"/>
    <w:rsid w:val="00E47431"/>
    <w:rsid w:val="00E5101C"/>
    <w:rsid w:val="00E51B3B"/>
    <w:rsid w:val="00E51EDA"/>
    <w:rsid w:val="00E520B3"/>
    <w:rsid w:val="00E53834"/>
    <w:rsid w:val="00E55157"/>
    <w:rsid w:val="00E555F4"/>
    <w:rsid w:val="00E55837"/>
    <w:rsid w:val="00E5617E"/>
    <w:rsid w:val="00E5777F"/>
    <w:rsid w:val="00E61089"/>
    <w:rsid w:val="00E6299E"/>
    <w:rsid w:val="00E62EF8"/>
    <w:rsid w:val="00E6301C"/>
    <w:rsid w:val="00E63036"/>
    <w:rsid w:val="00E64ECE"/>
    <w:rsid w:val="00E653D6"/>
    <w:rsid w:val="00E66F64"/>
    <w:rsid w:val="00E71B83"/>
    <w:rsid w:val="00E72E43"/>
    <w:rsid w:val="00E734E4"/>
    <w:rsid w:val="00E73CA0"/>
    <w:rsid w:val="00E75329"/>
    <w:rsid w:val="00E761E3"/>
    <w:rsid w:val="00E77B93"/>
    <w:rsid w:val="00E77CAF"/>
    <w:rsid w:val="00E77D02"/>
    <w:rsid w:val="00E813A8"/>
    <w:rsid w:val="00E82C0E"/>
    <w:rsid w:val="00E8327E"/>
    <w:rsid w:val="00E83326"/>
    <w:rsid w:val="00E918FF"/>
    <w:rsid w:val="00E92054"/>
    <w:rsid w:val="00E945D8"/>
    <w:rsid w:val="00E95023"/>
    <w:rsid w:val="00E95ABB"/>
    <w:rsid w:val="00E95C30"/>
    <w:rsid w:val="00E97987"/>
    <w:rsid w:val="00EA1552"/>
    <w:rsid w:val="00EA1E11"/>
    <w:rsid w:val="00EA255F"/>
    <w:rsid w:val="00EA2A4C"/>
    <w:rsid w:val="00EA36AA"/>
    <w:rsid w:val="00EA3A46"/>
    <w:rsid w:val="00EA6B43"/>
    <w:rsid w:val="00EA7921"/>
    <w:rsid w:val="00EB015C"/>
    <w:rsid w:val="00EB0ED6"/>
    <w:rsid w:val="00EB289B"/>
    <w:rsid w:val="00EB3208"/>
    <w:rsid w:val="00EB486A"/>
    <w:rsid w:val="00EB590E"/>
    <w:rsid w:val="00EB59DA"/>
    <w:rsid w:val="00EB659B"/>
    <w:rsid w:val="00EC0741"/>
    <w:rsid w:val="00EC25B0"/>
    <w:rsid w:val="00EC2EC2"/>
    <w:rsid w:val="00EC2F65"/>
    <w:rsid w:val="00EC387D"/>
    <w:rsid w:val="00EC4960"/>
    <w:rsid w:val="00EC5800"/>
    <w:rsid w:val="00EC5F08"/>
    <w:rsid w:val="00EC664B"/>
    <w:rsid w:val="00ED0804"/>
    <w:rsid w:val="00ED08A4"/>
    <w:rsid w:val="00ED0C13"/>
    <w:rsid w:val="00ED10F9"/>
    <w:rsid w:val="00ED29FE"/>
    <w:rsid w:val="00ED45A3"/>
    <w:rsid w:val="00ED5296"/>
    <w:rsid w:val="00ED6168"/>
    <w:rsid w:val="00ED771E"/>
    <w:rsid w:val="00ED77E5"/>
    <w:rsid w:val="00ED7E07"/>
    <w:rsid w:val="00EE35B8"/>
    <w:rsid w:val="00EE3CB7"/>
    <w:rsid w:val="00EE4A90"/>
    <w:rsid w:val="00EE559C"/>
    <w:rsid w:val="00EE641E"/>
    <w:rsid w:val="00EE64B8"/>
    <w:rsid w:val="00EE6665"/>
    <w:rsid w:val="00EF1B39"/>
    <w:rsid w:val="00EF1F53"/>
    <w:rsid w:val="00EF31E7"/>
    <w:rsid w:val="00EF3C66"/>
    <w:rsid w:val="00EF400E"/>
    <w:rsid w:val="00EF5D1B"/>
    <w:rsid w:val="00EF7325"/>
    <w:rsid w:val="00EF7D20"/>
    <w:rsid w:val="00F00370"/>
    <w:rsid w:val="00F00B51"/>
    <w:rsid w:val="00F027C4"/>
    <w:rsid w:val="00F04253"/>
    <w:rsid w:val="00F04CD0"/>
    <w:rsid w:val="00F05F4D"/>
    <w:rsid w:val="00F06100"/>
    <w:rsid w:val="00F062D3"/>
    <w:rsid w:val="00F06CC7"/>
    <w:rsid w:val="00F06DF2"/>
    <w:rsid w:val="00F0728F"/>
    <w:rsid w:val="00F10333"/>
    <w:rsid w:val="00F10FDA"/>
    <w:rsid w:val="00F12DE8"/>
    <w:rsid w:val="00F12ED9"/>
    <w:rsid w:val="00F1325E"/>
    <w:rsid w:val="00F1453F"/>
    <w:rsid w:val="00F1498B"/>
    <w:rsid w:val="00F14BAF"/>
    <w:rsid w:val="00F15B44"/>
    <w:rsid w:val="00F15B4C"/>
    <w:rsid w:val="00F160AF"/>
    <w:rsid w:val="00F1758D"/>
    <w:rsid w:val="00F17BC5"/>
    <w:rsid w:val="00F20072"/>
    <w:rsid w:val="00F21B59"/>
    <w:rsid w:val="00F22F86"/>
    <w:rsid w:val="00F2497C"/>
    <w:rsid w:val="00F24A0B"/>
    <w:rsid w:val="00F24C58"/>
    <w:rsid w:val="00F25355"/>
    <w:rsid w:val="00F25B8F"/>
    <w:rsid w:val="00F2659E"/>
    <w:rsid w:val="00F266CE"/>
    <w:rsid w:val="00F27177"/>
    <w:rsid w:val="00F308A4"/>
    <w:rsid w:val="00F31308"/>
    <w:rsid w:val="00F31A93"/>
    <w:rsid w:val="00F32CA9"/>
    <w:rsid w:val="00F34260"/>
    <w:rsid w:val="00F3672C"/>
    <w:rsid w:val="00F36EC4"/>
    <w:rsid w:val="00F40B47"/>
    <w:rsid w:val="00F42DA5"/>
    <w:rsid w:val="00F450B6"/>
    <w:rsid w:val="00F4531D"/>
    <w:rsid w:val="00F45575"/>
    <w:rsid w:val="00F46486"/>
    <w:rsid w:val="00F465F3"/>
    <w:rsid w:val="00F470EE"/>
    <w:rsid w:val="00F47D26"/>
    <w:rsid w:val="00F519B6"/>
    <w:rsid w:val="00F51BB5"/>
    <w:rsid w:val="00F51E48"/>
    <w:rsid w:val="00F51FC0"/>
    <w:rsid w:val="00F57679"/>
    <w:rsid w:val="00F57A39"/>
    <w:rsid w:val="00F60A12"/>
    <w:rsid w:val="00F617A5"/>
    <w:rsid w:val="00F62977"/>
    <w:rsid w:val="00F631EA"/>
    <w:rsid w:val="00F669AB"/>
    <w:rsid w:val="00F66F42"/>
    <w:rsid w:val="00F6719C"/>
    <w:rsid w:val="00F67CF6"/>
    <w:rsid w:val="00F70084"/>
    <w:rsid w:val="00F708D9"/>
    <w:rsid w:val="00F70ACE"/>
    <w:rsid w:val="00F70F0E"/>
    <w:rsid w:val="00F72F5C"/>
    <w:rsid w:val="00F72FA8"/>
    <w:rsid w:val="00F74095"/>
    <w:rsid w:val="00F7444E"/>
    <w:rsid w:val="00F7569E"/>
    <w:rsid w:val="00F769E5"/>
    <w:rsid w:val="00F76D08"/>
    <w:rsid w:val="00F80455"/>
    <w:rsid w:val="00F80662"/>
    <w:rsid w:val="00F80B61"/>
    <w:rsid w:val="00F81DFA"/>
    <w:rsid w:val="00F82770"/>
    <w:rsid w:val="00F82875"/>
    <w:rsid w:val="00F82BA7"/>
    <w:rsid w:val="00F82C6E"/>
    <w:rsid w:val="00F836F7"/>
    <w:rsid w:val="00F84C33"/>
    <w:rsid w:val="00F8526F"/>
    <w:rsid w:val="00F858A5"/>
    <w:rsid w:val="00F8663A"/>
    <w:rsid w:val="00F874E5"/>
    <w:rsid w:val="00F877B0"/>
    <w:rsid w:val="00F9214A"/>
    <w:rsid w:val="00F92BF5"/>
    <w:rsid w:val="00F93A99"/>
    <w:rsid w:val="00F944A4"/>
    <w:rsid w:val="00F956F1"/>
    <w:rsid w:val="00F97CF4"/>
    <w:rsid w:val="00FA1330"/>
    <w:rsid w:val="00FA38C7"/>
    <w:rsid w:val="00FA3A2D"/>
    <w:rsid w:val="00FA440D"/>
    <w:rsid w:val="00FA4C4B"/>
    <w:rsid w:val="00FA5E21"/>
    <w:rsid w:val="00FA6478"/>
    <w:rsid w:val="00FA7159"/>
    <w:rsid w:val="00FA75FD"/>
    <w:rsid w:val="00FB08BB"/>
    <w:rsid w:val="00FB0AC3"/>
    <w:rsid w:val="00FB1009"/>
    <w:rsid w:val="00FB1471"/>
    <w:rsid w:val="00FB1B98"/>
    <w:rsid w:val="00FB257A"/>
    <w:rsid w:val="00FB31E3"/>
    <w:rsid w:val="00FB32E0"/>
    <w:rsid w:val="00FB4051"/>
    <w:rsid w:val="00FB46D4"/>
    <w:rsid w:val="00FB4964"/>
    <w:rsid w:val="00FB6A75"/>
    <w:rsid w:val="00FC004C"/>
    <w:rsid w:val="00FC0E0B"/>
    <w:rsid w:val="00FC1C55"/>
    <w:rsid w:val="00FC29DA"/>
    <w:rsid w:val="00FC56B7"/>
    <w:rsid w:val="00FC627E"/>
    <w:rsid w:val="00FC6451"/>
    <w:rsid w:val="00FC7BD9"/>
    <w:rsid w:val="00FD0350"/>
    <w:rsid w:val="00FD07FF"/>
    <w:rsid w:val="00FD0D33"/>
    <w:rsid w:val="00FD0D71"/>
    <w:rsid w:val="00FD1B7D"/>
    <w:rsid w:val="00FD30D5"/>
    <w:rsid w:val="00FD31B1"/>
    <w:rsid w:val="00FD4FD9"/>
    <w:rsid w:val="00FD505E"/>
    <w:rsid w:val="00FD7598"/>
    <w:rsid w:val="00FD7AF4"/>
    <w:rsid w:val="00FE0817"/>
    <w:rsid w:val="00FE0D58"/>
    <w:rsid w:val="00FE187F"/>
    <w:rsid w:val="00FE2C41"/>
    <w:rsid w:val="00FE34EA"/>
    <w:rsid w:val="00FE4724"/>
    <w:rsid w:val="00FE5137"/>
    <w:rsid w:val="00FE519F"/>
    <w:rsid w:val="00FE630B"/>
    <w:rsid w:val="00FE77A0"/>
    <w:rsid w:val="00FF0BF1"/>
    <w:rsid w:val="00FF17F8"/>
    <w:rsid w:val="00FF1BD6"/>
    <w:rsid w:val="00FF1C6C"/>
    <w:rsid w:val="00FF20B8"/>
    <w:rsid w:val="00FF3D34"/>
    <w:rsid w:val="00FF4822"/>
    <w:rsid w:val="00FF4B79"/>
    <w:rsid w:val="00FF4C08"/>
    <w:rsid w:val="00FF6300"/>
    <w:rsid w:val="00FF68FD"/>
    <w:rsid w:val="00FF74B4"/>
    <w:rsid w:val="00FF7A75"/>
    <w:rsid w:val="1912682B"/>
    <w:rsid w:val="583E566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3">
    <w:name w:val="heading 1"/>
    <w:basedOn w:val="1"/>
    <w:next w:val="1"/>
    <w:qFormat/>
    <w:uiPriority w:val="0"/>
    <w:pPr>
      <w:keepNext/>
      <w:outlineLvl w:val="0"/>
    </w:pPr>
    <w:rPr>
      <w:sz w:val="28"/>
      <w:szCs w:val="20"/>
    </w:rPr>
  </w:style>
  <w:style w:type="paragraph" w:styleId="4">
    <w:name w:val="heading 2"/>
    <w:basedOn w:val="1"/>
    <w:next w:val="1"/>
    <w:link w:val="58"/>
    <w:qFormat/>
    <w:uiPriority w:val="0"/>
    <w:pPr>
      <w:keepNext/>
      <w:keepLines/>
      <w:adjustRightInd w:val="0"/>
      <w:spacing w:before="260" w:after="260" w:line="360" w:lineRule="auto"/>
      <w:jc w:val="left"/>
      <w:textAlignment w:val="baseline"/>
      <w:outlineLvl w:val="1"/>
    </w:pPr>
    <w:rPr>
      <w:rFonts w:ascii="宋体" w:hAnsi="Arial"/>
      <w:b/>
      <w:kern w:val="0"/>
      <w:sz w:val="32"/>
      <w:szCs w:val="20"/>
    </w:rPr>
  </w:style>
  <w:style w:type="paragraph" w:styleId="5">
    <w:name w:val="heading 3"/>
    <w:basedOn w:val="1"/>
    <w:next w:val="1"/>
    <w:link w:val="52"/>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adjustRightInd w:val="0"/>
      <w:spacing w:before="280" w:after="290" w:line="376" w:lineRule="atLeast"/>
      <w:jc w:val="left"/>
      <w:textAlignment w:val="baseline"/>
      <w:outlineLvl w:val="3"/>
    </w:pPr>
    <w:rPr>
      <w:rFonts w:ascii="Arial" w:hAnsi="Arial" w:eastAsia="黑体"/>
      <w:b/>
      <w:kern w:val="0"/>
      <w:sz w:val="28"/>
      <w:szCs w:val="20"/>
    </w:rPr>
  </w:style>
  <w:style w:type="paragraph" w:styleId="7">
    <w:name w:val="heading 5"/>
    <w:basedOn w:val="1"/>
    <w:next w:val="1"/>
    <w:qFormat/>
    <w:uiPriority w:val="0"/>
    <w:pPr>
      <w:keepNext/>
      <w:keepLines/>
      <w:spacing w:before="60" w:after="60"/>
      <w:outlineLvl w:val="4"/>
    </w:pPr>
    <w:rPr>
      <w:rFonts w:ascii="宋体" w:hAnsi="宋体"/>
      <w:sz w:val="24"/>
    </w:rPr>
  </w:style>
  <w:style w:type="paragraph" w:styleId="8">
    <w:name w:val="heading 6"/>
    <w:basedOn w:val="1"/>
    <w:next w:val="1"/>
    <w:qFormat/>
    <w:uiPriority w:val="0"/>
    <w:pPr>
      <w:keepNext/>
      <w:keepLines/>
      <w:adjustRightInd w:val="0"/>
      <w:spacing w:before="240" w:after="64" w:line="320" w:lineRule="atLeast"/>
      <w:jc w:val="left"/>
      <w:textAlignment w:val="baseline"/>
      <w:outlineLvl w:val="5"/>
    </w:pPr>
    <w:rPr>
      <w:rFonts w:ascii="Arial" w:hAnsi="Arial" w:eastAsia="黑体"/>
      <w:b/>
      <w:kern w:val="0"/>
      <w:sz w:val="24"/>
      <w:szCs w:val="20"/>
    </w:rPr>
  </w:style>
  <w:style w:type="paragraph" w:styleId="9">
    <w:name w:val="heading 7"/>
    <w:basedOn w:val="1"/>
    <w:next w:val="1"/>
    <w:qFormat/>
    <w:uiPriority w:val="0"/>
    <w:pPr>
      <w:keepNext/>
      <w:keepLines/>
      <w:adjustRightInd w:val="0"/>
      <w:spacing w:before="240" w:after="64" w:line="320" w:lineRule="atLeast"/>
      <w:jc w:val="left"/>
      <w:textAlignment w:val="baseline"/>
      <w:outlineLvl w:val="6"/>
    </w:pPr>
    <w:rPr>
      <w:b/>
      <w:kern w:val="0"/>
      <w:sz w:val="24"/>
      <w:szCs w:val="20"/>
    </w:rPr>
  </w:style>
  <w:style w:type="paragraph" w:styleId="10">
    <w:name w:val="heading 8"/>
    <w:basedOn w:val="1"/>
    <w:next w:val="1"/>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0"/>
    </w:rPr>
  </w:style>
  <w:style w:type="paragraph" w:styleId="11">
    <w:name w:val="heading 9"/>
    <w:basedOn w:val="1"/>
    <w:next w:val="1"/>
    <w:qFormat/>
    <w:uiPriority w:val="0"/>
    <w:pPr>
      <w:keepNext/>
      <w:keepLines/>
      <w:adjustRightInd w:val="0"/>
      <w:spacing w:before="240" w:after="64" w:line="320" w:lineRule="atLeast"/>
      <w:jc w:val="left"/>
      <w:textAlignment w:val="baseline"/>
      <w:outlineLvl w:val="8"/>
    </w:pPr>
    <w:rPr>
      <w:rFonts w:ascii="Arial" w:hAnsi="Arial" w:eastAsia="黑体"/>
      <w:kern w:val="0"/>
      <w:sz w:val="24"/>
      <w:szCs w:val="20"/>
    </w:rPr>
  </w:style>
  <w:style w:type="character" w:default="1" w:styleId="37">
    <w:name w:val="Default Paragraph Font"/>
    <w:semiHidden/>
    <w:uiPriority w:val="0"/>
  </w:style>
  <w:style w:type="table" w:default="1" w:styleId="35">
    <w:name w:val="Normal Table"/>
    <w:semiHidden/>
    <w:uiPriority w:val="0"/>
    <w:tblPr>
      <w:tblStyle w:val="35"/>
      <w:tblCellMar>
        <w:top w:w="0" w:type="dxa"/>
        <w:left w:w="108" w:type="dxa"/>
        <w:bottom w:w="0" w:type="dxa"/>
        <w:right w:w="108" w:type="dxa"/>
      </w:tblCellMar>
    </w:tblPr>
  </w:style>
  <w:style w:type="paragraph" w:styleId="2">
    <w:name w:val="macro"/>
    <w:semiHidden/>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bidi="ar-SA"/>
    </w:rPr>
  </w:style>
  <w:style w:type="paragraph" w:styleId="12">
    <w:name w:val="Normal Indent"/>
    <w:basedOn w:val="1"/>
    <w:link w:val="68"/>
    <w:uiPriority w:val="0"/>
    <w:pPr>
      <w:ind w:firstLine="420" w:firstLineChars="200"/>
    </w:pPr>
  </w:style>
  <w:style w:type="paragraph" w:styleId="13">
    <w:name w:val="caption"/>
    <w:basedOn w:val="1"/>
    <w:next w:val="1"/>
    <w:qFormat/>
    <w:uiPriority w:val="0"/>
    <w:pPr>
      <w:autoSpaceDE w:val="0"/>
      <w:autoSpaceDN w:val="0"/>
      <w:spacing w:before="152" w:after="160"/>
      <w:ind w:firstLine="720" w:firstLineChars="200"/>
      <w:jc w:val="left"/>
    </w:pPr>
    <w:rPr>
      <w:rFonts w:ascii="Arial" w:hAnsi="Arial" w:eastAsia="黑体" w:cs="微软雅黑"/>
      <w:kern w:val="0"/>
      <w:sz w:val="20"/>
      <w:szCs w:val="20"/>
      <w:lang w:val="zh-CN" w:bidi="zh-CN"/>
    </w:rPr>
  </w:style>
  <w:style w:type="paragraph" w:styleId="14">
    <w:name w:val="Document Map"/>
    <w:basedOn w:val="1"/>
    <w:link w:val="57"/>
    <w:uiPriority w:val="0"/>
    <w:rPr>
      <w:rFonts w:ascii="宋体"/>
      <w:sz w:val="18"/>
      <w:szCs w:val="18"/>
    </w:rPr>
  </w:style>
  <w:style w:type="paragraph" w:styleId="15">
    <w:name w:val="annotation text"/>
    <w:basedOn w:val="1"/>
    <w:link w:val="76"/>
    <w:uiPriority w:val="0"/>
    <w:pPr>
      <w:jc w:val="left"/>
    </w:pPr>
  </w:style>
  <w:style w:type="paragraph" w:styleId="16">
    <w:name w:val="Body Text 3"/>
    <w:basedOn w:val="1"/>
    <w:uiPriority w:val="0"/>
    <w:pPr>
      <w:spacing w:after="120"/>
    </w:pPr>
    <w:rPr>
      <w:sz w:val="16"/>
      <w:szCs w:val="16"/>
    </w:rPr>
  </w:style>
  <w:style w:type="paragraph" w:styleId="17">
    <w:name w:val="Body Text"/>
    <w:basedOn w:val="1"/>
    <w:link w:val="67"/>
    <w:uiPriority w:val="0"/>
    <w:pPr>
      <w:spacing w:after="120"/>
    </w:pPr>
  </w:style>
  <w:style w:type="paragraph" w:styleId="18">
    <w:name w:val="Body Text Indent"/>
    <w:basedOn w:val="1"/>
    <w:link w:val="77"/>
    <w:uiPriority w:val="0"/>
    <w:pPr>
      <w:spacing w:after="120"/>
      <w:ind w:left="420" w:leftChars="200"/>
    </w:pPr>
  </w:style>
  <w:style w:type="paragraph" w:styleId="19">
    <w:name w:val="Block Text"/>
    <w:basedOn w:val="1"/>
    <w:uiPriority w:val="0"/>
    <w:pPr>
      <w:autoSpaceDE w:val="0"/>
      <w:autoSpaceDN w:val="0"/>
      <w:adjustRightInd w:val="0"/>
      <w:spacing w:before="1" w:line="537" w:lineRule="exact"/>
      <w:ind w:left="88" w:right="6"/>
    </w:pPr>
    <w:rPr>
      <w:kern w:val="0"/>
      <w:sz w:val="28"/>
      <w:szCs w:val="28"/>
    </w:rPr>
  </w:style>
  <w:style w:type="paragraph" w:styleId="20">
    <w:name w:val="toc 3"/>
    <w:basedOn w:val="1"/>
    <w:next w:val="1"/>
    <w:uiPriority w:val="39"/>
    <w:pPr>
      <w:ind w:left="840" w:leftChars="400"/>
    </w:pPr>
  </w:style>
  <w:style w:type="paragraph" w:styleId="21">
    <w:name w:val="Plain Text"/>
    <w:basedOn w:val="1"/>
    <w:link w:val="53"/>
    <w:uiPriority w:val="0"/>
    <w:pPr>
      <w:spacing w:line="240" w:lineRule="atLeast"/>
    </w:pPr>
    <w:rPr>
      <w:rFonts w:ascii="宋体" w:hAnsi="Courier New"/>
      <w:sz w:val="28"/>
      <w:szCs w:val="20"/>
    </w:rPr>
  </w:style>
  <w:style w:type="paragraph" w:styleId="22">
    <w:name w:val="Date"/>
    <w:basedOn w:val="1"/>
    <w:next w:val="1"/>
    <w:uiPriority w:val="0"/>
    <w:pPr>
      <w:adjustRightInd w:val="0"/>
      <w:snapToGrid w:val="0"/>
      <w:spacing w:line="480" w:lineRule="atLeast"/>
      <w:ind w:right="-108" w:rightChars="-45"/>
    </w:pPr>
    <w:rPr>
      <w:color w:val="000000"/>
      <w:sz w:val="24"/>
      <w:szCs w:val="20"/>
    </w:rPr>
  </w:style>
  <w:style w:type="paragraph" w:styleId="23">
    <w:name w:val="Body Text Indent 2"/>
    <w:basedOn w:val="1"/>
    <w:link w:val="63"/>
    <w:uiPriority w:val="0"/>
    <w:pPr>
      <w:spacing w:after="120" w:line="480" w:lineRule="auto"/>
      <w:ind w:left="420" w:leftChars="200"/>
    </w:pPr>
    <w:rPr>
      <w:sz w:val="24"/>
      <w:szCs w:val="20"/>
    </w:rPr>
  </w:style>
  <w:style w:type="paragraph" w:styleId="24">
    <w:name w:val="Balloon Text"/>
    <w:basedOn w:val="1"/>
    <w:link w:val="78"/>
    <w:uiPriority w:val="0"/>
    <w:rPr>
      <w:sz w:val="18"/>
      <w:szCs w:val="18"/>
    </w:rPr>
  </w:style>
  <w:style w:type="paragraph" w:styleId="25">
    <w:name w:val="footer"/>
    <w:basedOn w:val="1"/>
    <w:link w:val="79"/>
    <w:uiPriority w:val="99"/>
    <w:pPr>
      <w:tabs>
        <w:tab w:val="center" w:pos="4153"/>
        <w:tab w:val="right" w:pos="8306"/>
      </w:tabs>
      <w:snapToGrid w:val="0"/>
      <w:jc w:val="left"/>
    </w:pPr>
    <w:rPr>
      <w:sz w:val="18"/>
      <w:szCs w:val="18"/>
    </w:rPr>
  </w:style>
  <w:style w:type="paragraph" w:styleId="26">
    <w:name w:val="header"/>
    <w:basedOn w:val="1"/>
    <w:link w:val="50"/>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uiPriority w:val="39"/>
    <w:pPr>
      <w:jc w:val="center"/>
    </w:pPr>
  </w:style>
  <w:style w:type="paragraph" w:styleId="28">
    <w:name w:val="List"/>
    <w:basedOn w:val="1"/>
    <w:uiPriority w:val="0"/>
    <w:pPr>
      <w:ind w:left="200" w:hanging="200" w:hangingChars="200"/>
    </w:pPr>
  </w:style>
  <w:style w:type="paragraph" w:styleId="29">
    <w:name w:val="Body Text Indent 3"/>
    <w:basedOn w:val="1"/>
    <w:uiPriority w:val="0"/>
    <w:pPr>
      <w:spacing w:before="156" w:beforeLines="50"/>
      <w:ind w:firstLine="480" w:firstLineChars="200"/>
    </w:pPr>
    <w:rPr>
      <w:color w:val="000000"/>
      <w:sz w:val="24"/>
    </w:rPr>
  </w:style>
  <w:style w:type="paragraph" w:styleId="30">
    <w:name w:val="toc 2"/>
    <w:basedOn w:val="1"/>
    <w:next w:val="1"/>
    <w:uiPriority w:val="39"/>
    <w:pPr>
      <w:ind w:left="420" w:leftChars="200"/>
    </w:pPr>
  </w:style>
  <w:style w:type="paragraph" w:styleId="31">
    <w:name w:val="Body Text 2"/>
    <w:basedOn w:val="1"/>
    <w:uiPriority w:val="0"/>
    <w:rPr>
      <w:rFonts w:ascii="宋体" w:hAnsi="宋体"/>
      <w:sz w:val="28"/>
      <w:szCs w:val="20"/>
    </w:rPr>
  </w:style>
  <w:style w:type="paragraph" w:styleId="32">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33">
    <w:name w:val="Normal (Web)"/>
    <w:basedOn w:val="1"/>
    <w:uiPriority w:val="99"/>
    <w:pPr>
      <w:widowControl/>
      <w:spacing w:before="100" w:beforeAutospacing="1" w:after="100" w:afterAutospacing="1"/>
      <w:jc w:val="left"/>
    </w:pPr>
    <w:rPr>
      <w:rFonts w:ascii="宋体" w:hAnsi="宋体" w:cs="宋体"/>
      <w:kern w:val="0"/>
      <w:sz w:val="24"/>
    </w:rPr>
  </w:style>
  <w:style w:type="paragraph" w:styleId="34">
    <w:name w:val="annotation subject"/>
    <w:basedOn w:val="15"/>
    <w:next w:val="15"/>
    <w:link w:val="45"/>
    <w:uiPriority w:val="0"/>
    <w:rPr>
      <w:b/>
      <w:bCs/>
    </w:rPr>
  </w:style>
  <w:style w:type="table" w:styleId="36">
    <w:name w:val="Table Grid"/>
    <w:basedOn w:val="35"/>
    <w:uiPriority w:val="0"/>
    <w:pPr>
      <w:widowControl w:val="0"/>
      <w:jc w:val="both"/>
    </w:pPr>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22"/>
    <w:rPr>
      <w:b/>
      <w:bCs/>
    </w:rPr>
  </w:style>
  <w:style w:type="character" w:styleId="39">
    <w:name w:val="page number"/>
    <w:basedOn w:val="37"/>
    <w:uiPriority w:val="0"/>
  </w:style>
  <w:style w:type="character" w:styleId="40">
    <w:name w:val="HTML Typewriter"/>
    <w:uiPriority w:val="0"/>
    <w:rPr>
      <w:rFonts w:ascii="宋体" w:hAnsi="宋体" w:eastAsia="宋体" w:cs="宋体"/>
      <w:sz w:val="24"/>
      <w:szCs w:val="24"/>
    </w:rPr>
  </w:style>
  <w:style w:type="character" w:styleId="41">
    <w:name w:val="Hyperlink"/>
    <w:uiPriority w:val="99"/>
    <w:rPr>
      <w:color w:val="3333FF"/>
      <w:u w:val="single"/>
    </w:rPr>
  </w:style>
  <w:style w:type="character" w:styleId="42">
    <w:name w:val="annotation reference"/>
    <w:uiPriority w:val="0"/>
    <w:rPr>
      <w:sz w:val="21"/>
      <w:szCs w:val="21"/>
    </w:rPr>
  </w:style>
  <w:style w:type="character" w:customStyle="1" w:styleId="43">
    <w:name w:val="articlecontent"/>
    <w:basedOn w:val="37"/>
    <w:uiPriority w:val="0"/>
  </w:style>
  <w:style w:type="character" w:customStyle="1" w:styleId="44">
    <w:name w:val="css"/>
    <w:basedOn w:val="37"/>
    <w:uiPriority w:val="0"/>
  </w:style>
  <w:style w:type="character" w:customStyle="1" w:styleId="45">
    <w:name w:val="批注主题 字符"/>
    <w:link w:val="34"/>
    <w:uiPriority w:val="0"/>
    <w:rPr>
      <w:b/>
      <w:bCs/>
      <w:kern w:val="2"/>
      <w:sz w:val="21"/>
      <w:szCs w:val="24"/>
    </w:rPr>
  </w:style>
  <w:style w:type="character" w:customStyle="1" w:styleId="46">
    <w:name w:val="comp_content1"/>
    <w:uiPriority w:val="0"/>
    <w:rPr>
      <w:sz w:val="18"/>
      <w:szCs w:val="18"/>
    </w:rPr>
  </w:style>
  <w:style w:type="character" w:customStyle="1" w:styleId="47">
    <w:name w:val="表格 Char"/>
    <w:uiPriority w:val="0"/>
    <w:rPr>
      <w:rFonts w:ascii="Times New Roman" w:hAnsi="Times New Roman"/>
      <w:color w:val="000000"/>
      <w:kern w:val="2"/>
      <w:sz w:val="21"/>
      <w:szCs w:val="30"/>
    </w:rPr>
  </w:style>
  <w:style w:type="character" w:customStyle="1" w:styleId="48">
    <w:name w:val="报告表正文 Char"/>
    <w:link w:val="49"/>
    <w:uiPriority w:val="0"/>
    <w:rPr>
      <w:rFonts w:eastAsia="宋体"/>
      <w:sz w:val="28"/>
      <w:lang w:val="en-US" w:eastAsia="zh-CN" w:bidi="ar-SA"/>
    </w:rPr>
  </w:style>
  <w:style w:type="paragraph" w:customStyle="1" w:styleId="49">
    <w:name w:val="报告表正文"/>
    <w:basedOn w:val="1"/>
    <w:link w:val="48"/>
    <w:uiPriority w:val="0"/>
    <w:pPr>
      <w:adjustRightInd w:val="0"/>
      <w:spacing w:line="480" w:lineRule="exact"/>
      <w:ind w:left="113" w:right="113" w:firstLine="482"/>
      <w:jc w:val="left"/>
      <w:textAlignment w:val="baseline"/>
    </w:pPr>
    <w:rPr>
      <w:kern w:val="0"/>
      <w:sz w:val="28"/>
      <w:szCs w:val="20"/>
    </w:rPr>
  </w:style>
  <w:style w:type="character" w:customStyle="1" w:styleId="50">
    <w:name w:val="页眉 字符"/>
    <w:link w:val="26"/>
    <w:uiPriority w:val="0"/>
    <w:rPr>
      <w:rFonts w:eastAsia="宋体"/>
      <w:kern w:val="2"/>
      <w:sz w:val="18"/>
      <w:szCs w:val="18"/>
      <w:lang w:val="en-US" w:eastAsia="zh-CN" w:bidi="ar-SA"/>
    </w:rPr>
  </w:style>
  <w:style w:type="character" w:customStyle="1" w:styleId="51">
    <w:name w:val="apple-converted-space"/>
    <w:basedOn w:val="37"/>
    <w:uiPriority w:val="0"/>
  </w:style>
  <w:style w:type="character" w:customStyle="1" w:styleId="52">
    <w:name w:val="标题 3 字符"/>
    <w:link w:val="5"/>
    <w:uiPriority w:val="0"/>
    <w:rPr>
      <w:b/>
      <w:bCs/>
      <w:kern w:val="2"/>
      <w:sz w:val="32"/>
      <w:szCs w:val="32"/>
    </w:rPr>
  </w:style>
  <w:style w:type="character" w:customStyle="1" w:styleId="53">
    <w:name w:val="纯文本 字符"/>
    <w:link w:val="21"/>
    <w:uiPriority w:val="0"/>
    <w:rPr>
      <w:rFonts w:ascii="宋体" w:hAnsi="Courier New"/>
      <w:kern w:val="2"/>
      <w:sz w:val="28"/>
    </w:rPr>
  </w:style>
  <w:style w:type="character" w:customStyle="1" w:styleId="54">
    <w:name w:val="cucd-0 Char1"/>
    <w:link w:val="55"/>
    <w:uiPriority w:val="0"/>
    <w:rPr>
      <w:kern w:val="2"/>
      <w:sz w:val="24"/>
      <w:szCs w:val="24"/>
      <w:lang w:val="en-US" w:eastAsia="zh-CN" w:bidi="ar-SA"/>
    </w:rPr>
  </w:style>
  <w:style w:type="paragraph" w:customStyle="1" w:styleId="55">
    <w:name w:val="cucd-0"/>
    <w:link w:val="54"/>
    <w:uiPriority w:val="0"/>
    <w:pPr>
      <w:spacing w:line="360" w:lineRule="auto"/>
      <w:ind w:firstLine="480" w:firstLineChars="200"/>
    </w:pPr>
    <w:rPr>
      <w:kern w:val="2"/>
      <w:sz w:val="24"/>
      <w:szCs w:val="24"/>
      <w:lang w:val="en-US" w:eastAsia="zh-CN" w:bidi="ar-SA"/>
    </w:rPr>
  </w:style>
  <w:style w:type="character" w:customStyle="1" w:styleId="56">
    <w:name w:val="l151"/>
    <w:uiPriority w:val="0"/>
  </w:style>
  <w:style w:type="character" w:customStyle="1" w:styleId="57">
    <w:name w:val="文档结构图 字符"/>
    <w:link w:val="14"/>
    <w:uiPriority w:val="0"/>
    <w:rPr>
      <w:rFonts w:ascii="宋体"/>
      <w:kern w:val="2"/>
      <w:sz w:val="18"/>
      <w:szCs w:val="18"/>
    </w:rPr>
  </w:style>
  <w:style w:type="character" w:customStyle="1" w:styleId="58">
    <w:name w:val="标题 2 字符"/>
    <w:link w:val="4"/>
    <w:uiPriority w:val="0"/>
    <w:rPr>
      <w:rFonts w:ascii="宋体" w:hAnsi="Arial"/>
      <w:b/>
      <w:sz w:val="32"/>
    </w:rPr>
  </w:style>
  <w:style w:type="character" w:customStyle="1" w:styleId="59">
    <w:name w:val="表 Char"/>
    <w:aliases w:val="表 Char Char,图标题 Char Char"/>
    <w:link w:val="60"/>
    <w:uiPriority w:val="0"/>
    <w:rPr>
      <w:rFonts w:ascii="宋体" w:hAnsi="宋体"/>
      <w:kern w:val="2"/>
      <w:sz w:val="24"/>
    </w:rPr>
  </w:style>
  <w:style w:type="paragraph" w:customStyle="1" w:styleId="60">
    <w:name w:val="表"/>
    <w:basedOn w:val="1"/>
    <w:link w:val="59"/>
    <w:uiPriority w:val="0"/>
    <w:pPr>
      <w:spacing w:line="340" w:lineRule="exact"/>
      <w:jc w:val="center"/>
    </w:pPr>
    <w:rPr>
      <w:rFonts w:ascii="宋体" w:hAnsi="宋体"/>
      <w:sz w:val="24"/>
      <w:szCs w:val="20"/>
    </w:rPr>
  </w:style>
  <w:style w:type="character" w:customStyle="1" w:styleId="61">
    <w:name w:val="报告正文 Char"/>
    <w:link w:val="62"/>
    <w:uiPriority w:val="0"/>
    <w:rPr>
      <w:rFonts w:ascii="Calibri" w:hAnsi="Calibri"/>
      <w:kern w:val="144"/>
      <w:sz w:val="24"/>
      <w:lang w:eastAsia="en-US" w:bidi="en-US"/>
    </w:rPr>
  </w:style>
  <w:style w:type="paragraph" w:customStyle="1" w:styleId="62">
    <w:name w:val="报告正文"/>
    <w:basedOn w:val="1"/>
    <w:link w:val="61"/>
    <w:uiPriority w:val="0"/>
    <w:pPr>
      <w:widowControl/>
      <w:adjustRightInd w:val="0"/>
      <w:spacing w:line="360" w:lineRule="auto"/>
      <w:jc w:val="left"/>
    </w:pPr>
    <w:rPr>
      <w:rFonts w:ascii="Calibri" w:hAnsi="Calibri"/>
      <w:kern w:val="144"/>
      <w:sz w:val="24"/>
      <w:szCs w:val="20"/>
      <w:lang w:eastAsia="en-US" w:bidi="en-US"/>
    </w:rPr>
  </w:style>
  <w:style w:type="character" w:customStyle="1" w:styleId="63">
    <w:name w:val="正文文本缩进 2 字符"/>
    <w:link w:val="23"/>
    <w:uiPriority w:val="0"/>
    <w:rPr>
      <w:kern w:val="2"/>
      <w:sz w:val="24"/>
    </w:rPr>
  </w:style>
  <w:style w:type="character" w:customStyle="1" w:styleId="64">
    <w:name w:val="表文字 Char"/>
    <w:link w:val="65"/>
    <w:uiPriority w:val="0"/>
    <w:rPr>
      <w:sz w:val="21"/>
      <w:szCs w:val="21"/>
    </w:rPr>
  </w:style>
  <w:style w:type="paragraph" w:customStyle="1" w:styleId="65">
    <w:name w:val="表文字"/>
    <w:basedOn w:val="1"/>
    <w:link w:val="64"/>
    <w:uiPriority w:val="0"/>
    <w:pPr>
      <w:adjustRightInd w:val="0"/>
      <w:jc w:val="center"/>
      <w:textAlignment w:val="baseline"/>
    </w:pPr>
    <w:rPr>
      <w:kern w:val="0"/>
      <w:szCs w:val="21"/>
    </w:rPr>
  </w:style>
  <w:style w:type="character" w:customStyle="1" w:styleId="66">
    <w:name w:val="标题22"/>
    <w:uiPriority w:val="0"/>
    <w:rPr>
      <w:rFonts w:eastAsia="宋体"/>
      <w:b/>
      <w:bCs/>
      <w:sz w:val="28"/>
    </w:rPr>
  </w:style>
  <w:style w:type="character" w:customStyle="1" w:styleId="67">
    <w:name w:val="正文文本 字符"/>
    <w:link w:val="17"/>
    <w:uiPriority w:val="0"/>
    <w:rPr>
      <w:kern w:val="2"/>
      <w:sz w:val="21"/>
      <w:szCs w:val="24"/>
    </w:rPr>
  </w:style>
  <w:style w:type="character" w:customStyle="1" w:styleId="68">
    <w:name w:val="正文缩进 字符"/>
    <w:link w:val="12"/>
    <w:uiPriority w:val="0"/>
    <w:rPr>
      <w:rFonts w:eastAsia="宋体"/>
      <w:kern w:val="2"/>
      <w:sz w:val="21"/>
      <w:szCs w:val="24"/>
      <w:lang w:val="en-US" w:eastAsia="zh-CN" w:bidi="ar-SA"/>
    </w:rPr>
  </w:style>
  <w:style w:type="character" w:customStyle="1" w:styleId="69">
    <w:name w:val="a01"/>
    <w:basedOn w:val="37"/>
    <w:uiPriority w:val="0"/>
  </w:style>
  <w:style w:type="character" w:customStyle="1" w:styleId="70">
    <w:name w:val="正文（首行缩进两字）m Char"/>
    <w:link w:val="71"/>
    <w:uiPriority w:val="0"/>
    <w:rPr>
      <w:color w:val="339966"/>
      <w:kern w:val="2"/>
      <w:sz w:val="24"/>
    </w:rPr>
  </w:style>
  <w:style w:type="paragraph" w:customStyle="1" w:styleId="71">
    <w:name w:val="正文（首行缩进两字）m"/>
    <w:basedOn w:val="12"/>
    <w:link w:val="70"/>
    <w:uiPriority w:val="0"/>
    <w:pPr>
      <w:tabs>
        <w:tab w:val="left" w:pos="1848"/>
        <w:tab w:val="left" w:pos="6061"/>
        <w:tab w:val="left" w:pos="8665"/>
      </w:tabs>
      <w:adjustRightInd w:val="0"/>
      <w:snapToGrid w:val="0"/>
      <w:spacing w:before="163" w:beforeLines="50" w:line="460" w:lineRule="exact"/>
      <w:ind w:firstLine="480"/>
    </w:pPr>
    <w:rPr>
      <w:color w:val="339966"/>
      <w:sz w:val="24"/>
      <w:szCs w:val="20"/>
    </w:rPr>
  </w:style>
  <w:style w:type="character" w:customStyle="1" w:styleId="72">
    <w:name w:val="正文001 Char"/>
    <w:link w:val="73"/>
    <w:uiPriority w:val="0"/>
    <w:rPr>
      <w:kern w:val="2"/>
      <w:sz w:val="24"/>
    </w:rPr>
  </w:style>
  <w:style w:type="paragraph" w:customStyle="1" w:styleId="73">
    <w:name w:val="正文001"/>
    <w:basedOn w:val="1"/>
    <w:link w:val="72"/>
    <w:uiPriority w:val="0"/>
    <w:pPr>
      <w:spacing w:before="60" w:line="420" w:lineRule="exact"/>
      <w:ind w:firstLine="482"/>
    </w:pPr>
    <w:rPr>
      <w:sz w:val="24"/>
      <w:szCs w:val="20"/>
    </w:rPr>
  </w:style>
  <w:style w:type="character" w:customStyle="1" w:styleId="74">
    <w:name w:val="表格 Char1"/>
    <w:link w:val="75"/>
    <w:uiPriority w:val="0"/>
    <w:rPr>
      <w:rFonts w:eastAsia="方正姚体"/>
      <w:kern w:val="2"/>
      <w:sz w:val="21"/>
    </w:rPr>
  </w:style>
  <w:style w:type="paragraph" w:customStyle="1" w:styleId="75">
    <w:name w:val="表格"/>
    <w:basedOn w:val="1"/>
    <w:link w:val="74"/>
    <w:qFormat/>
    <w:uiPriority w:val="0"/>
    <w:pPr>
      <w:spacing w:line="240" w:lineRule="exact"/>
      <w:jc w:val="center"/>
    </w:pPr>
    <w:rPr>
      <w:rFonts w:eastAsia="方正姚体"/>
      <w:szCs w:val="20"/>
    </w:rPr>
  </w:style>
  <w:style w:type="character" w:customStyle="1" w:styleId="76">
    <w:name w:val="批注文字 字符"/>
    <w:link w:val="15"/>
    <w:uiPriority w:val="0"/>
    <w:rPr>
      <w:kern w:val="2"/>
      <w:sz w:val="21"/>
      <w:szCs w:val="24"/>
    </w:rPr>
  </w:style>
  <w:style w:type="character" w:customStyle="1" w:styleId="77">
    <w:name w:val="正文文本缩进 字符"/>
    <w:link w:val="18"/>
    <w:uiPriority w:val="0"/>
    <w:rPr>
      <w:kern w:val="2"/>
      <w:sz w:val="21"/>
      <w:szCs w:val="24"/>
    </w:rPr>
  </w:style>
  <w:style w:type="character" w:customStyle="1" w:styleId="78">
    <w:name w:val="批注框文本 字符"/>
    <w:link w:val="24"/>
    <w:uiPriority w:val="0"/>
    <w:rPr>
      <w:kern w:val="2"/>
      <w:sz w:val="18"/>
      <w:szCs w:val="18"/>
    </w:rPr>
  </w:style>
  <w:style w:type="character" w:customStyle="1" w:styleId="79">
    <w:name w:val="页脚 字符"/>
    <w:link w:val="25"/>
    <w:uiPriority w:val="99"/>
    <w:rPr>
      <w:kern w:val="2"/>
      <w:sz w:val="18"/>
      <w:szCs w:val="18"/>
    </w:rPr>
  </w:style>
  <w:style w:type="paragraph" w:customStyle="1" w:styleId="80">
    <w:name w:val="表格式"/>
    <w:basedOn w:val="28"/>
    <w:uiPriority w:val="0"/>
    <w:pPr>
      <w:spacing w:before="156" w:beforeLines="50" w:after="156" w:afterLines="50" w:line="200" w:lineRule="exact"/>
      <w:ind w:left="0" w:firstLine="0" w:firstLineChars="0"/>
      <w:jc w:val="center"/>
    </w:pPr>
    <w:rPr>
      <w:szCs w:val="20"/>
    </w:rPr>
  </w:style>
  <w:style w:type="paragraph" w:customStyle="1" w:styleId="81">
    <w:name w:val="表标题1"/>
    <w:basedOn w:val="1"/>
    <w:uiPriority w:val="0"/>
    <w:pPr>
      <w:tabs>
        <w:tab w:val="left" w:pos="1848"/>
        <w:tab w:val="left" w:pos="6061"/>
        <w:tab w:val="left" w:pos="8665"/>
      </w:tabs>
      <w:adjustRightInd w:val="0"/>
      <w:snapToGrid w:val="0"/>
      <w:spacing w:before="163" w:beforeLines="50" w:line="460" w:lineRule="exact"/>
      <w:ind w:firstLine="480" w:firstLineChars="200"/>
      <w:jc w:val="center"/>
    </w:pPr>
    <w:rPr>
      <w:rFonts w:ascii="宋体" w:hAnsi="宋体"/>
      <w:sz w:val="24"/>
      <w:szCs w:val="20"/>
    </w:rPr>
  </w:style>
  <w:style w:type="paragraph" w:customStyle="1" w:styleId="82">
    <w:name w:val="默认段落字体 Para Char"/>
    <w:basedOn w:val="1"/>
    <w:next w:val="1"/>
    <w:uiPriority w:val="0"/>
    <w:pPr>
      <w:spacing w:line="360" w:lineRule="auto"/>
      <w:ind w:firstLine="200" w:firstLineChars="200"/>
    </w:pPr>
    <w:rPr>
      <w:rFonts w:ascii="宋体" w:hAnsi="宋体" w:cs="宋体"/>
      <w:sz w:val="24"/>
    </w:rPr>
  </w:style>
  <w:style w:type="paragraph" w:customStyle="1" w:styleId="83">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84">
    <w:name w:val="样式 样式 列表 + 五号 非加粗 + 居中"/>
    <w:basedOn w:val="1"/>
    <w:uiPriority w:val="0"/>
    <w:pPr>
      <w:jc w:val="center"/>
    </w:pPr>
    <w:rPr>
      <w:rFonts w:cs="宋体"/>
      <w:szCs w:val="20"/>
    </w:rPr>
  </w:style>
  <w:style w:type="paragraph" w:customStyle="1" w:styleId="85">
    <w:name w:val="样式7"/>
    <w:basedOn w:val="1"/>
    <w:uiPriority w:val="0"/>
    <w:pPr>
      <w:spacing w:before="232" w:beforeLines="50" w:after="232" w:afterLines="50"/>
    </w:pPr>
    <w:rPr>
      <w:sz w:val="24"/>
    </w:rPr>
  </w:style>
  <w:style w:type="paragraph" w:customStyle="1" w:styleId="86">
    <w:name w:val="表格001"/>
    <w:basedOn w:val="1"/>
    <w:uiPriority w:val="0"/>
    <w:pPr>
      <w:jc w:val="center"/>
    </w:pPr>
    <w:rPr>
      <w:szCs w:val="20"/>
    </w:rPr>
  </w:style>
  <w:style w:type="paragraph" w:customStyle="1" w:styleId="87">
    <w:name w:val="表头"/>
    <w:basedOn w:val="1"/>
    <w:uiPriority w:val="0"/>
    <w:pPr>
      <w:adjustRightInd w:val="0"/>
      <w:snapToGrid w:val="0"/>
      <w:spacing w:before="60" w:beforeLines="25"/>
      <w:jc w:val="center"/>
      <w:textAlignment w:val="baseline"/>
    </w:pPr>
    <w:rPr>
      <w:rFonts w:hAnsi="宋体" w:eastAsia="仿宋_GB2312"/>
      <w:b/>
      <w:kern w:val="0"/>
      <w:sz w:val="28"/>
      <w:szCs w:val="28"/>
    </w:rPr>
  </w:style>
  <w:style w:type="paragraph" w:customStyle="1" w:styleId="88">
    <w:name w:val="xl22"/>
    <w:basedOn w:val="1"/>
    <w:uiPriority w:val="0"/>
    <w:pPr>
      <w:widowControl/>
      <w:spacing w:before="100" w:beforeAutospacing="1" w:after="100" w:afterAutospacing="1"/>
      <w:jc w:val="center"/>
    </w:pPr>
    <w:rPr>
      <w:rFonts w:ascii="宋体" w:hAnsi="宋体"/>
      <w:kern w:val="0"/>
      <w:sz w:val="24"/>
    </w:rPr>
  </w:style>
  <w:style w:type="paragraph" w:customStyle="1" w:styleId="89">
    <w:name w:val="Char Char"/>
    <w:basedOn w:val="1"/>
    <w:uiPriority w:val="0"/>
    <w:pPr>
      <w:widowControl/>
      <w:spacing w:after="160" w:line="240" w:lineRule="exact"/>
      <w:jc w:val="left"/>
    </w:pPr>
    <w:rPr>
      <w:rFonts w:ascii="Verdana" w:hAnsi="Verdana" w:eastAsia="仿宋_GB2312"/>
      <w:b/>
      <w:kern w:val="0"/>
      <w:sz w:val="32"/>
      <w:szCs w:val="32"/>
    </w:rPr>
  </w:style>
  <w:style w:type="paragraph" w:customStyle="1" w:styleId="90">
    <w:name w:val="表格 1"/>
    <w:basedOn w:val="1"/>
    <w:uiPriority w:val="0"/>
    <w:pPr>
      <w:autoSpaceDE w:val="0"/>
      <w:autoSpaceDN w:val="0"/>
      <w:adjustRightInd w:val="0"/>
      <w:spacing w:line="360" w:lineRule="auto"/>
      <w:jc w:val="center"/>
    </w:pPr>
    <w:rPr>
      <w:rFonts w:eastAsia="楷体_GB2312"/>
      <w:kern w:val="0"/>
      <w:sz w:val="28"/>
      <w:szCs w:val="20"/>
      <w:lang/>
    </w:rPr>
  </w:style>
  <w:style w:type="paragraph" w:customStyle="1" w:styleId="91">
    <w:name w:val="表格文字"/>
    <w:basedOn w:val="1"/>
    <w:uiPriority w:val="0"/>
    <w:pPr>
      <w:jc w:val="center"/>
    </w:pPr>
    <w:rPr>
      <w:rFonts w:ascii="仿宋_GB2312" w:hAnsi="Arial Black" w:eastAsia="仿宋_GB2312"/>
      <w:kern w:val="44"/>
      <w:sz w:val="24"/>
    </w:rPr>
  </w:style>
  <w:style w:type="paragraph" w:customStyle="1" w:styleId="92">
    <w:name w:val="文档结构图样式1"/>
    <w:basedOn w:val="17"/>
    <w:uiPriority w:val="0"/>
    <w:pPr>
      <w:adjustRightInd w:val="0"/>
      <w:spacing w:after="0" w:line="0" w:lineRule="atLeast"/>
      <w:outlineLvl w:val="0"/>
    </w:pPr>
    <w:rPr>
      <w:rFonts w:eastAsia="仿宋_GB2312"/>
      <w:spacing w:val="-20"/>
      <w:sz w:val="18"/>
    </w:rPr>
  </w:style>
  <w:style w:type="paragraph" w:customStyle="1" w:styleId="93">
    <w:name w:val=" Char"/>
    <w:basedOn w:val="1"/>
    <w:uiPriority w:val="0"/>
  </w:style>
  <w:style w:type="paragraph" w:customStyle="1" w:styleId="94">
    <w:name w:val="正文2"/>
    <w:basedOn w:val="1"/>
    <w:uiPriority w:val="0"/>
    <w:pPr>
      <w:snapToGrid w:val="0"/>
      <w:spacing w:line="500" w:lineRule="atLeast"/>
      <w:ind w:firstLine="567"/>
    </w:pPr>
    <w:rPr>
      <w:sz w:val="24"/>
      <w:szCs w:val="20"/>
    </w:rPr>
  </w:style>
  <w:style w:type="paragraph" w:customStyle="1" w:styleId="95">
    <w:name w:val="标题3.5"/>
    <w:basedOn w:val="1"/>
    <w:uiPriority w:val="0"/>
    <w:rPr>
      <w:rFonts w:eastAsia="仿宋_GB2312"/>
      <w:sz w:val="24"/>
    </w:rPr>
  </w:style>
  <w:style w:type="paragraph" w:customStyle="1" w:styleId="96">
    <w:name w:val="Char Char Char Char"/>
    <w:basedOn w:val="1"/>
    <w:semiHidden/>
    <w:uiPriority w:val="0"/>
    <w:rPr>
      <w:szCs w:val="21"/>
    </w:rPr>
  </w:style>
  <w:style w:type="paragraph" w:customStyle="1" w:styleId="97">
    <w:name w:val="样式1"/>
    <w:basedOn w:val="27"/>
    <w:uiPriority w:val="0"/>
    <w:pPr>
      <w:keepNext/>
      <w:tabs>
        <w:tab w:val="right" w:leader="dot" w:pos="9061"/>
        <w:tab w:val="right" w:leader="dot" w:pos="9459"/>
      </w:tabs>
      <w:adjustRightInd w:val="0"/>
      <w:snapToGrid w:val="0"/>
      <w:spacing w:line="360" w:lineRule="auto"/>
      <w:jc w:val="both"/>
      <w:outlineLvl w:val="0"/>
    </w:pPr>
    <w:rPr>
      <w:rFonts w:ascii="宋体" w:hAnsi="宋体"/>
      <w:sz w:val="28"/>
      <w:szCs w:val="18"/>
      <w:lang/>
    </w:rPr>
  </w:style>
  <w:style w:type="paragraph" w:customStyle="1" w:styleId="98">
    <w:name w:val="1"/>
    <w:basedOn w:val="1"/>
    <w:next w:val="18"/>
    <w:uiPriority w:val="0"/>
    <w:pPr>
      <w:spacing w:line="360" w:lineRule="auto"/>
      <w:ind w:firstLine="480" w:firstLineChars="200"/>
    </w:pPr>
    <w:rPr>
      <w:rFonts w:ascii="宋体"/>
      <w:bCs/>
      <w:sz w:val="24"/>
    </w:rPr>
  </w:style>
  <w:style w:type="paragraph" w:customStyle="1" w:styleId="99">
    <w:name w:val="样式4"/>
    <w:basedOn w:val="17"/>
    <w:uiPriority w:val="0"/>
    <w:pPr>
      <w:spacing w:after="0" w:line="360" w:lineRule="auto"/>
      <w:ind w:right="-105" w:rightChars="-50" w:firstLine="463" w:firstLineChars="192"/>
    </w:pPr>
    <w:rPr>
      <w:rFonts w:ascii="仿宋_GB2312" w:eastAsia="仿宋_GB2312"/>
      <w:snapToGrid w:val="0"/>
      <w:sz w:val="24"/>
    </w:rPr>
  </w:style>
  <w:style w:type="paragraph" w:customStyle="1" w:styleId="100">
    <w:name w:val=" Char1 Char Char Char"/>
    <w:basedOn w:val="1"/>
    <w:uiPriority w:val="0"/>
    <w:pPr>
      <w:spacing w:line="360" w:lineRule="auto"/>
      <w:ind w:firstLine="200" w:firstLineChars="200"/>
    </w:pPr>
    <w:rPr>
      <w:rFonts w:ascii="宋体" w:hAnsi="宋体" w:cs="宋体"/>
      <w:sz w:val="24"/>
    </w:rPr>
  </w:style>
  <w:style w:type="paragraph" w:customStyle="1" w:styleId="101">
    <w:name w:val="Date1"/>
    <w:basedOn w:val="1"/>
    <w:next w:val="1"/>
    <w:uiPriority w:val="0"/>
    <w:pPr>
      <w:adjustRightInd w:val="0"/>
      <w:textAlignment w:val="baseline"/>
    </w:pPr>
    <w:rPr>
      <w:szCs w:val="20"/>
    </w:rPr>
  </w:style>
  <w:style w:type="paragraph" w:customStyle="1" w:styleId="102">
    <w:name w:val="表格样式1"/>
    <w:uiPriority w:val="0"/>
    <w:pPr>
      <w:tabs>
        <w:tab w:val="center" w:pos="546"/>
      </w:tabs>
      <w:spacing w:line="440" w:lineRule="exact"/>
      <w:jc w:val="center"/>
    </w:pPr>
    <w:rPr>
      <w:rFonts w:eastAsia="仿宋_GB2312"/>
      <w:iCs/>
      <w:sz w:val="21"/>
      <w:lang w:val="en-US" w:eastAsia="zh-CN" w:bidi="ar-SA"/>
    </w:rPr>
  </w:style>
  <w:style w:type="paragraph" w:customStyle="1" w:styleId="103">
    <w:name w:val="表格标题"/>
    <w:basedOn w:val="1"/>
    <w:uiPriority w:val="0"/>
    <w:pPr>
      <w:spacing w:before="120"/>
      <w:jc w:val="center"/>
    </w:pPr>
    <w:rPr>
      <w:rFonts w:eastAsia="仿宋_GB2312"/>
      <w:sz w:val="24"/>
      <w:szCs w:val="20"/>
    </w:rPr>
  </w:style>
  <w:style w:type="paragraph" w:customStyle="1" w:styleId="104">
    <w:name w:val="样式2"/>
    <w:basedOn w:val="1"/>
    <w:uiPriority w:val="0"/>
    <w:pPr>
      <w:adjustRightInd w:val="0"/>
      <w:ind w:left="170"/>
      <w:jc w:val="left"/>
      <w:textAlignment w:val="baseline"/>
    </w:pPr>
    <w:rPr>
      <w:b/>
      <w:kern w:val="0"/>
      <w:sz w:val="24"/>
      <w:szCs w:val="20"/>
    </w:rPr>
  </w:style>
  <w:style w:type="paragraph" w:customStyle="1" w:styleId="105">
    <w:name w:val="标题三"/>
    <w:basedOn w:val="1"/>
    <w:uiPriority w:val="0"/>
    <w:pPr>
      <w:adjustRightInd w:val="0"/>
      <w:spacing w:line="360" w:lineRule="auto"/>
      <w:ind w:firstLine="176"/>
      <w:jc w:val="left"/>
      <w:textAlignment w:val="baseline"/>
      <w:outlineLvl w:val="2"/>
    </w:pPr>
    <w:rPr>
      <w:b/>
      <w:kern w:val="0"/>
      <w:sz w:val="30"/>
    </w:rPr>
  </w:style>
  <w:style w:type="paragraph" w:customStyle="1" w:styleId="106">
    <w:name w:val="正文-使用"/>
    <w:basedOn w:val="1"/>
    <w:uiPriority w:val="0"/>
    <w:pPr>
      <w:spacing w:line="360" w:lineRule="auto"/>
      <w:ind w:firstLine="482"/>
    </w:pPr>
    <w:rPr>
      <w:sz w:val="24"/>
      <w:szCs w:val="20"/>
    </w:rPr>
  </w:style>
  <w:style w:type="paragraph" w:customStyle="1" w:styleId="107">
    <w:name w:val="注居中"/>
    <w:basedOn w:val="1"/>
    <w:uiPriority w:val="0"/>
    <w:pPr>
      <w:spacing w:before="120" w:after="120" w:line="240" w:lineRule="exact"/>
      <w:jc w:val="center"/>
    </w:pPr>
    <w:rPr>
      <w:rFonts w:ascii="黑体" w:eastAsia="黑体"/>
      <w:color w:val="000000"/>
      <w:kern w:val="0"/>
      <w:szCs w:val="20"/>
    </w:rPr>
  </w:style>
  <w:style w:type="paragraph" w:customStyle="1" w:styleId="108">
    <w:name w:val="表格文字2"/>
    <w:basedOn w:val="91"/>
    <w:uiPriority w:val="0"/>
    <w:pPr>
      <w:adjustRightInd w:val="0"/>
      <w:spacing w:before="60"/>
      <w:textAlignment w:val="baseline"/>
    </w:pPr>
    <w:rPr>
      <w:rFonts w:ascii="宋体" w:hAnsi="Times New Roman" w:eastAsia="宋体"/>
      <w:kern w:val="0"/>
      <w:szCs w:val="20"/>
    </w:rPr>
  </w:style>
  <w:style w:type="paragraph" w:customStyle="1" w:styleId="109">
    <w:name w:val="填表内容"/>
    <w:basedOn w:val="1"/>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110">
    <w:name w:val="论文正文"/>
    <w:basedOn w:val="12"/>
    <w:uiPriority w:val="0"/>
    <w:pPr>
      <w:ind w:firstLine="480"/>
    </w:pPr>
    <w:rPr>
      <w:rFonts w:ascii="宋体" w:hAnsi="宋体"/>
      <w:sz w:val="28"/>
    </w:rPr>
  </w:style>
  <w:style w:type="paragraph" w:customStyle="1" w:styleId="111">
    <w:name w:val=" Char Char Char Char"/>
    <w:basedOn w:val="1"/>
    <w:uiPriority w:val="0"/>
  </w:style>
  <w:style w:type="paragraph" w:customStyle="1" w:styleId="112">
    <w:name w:val="表中正文"/>
    <w:basedOn w:val="1"/>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113">
    <w:name w:val=" Char Char1 Char"/>
    <w:basedOn w:val="1"/>
    <w:uiPriority w:val="0"/>
  </w:style>
  <w:style w:type="paragraph" w:customStyle="1" w:styleId="114">
    <w:name w:val="Char"/>
    <w:basedOn w:val="1"/>
    <w:uiPriority w:val="0"/>
    <w:rPr>
      <w:sz w:val="24"/>
    </w:rPr>
  </w:style>
  <w:style w:type="paragraph" w:customStyle="1" w:styleId="115">
    <w:name w:val="三级标题"/>
    <w:basedOn w:val="1"/>
    <w:next w:val="26"/>
    <w:uiPriority w:val="0"/>
    <w:pPr>
      <w:adjustRightInd w:val="0"/>
      <w:jc w:val="center"/>
    </w:pPr>
    <w:rPr>
      <w:bCs/>
      <w:szCs w:val="21"/>
    </w:rPr>
  </w:style>
  <w:style w:type="paragraph" w:customStyle="1" w:styleId="116">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117">
    <w:name w:val="正文文本缩进 New New New New New New New New New New New New New"/>
    <w:basedOn w:val="1"/>
    <w:uiPriority w:val="0"/>
    <w:pPr>
      <w:spacing w:line="336" w:lineRule="auto"/>
      <w:ind w:firstLine="539"/>
    </w:pPr>
    <w:rPr>
      <w:spacing w:val="6"/>
      <w:sz w:val="24"/>
    </w:rPr>
  </w:style>
  <w:style w:type="paragraph" w:customStyle="1" w:styleId="118">
    <w:name w:val="xl28"/>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19">
    <w:name w:val="样式 四号 左侧:  0.74 厘米 行距: 1.5 倍行距"/>
    <w:basedOn w:val="1"/>
    <w:uiPriority w:val="0"/>
    <w:pPr>
      <w:spacing w:line="360" w:lineRule="auto"/>
    </w:pPr>
    <w:rPr>
      <w:rFonts w:cs="宋体"/>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admin</Company>
  <Pages>72</Pages>
  <Words>7597</Words>
  <Characters>43305</Characters>
  <Lines>360</Lines>
  <Paragraphs>101</Paragraphs>
  <TotalTime>4</TotalTime>
  <ScaleCrop>false</ScaleCrop>
  <LinksUpToDate>false</LinksUpToDate>
  <CharactersWithSpaces>50801</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2021-03-18T01:20:00Z</dcterms:created>
  <dc:creator>admin</dc:creator>
  <cp:lastModifiedBy>*  。。*</cp:lastModifiedBy>
  <cp:lastPrinted>2015-03-23T00:39:00Z</cp:lastPrinted>
  <dcterms:modified xsi:type="dcterms:W3CDTF">2023-09-07T08:09:57Z</dcterms:modified>
  <dc:title>建设项目基本情况</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0724EEB6452141CF8FCF5D57AC599EC3_13</vt:lpwstr>
  </property>
</Properties>
</file>